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33a6cb282dabaff4e94d0cbdeb7f08737939e"/>
    <w:p>
      <w:pPr>
        <w:pStyle w:val="Heading1"/>
      </w:pPr>
      <w:r>
        <w:t xml:space="preserve">Data Privacy Impact Assessment (DPIA) — Face Vectors / Biometric Auto-Tagging</w:t>
      </w:r>
    </w:p>
    <w:p>
      <w:pPr>
        <w:pStyle w:val="BlockText"/>
      </w:pPr>
      <w:r>
        <w:rPr>
          <w:b/>
          <w:bCs/>
        </w:rPr>
        <w:t xml:space="preserve">DRAFT — for DPO (Indalecio Sacdalan Casasola II) + PH counsel finalization; not yet adopted.</w:t>
      </w:r>
      <w:r>
        <w:t xml:space="preserve"> </w:t>
      </w:r>
      <w:r>
        <w:t xml:space="preserve">· 2026-07-05</w:t>
      </w:r>
    </w:p>
    <w:p>
      <w:pPr>
        <w:pStyle w:val="BlockText"/>
      </w:pPr>
      <w:r>
        <w:t xml:space="preserve">Prepared under RA 10173 (Data Privacy Act of 2012), its IRR, and NPC guidance on Privacy Impact Assessments (NPC Advisory No. 2017-03 and related issuances). This is the standalone, full DPIA for register row</w:t>
      </w:r>
      <w:r>
        <w:t xml:space="preserve"> </w:t>
      </w:r>
      <w:r>
        <w:rPr>
          <w:b/>
          <w:bCs/>
        </w:rPr>
        <w:t xml:space="preserve">R-01</w:t>
      </w:r>
      <w:r>
        <w:t xml:space="preserve"> </w:t>
      </w:r>
      <w:r>
        <w:t xml:space="preserve">(</w:t>
      </w:r>
      <w:r>
        <w:rPr>
          <w:rStyle w:val="VerbatimChar"/>
        </w:rPr>
        <w:t xml:space="preserve">05_DPIA_Register_DRAFT_2026-07-05.md</w:t>
      </w:r>
      <w:r>
        <w:t xml:space="preserve">) —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because it processes</w:t>
      </w:r>
      <w:r>
        <w:t xml:space="preserve"> </w:t>
      </w:r>
      <w:r>
        <w:rPr>
          <w:b/>
          <w:bCs/>
        </w:rPr>
        <w:t xml:space="preserve">biometric data</w:t>
      </w:r>
      <w:r>
        <w:t xml:space="preserve">, which is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 </w:t>
      </w:r>
      <w:r>
        <w:t xml:space="preserve">under RA 10173 § 3(l). A full, dedicated assessment is warranted precisely because a face vector is not ordinary PII.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X95144503caa00e38614ae4cafc8376f2f4a0ed8"/>
      <w:r>
        <w:t xml:space="preserve">⚠ CORRECTION — verified against shipped code 2026-07-05 (read first)</w:t>
      </w:r>
      <w:bookmarkEnd w:id="9"/>
    </w:p>
    <w:p>
      <w:pPr>
        <w:pStyle w:val="BlockText"/>
      </w:pPr>
      <w:r>
        <w:t xml:space="preserve">This DPIA’s</w:t>
      </w:r>
      <w:r>
        <w:t xml:space="preserve"> </w:t>
      </w:r>
      <w:r>
        <w:rPr>
          <w:b/>
          <w:bCs/>
        </w:rPr>
        <w:t xml:space="preserve">headline finding (BV-1 / §6) is SUPERSEDED.</w:t>
      </w:r>
      <w:r>
        <w:t xml:space="preserve"> </w:t>
      </w:r>
      <w:r>
        <w:t xml:space="preserve">It was drafted from the Privacy Policy §6.1’s</w:t>
      </w:r>
      <w:r>
        <w:t xml:space="preserve"> </w:t>
      </w:r>
      <w:r>
        <w:rPr>
          <w:i/>
          <w:iCs/>
        </w:rPr>
        <w:t xml:space="preserve">“implicit consent”</w:t>
      </w:r>
      <w:r>
        <w:t xml:space="preserve"> </w:t>
      </w:r>
      <w:r>
        <w:t xml:space="preserve">wording — but that wording was</w:t>
      </w:r>
      <w:r>
        <w:t xml:space="preserve"> </w:t>
      </w:r>
      <w:r>
        <w:rPr>
          <w:b/>
          <w:bCs/>
        </w:rPr>
        <w:t xml:space="preserve">stale</w:t>
      </w:r>
      <w:r>
        <w:t xml:space="preserve">. Verified in production code: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app/[slug]/_components/selfie-capture.tsx</w:t>
      </w:r>
      <w:r>
        <w:t xml:space="preserve"> </w:t>
      </w:r>
      <w:r>
        <w:t xml:space="preserve">— the face-recognition consent is an</w:t>
      </w:r>
      <w:r>
        <w:t xml:space="preserve"> </w:t>
      </w:r>
      <w:r>
        <w:rPr>
          <w:b/>
          <w:bCs/>
        </w:rPr>
        <w:t xml:space="preserve">explicit, separate checkbox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name="biometric_consent"</w:t>
      </w:r>
      <w:r>
        <w:t xml:space="preserve">, label</w:t>
      </w:r>
      <w:r>
        <w:t xml:space="preserve"> </w:t>
      </w:r>
      <w:r>
        <w:rPr>
          <w:i/>
          <w:iCs/>
        </w:rPr>
        <w:t xml:space="preserve">“face recognition for this wedding”</w:t>
      </w:r>
      <w:r>
        <w:t xml:space="preserve">),</w:t>
      </w:r>
      <w:r>
        <w:t xml:space="preserve"> </w:t>
      </w:r>
      <w:r>
        <w:rPr>
          <w:b/>
          <w:bCs/>
        </w:rPr>
        <w:t xml:space="preserve">defaulted OFF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useState(false)</w:t>
      </w:r>
      <w:r>
        <w:t xml:space="preserve">); un-checking it drops the selfie.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app/[slug]/actions.ts</w:t>
      </w:r>
      <w:r>
        <w:t xml:space="preserve"> </w:t>
      </w:r>
      <w:r>
        <w:t xml:space="preserve">(RSVP)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app/papic/face-enroll-actions.ts</w:t>
      </w:r>
      <w:r>
        <w:t xml:space="preserve"> </w:t>
      </w:r>
      <w:r>
        <w:t xml:space="preserve">(day-of) both</w:t>
      </w:r>
      <w:r>
        <w:t xml:space="preserve"> </w:t>
      </w:r>
      <w:r>
        <w:rPr>
          <w:b/>
          <w:bCs/>
        </w:rPr>
        <w:t xml:space="preserve">refuse to create a face vector unless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biometric_consent === '1'</w:t>
      </w:r>
      <w:r>
        <w:t xml:space="preserve">, and stamp</w:t>
      </w:r>
      <w:r>
        <w:t xml:space="preserve"> </w:t>
      </w:r>
      <w:r>
        <w:rPr>
          <w:rStyle w:val="VerbatimChar"/>
        </w:rPr>
        <w:t xml:space="preserve">consent_at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consent_source</w:t>
      </w:r>
      <w:r>
        <w:t xml:space="preserve"> </w:t>
      </w:r>
      <w:r>
        <w:t xml:space="preserve">on the enrolment (the evidenced record).</w:t>
      </w:r>
    </w:p>
    <w:p>
      <w:pPr>
        <w:pStyle w:val="BlockText"/>
      </w:pPr>
      <w:r>
        <w:t xml:space="preserve">So the</w:t>
      </w:r>
      <w:r>
        <w:t xml:space="preserve"> </w:t>
      </w:r>
      <w:r>
        <w:rPr>
          <w:b/>
          <w:bCs/>
        </w:rPr>
        <w:t xml:space="preserve">explicit, separate, evidenced, default-OFF opt-in that §6 recommends is ALREADY SHIPPED</w:t>
      </w:r>
      <w:r>
        <w:t xml:space="preserve"> </w:t>
      </w:r>
      <w:r>
        <w:t xml:space="preserve">(owner directives 2026-06-05 / 2026-06-28).</w:t>
      </w:r>
      <w:r>
        <w:t xml:space="preserve"> </w:t>
      </w:r>
      <w:r>
        <w:rPr>
          <w:b/>
          <w:bCs/>
        </w:rPr>
        <w:t xml:space="preserve">BV-1 is substantially RESOLVED in production</w:t>
      </w:r>
      <w:r>
        <w:t xml:space="preserve"> </w:t>
      </w:r>
      <w:r>
        <w:t xml:space="preserve">→ its residual is</w:t>
      </w:r>
      <w:r>
        <w:t xml:space="preserve"> </w:t>
      </w:r>
      <w:r>
        <w:rPr>
          <w:b/>
          <w:bCs/>
        </w:rPr>
        <w:t xml:space="preserve">Low</w:t>
      </w:r>
      <w:r>
        <w:t xml:space="preserve">, not Med–High. The Privacy Policy §6.1 has been corrected to match (2026-07-05).</w:t>
      </w:r>
    </w:p>
    <w:p>
      <w:pPr>
        <w:pStyle w:val="BlockText"/>
      </w:pPr>
      <w:r>
        <w:rPr>
          <w:b/>
          <w:bCs/>
        </w:rPr>
        <w:t xml:space="preserve">The genuinely open headline finding is now BV-8 — MINORS:</w:t>
      </w:r>
      <w:r>
        <w:t xml:space="preserve"> </w:t>
      </w:r>
      <w:r>
        <w:t xml:space="preserve">guests carry no age/birth-date field, so nothing prevents a minor’s face from being enrolled (a minor, or a guardian on their behalf, can tick the box). That is the live gap to close, and it is counsel-first. Read §6’s recommendation as</w:t>
      </w:r>
      <w:r>
        <w:t xml:space="preserve"> </w:t>
      </w:r>
      <w:r>
        <w:rPr>
          <w:b/>
          <w:bCs/>
        </w:rPr>
        <w:t xml:space="preserve">“maintain + keep the policy accurate,”</w:t>
      </w:r>
      <w:r>
        <w:t xml:space="preserve"> </w:t>
      </w:r>
      <w:r>
        <w:t xml:space="preserve">not</w:t>
      </w:r>
      <w:r>
        <w:t xml:space="preserve"> </w:t>
      </w:r>
      <w:r>
        <w:t xml:space="preserve">“implement.”</w:t>
      </w:r>
    </w:p>
    <w:bookmarkStart w:id="10" w:name="instrument-identity"/>
    <w:p>
      <w:pPr>
        <w:pStyle w:val="Heading2"/>
      </w:pPr>
      <w:r>
        <w:t xml:space="preserve">0. Instrument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 (PIC)</w:t>
            </w:r>
          </w:p>
        </w:tc>
        <w:tc>
          <w:tcPr/>
          <w:p>
            <w:pPr>
              <w:pStyle w:val="Compact"/>
            </w:pPr>
            <w:r>
              <w:t xml:space="preserve">SETNAYAN SOFTWARE DEVELOPMENT SERVICE — sole proprietorship of Indalecio Sacdalan Casasola II · DTI Business Name Reg. No. 8297508. Operating brand: Setnayan.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(DPO)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· iscasasolaii@gmail.com · registered (or registration in progress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) with the 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DPIA owner</w:t>
            </w:r>
          </w:p>
        </w:tc>
        <w:tc>
          <w:tcPr/>
          <w:p>
            <w:pPr>
              <w:pStyle w:val="Compact"/>
            </w:pPr>
            <w:r>
              <w:t xml:space="preserve">DPO (Indalecio Sacdalan Casasola 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assessed</w:t>
            </w:r>
          </w:p>
        </w:tc>
        <w:tc>
          <w:tcPr/>
          <w:p>
            <w:pPr>
              <w:pStyle w:val="Compact"/>
            </w:pPr>
            <w:r>
              <w:t xml:space="preserve">Face vectors / biometric auto-tagging (Papic) — register 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Governing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01_Contracts/Setnayan_Privacy_and_Security_Policy.md</w:t>
            </w:r>
            <w:r>
              <w:t xml:space="preserve"> </w:t>
            </w:r>
            <w:r>
              <w:t xml:space="preserve">§ 1.4 (Face vectors), § 2.1 (auto-tag purpose), § 3.2 (media/vector storage), § 4 (retention), § 6.1 (photo/likeness consent)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0012_paparazzi/</w:t>
            </w:r>
            <w:r>
              <w:t xml:space="preserve"> </w:t>
            </w:r>
            <w:r>
              <w:t xml:space="preserve">(Papic capture → upload → tag) +</w:t>
            </w:r>
            <w:r>
              <w:t xml:space="preserve"> </w:t>
            </w:r>
            <w:r>
              <w:rPr>
                <w:rStyle w:val="VerbatimChar"/>
              </w:rPr>
              <w:t xml:space="preserve">10_Papic_Feature_Specification.md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 (inherent)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biometric = sensitive personal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DPIA status</w:t>
            </w:r>
          </w:p>
        </w:tc>
        <w:tc>
          <w:tcPr/>
          <w:p>
            <w:pPr>
              <w:pStyle w:val="Compact"/>
            </w:pPr>
            <w:r>
              <w:t xml:space="preserve">DRAFT — pending DPO adoption + PH counsel review (counsel-first per register)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/ date</w:t>
            </w:r>
          </w:p>
        </w:tc>
        <w:tc>
          <w:tcPr/>
          <w:p>
            <w:pPr>
              <w:pStyle w:val="Compact"/>
            </w:pPr>
            <w:r>
              <w:t xml:space="preserve">2026-07-05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description-of-the-processing"/>
    <w:p>
      <w:pPr>
        <w:pStyle w:val="Heading2"/>
      </w:pPr>
      <w:r>
        <w:t xml:space="preserve">1. Description of the processing</w:t>
      </w:r>
    </w:p>
    <w:bookmarkStart w:id="11" w:name="what-a-face-vector-is"/>
    <w:p>
      <w:pPr>
        <w:pStyle w:val="Heading3"/>
      </w:pPr>
      <w:r>
        <w:t xml:space="preserve">1.1 What a face vector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face vector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128-dimension</w:t>
      </w:r>
      <w:r>
        <w:t xml:space="preserve"> </w:t>
      </w:r>
      <w:r>
        <w:t xml:space="preserve">numerical representation (</w:t>
      </w:r>
      <w:r>
        <w:t xml:space="preserve">“embedding”</w:t>
      </w:r>
      <w:r>
        <w:t xml:space="preserve">) computed from a photograph of a person’s face. It is not the photo itself — it is a mathematical fingerprint of the face’s geometry that lets the system compare two faces for similarity. Under RA 10173 § 3(l), a template derived from a person’s face for the purpose of identifying that person is</w:t>
      </w:r>
      <w:r>
        <w:t xml:space="preserve"> </w:t>
      </w:r>
      <w:r>
        <w:rPr>
          <w:b/>
          <w:bCs/>
        </w:rPr>
        <w:t xml:space="preserve">biometric data</w:t>
      </w:r>
      <w:r>
        <w:t xml:space="preserve">, and biometric data is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 </w:t>
      </w:r>
      <w:r>
        <w:t xml:space="preserve">(§ 3, and see § 12–13 for the heightened processing conditions that follow).</w:t>
      </w:r>
    </w:p>
    <w:bookmarkEnd w:id="11"/>
    <w:bookmarkStart w:id="12" w:name="why-it-is-processed-purpose"/>
    <w:p>
      <w:pPr>
        <w:pStyle w:val="Heading3"/>
      </w:pPr>
      <w:r>
        <w:t xml:space="preserve">1.2 Why it is processed (purpose)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auto-tag guests in a specific event’s photo gallery</w:t>
      </w:r>
      <w:r>
        <w:t xml:space="preserve"> </w:t>
      </w:r>
      <w:r>
        <w:t xml:space="preserve">(the Papic candid-capture service). When a paparazzo or another guest uploads a photo, the system compares faces in that photo against the enrolled guest vectors</w:t>
      </w:r>
      <w:r>
        <w:t xml:space="preserve"> </w:t>
      </w:r>
      <w:r>
        <w:rPr>
          <w:b/>
          <w:bCs/>
        </w:rPr>
        <w:t xml:space="preserve">for that event only</w:t>
      </w:r>
      <w:r>
        <w:t xml:space="preserve">, and tags matches so each guest’s tagged photos surface to them in their gallery and personal-reel builder (policy § 2.1:</w:t>
      </w:r>
      <w:r>
        <w:t xml:space="preserve"> </w:t>
      </w:r>
      <w:r>
        <w:t xml:space="preserve">“Auto-tag photos via face matching (couple-scoped only)”</w:t>
      </w:r>
      <w:r>
        <w:t xml:space="preserve">).</w:t>
      </w:r>
    </w:p>
    <w:bookmarkEnd w:id="12"/>
    <w:bookmarkStart w:id="13" w:name="X4edd26b6a87cefd0273750cdf720cf159c1dcb0"/>
    <w:p>
      <w:pPr>
        <w:pStyle w:val="Heading3"/>
      </w:pPr>
      <w:r>
        <w:t xml:space="preserve">1.3 Data flow (capture → vector → match → tag → gallery)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/ enrolment sources</w:t>
      </w:r>
      <w:r>
        <w:t xml:space="preserve"> </w:t>
      </w:r>
      <w:r>
        <w:t xml:space="preserve">(policy § 1.4) — a guest’s face vector is enrolled from one or more of:</w:t>
      </w:r>
    </w:p>
    <w:p>
      <w:pPr>
        <w:pStyle w:val="Compact"/>
        <w:numPr>
          <w:ilvl w:val="1"/>
          <w:numId w:val="1002"/>
        </w:numPr>
      </w:pPr>
      <w:r>
        <w:t xml:space="preserve">the guest’s</w:t>
      </w:r>
      <w:r>
        <w:t xml:space="preserve"> </w:t>
      </w:r>
      <w:r>
        <w:rPr>
          <w:b/>
          <w:bCs/>
        </w:rPr>
        <w:t xml:space="preserve">RSVP profile photo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optional pre-event portal upload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on-the-day check-in kiosk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 generation</w:t>
      </w:r>
      <w:r>
        <w:t xml:space="preserve"> </w:t>
      </w:r>
      <w:r>
        <w:t xml:space="preserve">— a 128-dim vector is computed from the enrolment image and written to a</w:t>
      </w:r>
      <w:r>
        <w:t xml:space="preserve"> </w:t>
      </w:r>
      <w:r>
        <w:rPr>
          <w:b/>
          <w:bCs/>
        </w:rPr>
        <w:t xml:space="preserve">per-event encrypted vector store</w:t>
      </w:r>
      <w:r>
        <w:t xml:space="preserve"> </w:t>
      </w:r>
      <w:r>
        <w:t xml:space="preserve">(policy § 3.2). The enrolment image itself is governed by the media rules in § 1.3/§ 3.2/§ 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Per-event match at upload time</w:t>
      </w:r>
      <w:r>
        <w:t xml:space="preserve"> </w:t>
      </w:r>
      <w:r>
        <w:t xml:space="preserve">— when a photo/clip lands in the event gallery, detected faces are compared</w:t>
      </w:r>
      <w:r>
        <w:t xml:space="preserve"> </w:t>
      </w:r>
      <w:r>
        <w:rPr>
          <w:b/>
          <w:bCs/>
        </w:rPr>
        <w:t xml:space="preserve">only against that event’s vector store</w:t>
      </w:r>
      <w:r>
        <w:t xml:space="preserve">. Confidence thresholds: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≥ 0.85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auto-tag</w:t>
      </w:r>
      <w:r>
        <w:t xml:space="preserve"> </w:t>
      </w:r>
      <w:r>
        <w:t xml:space="preserve">the guest,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0.65–0.85</w:t>
      </w:r>
      <w:r>
        <w:t xml:space="preserve"> </w:t>
      </w:r>
      <w:r>
        <w:t xml:space="preserve">→ surface a</w:t>
      </w:r>
      <w:r>
        <w:t xml:space="preserve"> </w:t>
      </w:r>
      <w:r>
        <w:rPr>
          <w:b/>
          <w:bCs/>
        </w:rPr>
        <w:t xml:space="preserve">suggested tag</w:t>
      </w:r>
      <w:r>
        <w:t xml:space="preserve"> </w:t>
      </w:r>
      <w:r>
        <w:t xml:space="preserve">for human confirmation,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&lt; 0.65</w:t>
      </w:r>
      <w:r>
        <w:t xml:space="preserve"> </w:t>
      </w:r>
      <w:r>
        <w:t xml:space="preserve">→ the photo</w:t>
      </w:r>
      <w:r>
        <w:t xml:space="preserve"> </w:t>
      </w:r>
      <w:r>
        <w:rPr>
          <w:b/>
          <w:bCs/>
        </w:rPr>
        <w:t xml:space="preserve">uploads untagged</w:t>
      </w:r>
      <w:r>
        <w:t xml:space="preserve"> </w:t>
      </w:r>
      <w:r>
        <w:t xml:space="preserve">(still delivered — see § 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 → gallery</w:t>
      </w:r>
      <w:r>
        <w:t xml:space="preserve"> </w:t>
      </w:r>
      <w:r>
        <w:t xml:space="preserve">— the resulting tag routes the photo into the matched guest’s tagged-photos view; untagged photos still land in the couple’s gallery (untagged-still-delivered guarantee).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Revocation / expiry</w:t>
      </w:r>
      <w:r>
        <w:t xml:space="preserve"> </w:t>
      </w:r>
      <w:r>
        <w:t xml:space="preserve">— a guest</w:t>
      </w:r>
      <w:r>
        <w:t xml:space="preserve"> </w:t>
      </w:r>
      <w:r>
        <w:t xml:space="preserve">“Delete my face data”</w:t>
      </w:r>
      <w:r>
        <w:t xml:space="preserve"> </w:t>
      </w:r>
      <w:r>
        <w:t xml:space="preserve">link revokes enrolment within the</w:t>
      </w:r>
      <w:r>
        <w:t xml:space="preserve"> </w:t>
      </w:r>
      <w:r>
        <w:rPr>
          <w:b/>
          <w:bCs/>
        </w:rPr>
        <w:t xml:space="preserve">next 5-minute refresh cycle</w:t>
      </w:r>
      <w:r>
        <w:t xml:space="preserve">; turning the</w:t>
      </w:r>
      <w:r>
        <w:t xml:space="preserve"> </w:t>
      </w:r>
      <w:r>
        <w:rPr>
          <w:b/>
          <w:bCs/>
        </w:rPr>
        <w:t xml:space="preserve">Photo Consent</w:t>
      </w:r>
      <w:r>
        <w:t xml:space="preserve"> </w:t>
      </w:r>
      <w:r>
        <w:t xml:space="preserve">toggle OFF revokes live enrolment and clears any selfie display photo; vectors are otherwise</w:t>
      </w:r>
      <w:r>
        <w:t xml:space="preserve"> </w:t>
      </w:r>
      <w:r>
        <w:rPr>
          <w:b/>
          <w:bCs/>
        </w:rPr>
        <w:t xml:space="preserve">deleted at the 5-year retention boundary</w:t>
      </w:r>
      <w:r>
        <w:t xml:space="preserve"> </w:t>
      </w:r>
      <w:r>
        <w:t xml:space="preserve">with the event data (policy § 4).</w:t>
      </w:r>
    </w:p>
    <w:bookmarkEnd w:id="13"/>
    <w:bookmarkStart w:id="14" w:name="data-subjects"/>
    <w:p>
      <w:pPr>
        <w:pStyle w:val="Heading3"/>
      </w:pPr>
      <w:r>
        <w:t xml:space="preserve">1.4 Data subjects</w:t>
      </w:r>
    </w:p>
    <w:p>
      <w:pPr>
        <w:pStyle w:val="FirstParagraph"/>
      </w:pPr>
      <w:r>
        <w:rPr>
          <w:b/>
          <w:bCs/>
        </w:rPr>
        <w:t xml:space="preserve">Guests</w:t>
      </w:r>
      <w:r>
        <w:t xml:space="preserve"> </w:t>
      </w:r>
      <w:r>
        <w:t xml:space="preserve">(adults). Minors are excluded from the person-graph today;</w:t>
      </w:r>
      <w:r>
        <w:t xml:space="preserve"> </w:t>
      </w:r>
      <w:r>
        <w:rPr>
          <w:b/>
          <w:bCs/>
        </w:rPr>
        <w:t xml:space="preserve">whether child guests can be enrolled in face auto-tagging under the current build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[TO CONFIRM]</w:t>
      </w:r>
      <w:r>
        <w:t xml:space="preserve"> </w:t>
      </w:r>
      <w:r>
        <w:t xml:space="preserve">— this must be answered before adoption (see risk BV-8). No vendor, couple, or admin faces are enrolled for auto-tagging.</w:t>
      </w:r>
    </w:p>
    <w:bookmarkEnd w:id="14"/>
    <w:bookmarkStart w:id="15" w:name="systems-storage-and-retention"/>
    <w:p>
      <w:pPr>
        <w:pStyle w:val="Heading3"/>
      </w:pPr>
      <w:r>
        <w:t xml:space="preserve">1.5 Systems, storage, and retention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 store:</w:t>
      </w:r>
      <w:r>
        <w:t xml:space="preserve"> </w:t>
      </w:r>
      <w:r>
        <w:t xml:space="preserve">per-event,</w:t>
      </w:r>
      <w:r>
        <w:t xml:space="preserve"> </w:t>
      </w:r>
      <w:r>
        <w:rPr>
          <w:b/>
          <w:bCs/>
        </w:rPr>
        <w:t xml:space="preserve">encrypted at rest</w:t>
      </w:r>
      <w:r>
        <w:t xml:space="preserve"> </w:t>
      </w:r>
      <w:r>
        <w:t xml:space="preserve">(policy § 1.4, § 3.2, § 7.1 AES-256). Never reused across events/weddings.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Enrolment / gallery media:</w:t>
      </w:r>
      <w:r>
        <w:t xml:space="preserve"> </w:t>
      </w:r>
      <w:r>
        <w:t xml:space="preserve">Cloudflare</w:t>
      </w:r>
      <w:r>
        <w:t xml:space="preserve"> </w:t>
      </w:r>
      <w:r>
        <w:rPr>
          <w:b/>
          <w:bCs/>
        </w:rPr>
        <w:t xml:space="preserve">R2 (APAC/PH region)</w:t>
      </w:r>
      <w:r>
        <w:t xml:space="preserve">, signed-URL access only (policy § 3.2).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Matching engine host / location: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— the compute location and any sub-processor for the face-embedding/matching step is not recorded in the policy and must be confirmed (implicates § 10 cross-border analysis if it runs outside SG/PH).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face vectors kept for the</w:t>
      </w:r>
      <w:r>
        <w:t xml:space="preserve"> </w:t>
      </w:r>
      <w:r>
        <w:rPr>
          <w:b/>
          <w:bCs/>
        </w:rPr>
        <w:t xml:space="preserve">per-event lifetime + 5 years</w:t>
      </w:r>
      <w:r>
        <w:t xml:space="preserve">, then</w:t>
      </w:r>
      <w:r>
        <w:t xml:space="preserve"> </w:t>
      </w:r>
      <w:r>
        <w:rPr>
          <w:b/>
          <w:bCs/>
        </w:rPr>
        <w:t xml:space="preserve">auto-purged with the event data</w:t>
      </w:r>
      <w:r>
        <w:t xml:space="preserve"> </w:t>
      </w:r>
      <w:r>
        <w:t xml:space="preserve">(policy § 4). Earlier deletion via the guest</w:t>
      </w:r>
      <w:r>
        <w:t xml:space="preserve"> </w:t>
      </w:r>
      <w:r>
        <w:t xml:space="preserve">“Delete my face data”</w:t>
      </w:r>
      <w:r>
        <w:t xml:space="preserve"> </w:t>
      </w:r>
      <w:r>
        <w:t xml:space="preserve">link or Photo Consent OFF.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of record for tags/linkage:</w:t>
      </w:r>
      <w:r>
        <w:t xml:space="preserve"> </w:t>
      </w:r>
      <w:r>
        <w:t xml:space="preserve">Supabase Postgres (Singapore), RLS-gated (policy § 3.1).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necessity-proportionality-assessment"/>
    <w:p>
      <w:pPr>
        <w:pStyle w:val="Heading2"/>
      </w:pPr>
      <w:r>
        <w:t xml:space="preserve">2. Necessity &amp; proportionality assessment</w:t>
      </w:r>
    </w:p>
    <w:bookmarkStart w:id="17" w:name="Xf972ed9feb924607b5added6122392343b2357b"/>
    <w:p>
      <w:pPr>
        <w:pStyle w:val="Heading3"/>
      </w:pPr>
      <w:r>
        <w:t xml:space="preserve">2.1 Is biometric auto-tagging</w:t>
      </w:r>
      <w:r>
        <w:t xml:space="preserve"> </w:t>
      </w:r>
      <w:r>
        <w:rPr>
          <w:i/>
          <w:iCs/>
        </w:rPr>
        <w:t xml:space="preserve">necessary</w:t>
      </w:r>
      <w:r>
        <w:t xml:space="preserve"> </w:t>
      </w:r>
      <w:r>
        <w:t xml:space="preserve">for the purpose?</w:t>
      </w:r>
    </w:p>
    <w:p>
      <w:pPr>
        <w:pStyle w:val="FirstParagraph"/>
      </w:pPr>
      <w:r>
        <w:t xml:space="preserve">The purpose — getting each guest their own photos out of a large shared event gallery — is legitimate and central to Papic. Face auto-tagging makes that</w:t>
      </w:r>
      <w:r>
        <w:t xml:space="preserve"> </w:t>
      </w:r>
      <w:r>
        <w:rPr>
          <w:b/>
          <w:bCs/>
        </w:rPr>
        <w:t xml:space="preserve">convenient and complete at scale</w:t>
      </w:r>
      <w:r>
        <w:t xml:space="preserve">, but it is</w:t>
      </w:r>
      <w:r>
        <w:t xml:space="preserve"> </w:t>
      </w:r>
      <w:r>
        <w:rPr>
          <w:b/>
          <w:bCs/>
        </w:rPr>
        <w:t xml:space="preserve">not the only means</w:t>
      </w:r>
      <w:r>
        <w:t xml:space="preserve"> </w:t>
      </w:r>
      <w:r>
        <w:t xml:space="preserve">of achieving it.</w:t>
      </w:r>
    </w:p>
    <w:p>
      <w:pPr>
        <w:pStyle w:val="BodyText"/>
      </w:pPr>
      <w:r>
        <w:rPr>
          <w:b/>
          <w:bCs/>
        </w:rPr>
        <w:t xml:space="preserve">Less-intrusive alternatives already exist in the product: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Manual tagging</w:t>
      </w:r>
      <w:r>
        <w:t xml:space="preserve"> </w:t>
      </w:r>
      <w:r>
        <w:t xml:space="preserve">— the couple / guests tag photos by hand.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QR tagging</w:t>
      </w:r>
      <w:r>
        <w:t xml:space="preserve"> </w:t>
      </w:r>
      <w:r>
        <w:t xml:space="preserve">— the paparazzo scans a guest’s personal QR (</w:t>
      </w:r>
      <w:r>
        <w:rPr>
          <w:rStyle w:val="VerbatimChar"/>
        </w:rPr>
        <w:t xml:space="preserve">setnayan:guest:{id}</w:t>
      </w:r>
      <w:r>
        <w:t xml:space="preserve">) or a table QR (</w:t>
      </w:r>
      <w:r>
        <w:rPr>
          <w:rStyle w:val="VerbatimChar"/>
        </w:rPr>
        <w:t xml:space="preserve">setnayan:table:{id}</w:t>
      </w:r>
      <w:r>
        <w:t xml:space="preserve">) to tag, with table-tag fan-out to seated guests (capped at 10 tags/photo). This is a first-class, already-shipped tagging path in the Papic spec that requires</w:t>
      </w:r>
      <w:r>
        <w:t xml:space="preserve"> </w:t>
      </w:r>
      <w:r>
        <w:rPr>
          <w:b/>
          <w:bCs/>
        </w:rPr>
        <w:t xml:space="preserve">no biometric processing at all</w:t>
      </w:r>
      <w:r>
        <w:t xml:space="preserve">.</w:t>
      </w:r>
    </w:p>
    <w:p>
      <w:pPr>
        <w:pStyle w:val="FirstParagraph"/>
      </w:pPr>
      <w:r>
        <w:t xml:space="preserve">Because QR and manual tagging deliver the same core outcome without processing sensitive biometric data, face auto-tagging is best characterized as a</w:t>
      </w:r>
      <w:r>
        <w:t xml:space="preserve"> </w:t>
      </w:r>
      <w:r>
        <w:rPr>
          <w:b/>
          <w:bCs/>
        </w:rPr>
        <w:t xml:space="preserve">convenience/coverage enhancement layered on top of non-biometric tagging</w:t>
      </w:r>
      <w:r>
        <w:t xml:space="preserve">, not a strict necessity. This framing matters for the consent standard (§ 6): a non-essential, sensitive-data feature should be</w:t>
      </w:r>
      <w:r>
        <w:t xml:space="preserve"> </w:t>
      </w:r>
      <w:r>
        <w:rPr>
          <w:b/>
          <w:bCs/>
        </w:rPr>
        <w:t xml:space="preserve">separately opt-in</w:t>
      </w:r>
      <w:r>
        <w:t xml:space="preserve">, and a guest who declines it should still get full non-biometric service.</w:t>
      </w:r>
    </w:p>
    <w:bookmarkEnd w:id="17"/>
    <w:bookmarkStart w:id="18" w:name="Xc8aaedd5aa811615bdede866f7bf0846e779727"/>
    <w:p>
      <w:pPr>
        <w:pStyle w:val="Heading3"/>
      </w:pPr>
      <w:r>
        <w:t xml:space="preserve">2.2 Proportionality — is biometric justified given the alternatives, and is it minimized?</w:t>
      </w:r>
    </w:p>
    <w:p>
      <w:pPr>
        <w:pStyle w:val="FirstParagraph"/>
      </w:pPr>
      <w:r>
        <w:t xml:space="preserve">On balance the biometric layer can be</w:t>
      </w:r>
      <w:r>
        <w:t xml:space="preserve"> </w:t>
      </w:r>
      <w:r>
        <w:rPr>
          <w:b/>
          <w:bCs/>
        </w:rPr>
        <w:t xml:space="preserve">proportionate</w:t>
      </w:r>
      <w:r>
        <w:t xml:space="preserve">,</w:t>
      </w:r>
      <w:r>
        <w:t xml:space="preserve"> </w:t>
      </w:r>
      <w:r>
        <w:rPr>
          <w:i/>
          <w:iCs/>
        </w:rPr>
        <w:t xml:space="preserve">conditional on the consent fix in § 6</w:t>
      </w:r>
      <w:r>
        <w:t xml:space="preserve">, because the design already minimizes it structurally: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Per-event scoping</w:t>
      </w:r>
      <w:r>
        <w:t xml:space="preserve"> </w:t>
      </w:r>
      <w:r>
        <w:t xml:space="preserve">— vectors are</w:t>
      </w:r>
      <w:r>
        <w:t xml:space="preserve"> </w:t>
      </w:r>
      <w:r>
        <w:rPr>
          <w:b/>
          <w:bCs/>
        </w:rPr>
        <w:t xml:space="preserve">never reused across events/weddings</w:t>
      </w:r>
      <w:r>
        <w:t xml:space="preserve">; the store is siloed per wedding, so there is no cross-event identification capability and no growing biometric identity graph.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Thresholds tuned to reduce harm</w:t>
      </w:r>
      <w:r>
        <w:t xml:space="preserve"> </w:t>
      </w:r>
      <w:r>
        <w:t xml:space="preserve">— ≥ 0.85 to auto-tag, a human-in-the-loop</w:t>
      </w:r>
      <w:r>
        <w:t xml:space="preserve"> </w:t>
      </w:r>
      <w:r>
        <w:rPr>
          <w:b/>
          <w:bCs/>
        </w:rPr>
        <w:t xml:space="preserve">suggested-tag</w:t>
      </w:r>
      <w:r>
        <w:t xml:space="preserve"> </w:t>
      </w:r>
      <w:r>
        <w:t xml:space="preserve">band (0.65–0.85), and</w:t>
      </w:r>
      <w:r>
        <w:t xml:space="preserve"> </w:t>
      </w:r>
      <w:r>
        <w:rPr>
          <w:b/>
          <w:bCs/>
        </w:rPr>
        <w:t xml:space="preserve">&lt; 0.65 uploads untagged</w:t>
      </w:r>
      <w:r>
        <w:t xml:space="preserve"> </w:t>
      </w:r>
      <w:r>
        <w:t xml:space="preserve">rather than guessing.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Untagged-still-delivered</w:t>
      </w:r>
      <w:r>
        <w:t xml:space="preserve"> </w:t>
      </w:r>
      <w:r>
        <w:t xml:space="preserve">— the feature is not load-bearing for photo delivery; a face that never matches still reaches the couple’s gallery, so declining biometrics costs the guest nothing structural.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Purpose-limited</w:t>
      </w:r>
      <w:r>
        <w:t xml:space="preserve"> </w:t>
      </w:r>
      <w:r>
        <w:t xml:space="preserve">— vectors are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tag within the one event; policy § 2.3 forbids sale, cross-vendor sharing, and out-of-platform advertising.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Revocable + time-boxed</w:t>
      </w:r>
      <w:r>
        <w:t xml:space="preserve"> </w:t>
      </w:r>
      <w:r>
        <w:t xml:space="preserve">—</w:t>
      </w:r>
      <w:r>
        <w:t xml:space="preserve"> </w:t>
      </w:r>
      <w:r>
        <w:t xml:space="preserve">“Delete my face data”</w:t>
      </w:r>
      <w:r>
        <w:t xml:space="preserve"> </w:t>
      </w:r>
      <w:r>
        <w:t xml:space="preserve">(≤ 5-min revocation), Photo Consent OFF, and the 5-year hard deletion.</w:t>
      </w:r>
    </w:p>
    <w:p>
      <w:pPr>
        <w:pStyle w:val="FirstParagraph"/>
      </w:pPr>
      <w:r>
        <w:rPr>
          <w:b/>
          <w:bCs/>
        </w:rPr>
        <w:t xml:space="preserve">Conclusion.</w:t>
      </w:r>
      <w:r>
        <w:t xml:space="preserve"> </w:t>
      </w:r>
      <w:r>
        <w:t xml:space="preserve">The processing can be proportionate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(a) the feature stays a genuine opt-in overlay on non-biometric tagging (which it is), and (b) the</w:t>
      </w:r>
      <w:r>
        <w:t xml:space="preserve"> </w:t>
      </w:r>
      <w:r>
        <w:rPr>
          <w:b/>
          <w:bCs/>
        </w:rPr>
        <w:t xml:space="preserve">consent standard is upgraded to explicit, separate, evidenced opt-in for face recognition</w:t>
      </w:r>
      <w:r>
        <w:t xml:space="preserve"> </w:t>
      </w:r>
      <w:r>
        <w:t xml:space="preserve">(§ 6). Absent (b), the sensitive-data processing is</w:t>
      </w:r>
      <w:r>
        <w:t xml:space="preserve"> </w:t>
      </w:r>
      <w:r>
        <w:rPr>
          <w:b/>
          <w:bCs/>
        </w:rPr>
        <w:t xml:space="preserve">not adequately justified</w:t>
      </w:r>
      <w:r>
        <w:t xml:space="preserve"> </w:t>
      </w:r>
      <w:r>
        <w:t xml:space="preserve">against the available less-intrusive alternatives.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nsultation"/>
    <w:p>
      <w:pPr>
        <w:pStyle w:val="Heading2"/>
      </w:pPr>
      <w:r>
        <w:t xml:space="preserve">3. Consultation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DPO:</w:t>
      </w:r>
      <w:r>
        <w:t xml:space="preserve"> </w:t>
      </w:r>
      <w:r>
        <w:t xml:space="preserve">this DPIA is prepared for DPO review and sign-off (Indalecio Sacdalan Casasola II). The headline consent-standard question (§ 6) and the open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items (minor enrolment; matching-engine location) are referred to the DPO and PH counsel for confirmation.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subjects (guests):</w:t>
      </w:r>
      <w:r>
        <w:t xml:space="preserve"> </w:t>
      </w:r>
      <w:r>
        <w:t xml:space="preserve">consulted at the point of processing via the RSVP/portal/kiosk consent surfaces and the in-profile</w:t>
      </w:r>
      <w:r>
        <w:t xml:space="preserve"> </w:t>
      </w:r>
      <w:r>
        <w:rPr>
          <w:b/>
          <w:bCs/>
        </w:rPr>
        <w:t xml:space="preserve">Photo Consent</w:t>
      </w:r>
      <w:r>
        <w:t xml:space="preserve"> </w:t>
      </w:r>
      <w:r>
        <w:t xml:space="preserve">toggle.</w:t>
      </w:r>
      <w:r>
        <w:t xml:space="preserve"> </w:t>
      </w:r>
      <w:r>
        <w:rPr>
          <w:b/>
          <w:bCs/>
        </w:rPr>
        <w:t xml:space="preserve">This DPIA finds the current guest-facing consent moment insufficient for biometric data</w:t>
      </w:r>
      <w:r>
        <w:t xml:space="preserve"> </w:t>
      </w:r>
      <w:r>
        <w:t xml:space="preserve">and recommends a dedicated, separate face-recognition opt-in string (§ 6) — the consultation mechanism exists but its content must be upgraded.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External counsel / NPC: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before wider rollout (register R-01 is</w:t>
      </w:r>
      <w:r>
        <w:t xml:space="preserve"> </w:t>
      </w:r>
      <w:r>
        <w:t xml:space="preserve">“counsel-first”</w:t>
      </w:r>
      <w:r>
        <w:t xml:space="preserve">). Counsel to confirm the § 6 consent standard, the minor-enrolment position, and whether an NPC consultation is advisable given the biometric + event-guest population.</w:t>
      </w:r>
    </w:p>
    <w:p>
      <w:r>
        <w:pict>
          <v:rect style="width:0;height:1.5pt" o:hralign="center" o:hrstd="t" o:hr="t"/>
        </w:pict>
      </w:r>
    </w:p>
    <w:bookmarkEnd w:id="20"/>
    <w:bookmarkStart w:id="21" w:name="risk-assessment-table-biometric-specific"/>
    <w:p>
      <w:pPr>
        <w:pStyle w:val="Heading2"/>
      </w:pPr>
      <w:r>
        <w:t xml:space="preserve">4. Risk assessment table (biometric-specific)</w:t>
      </w:r>
    </w:p>
    <w:p>
      <w:pPr>
        <w:pStyle w:val="FirstParagraph"/>
      </w:pPr>
      <w:r>
        <w:t xml:space="preserve">Inherent risk = likelihood × impact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controls. Residual risk = risk remaining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controls already built (§ 5). Biometric processing starts HIGH by default.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Controls already built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sensitive biometric data without a valid consent standard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“implicit consent”</w:t>
            </w:r>
            <w:r>
              <w:t xml:space="preserve"> </w:t>
            </w:r>
            <w:r>
              <w:t xml:space="preserve">from an RSVP photo upload may not meet the RA 10173 § 3(b)/§ 12–13 bar of</w:t>
            </w:r>
            <w:r>
              <w:t xml:space="preserve"> </w:t>
            </w:r>
            <w:r>
              <w:rPr>
                <w:i/>
                <w:iCs/>
              </w:rPr>
              <w:t xml:space="preserve">freely given, specific, informed, and evidenced</w:t>
            </w:r>
            <w:r>
              <w:t xml:space="preserve"> </w:t>
            </w:r>
            <w:r>
              <w:t xml:space="preserve">consent for sensitive data (see § 6, KEY FINDING)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Opt-in framing + Photo Consent OFF toggle + untagged-still-delivered (declining costs nothing)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 — NOT resolved by current controls.</w:t>
            </w:r>
            <w:r>
              <w:t xml:space="preserve"> </w:t>
            </w:r>
            <w:r>
              <w:t xml:space="preserve">Reduces to Low only after an explicit, separate, evidenced face-recognition opt-in is added (§ 6). Headline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creep / cross-event identification</w:t>
            </w:r>
            <w:r>
              <w:t xml:space="preserve"> </w:t>
            </w:r>
            <w:r>
              <w:t xml:space="preserve">— vectors reused to identify a person across weddings, building a biometric identity graph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Per-event scoping — vectors NEVER reused across events (policy § 1.4).</w:t>
            </w:r>
            <w:r>
              <w:t xml:space="preserve"> </w:t>
            </w:r>
            <w:r>
              <w:t xml:space="preserve">No cross-event vector store; person-graph schema has no face field (DPIA 05 PG-6)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breach or theft</w:t>
            </w:r>
            <w:r>
              <w:t xml:space="preserve"> </w:t>
            </w:r>
            <w:r>
              <w:t xml:space="preserve">— biometric templates exfiltrated; a face</w:t>
            </w:r>
            <w:r>
              <w:t xml:space="preserve"> </w:t>
            </w:r>
            <w:r>
              <w:rPr>
                <w:b/>
                <w:bCs/>
              </w:rPr>
              <w:t xml:space="preserve">cannot be reset</w:t>
            </w:r>
            <w:r>
              <w:t xml:space="preserve"> </w:t>
            </w:r>
            <w:r>
              <w:t xml:space="preserve">like a password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Encrypted at rest (AES-256, policy § 1.4/§ 7.1); per-event silo limits blast radius; signed-URL-only media; RLS; 72-hr NPC + user breach notice (§ 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  <w:r>
              <w:t xml:space="preserve"> </w:t>
            </w:r>
            <w:r>
              <w:t xml:space="preserve">— residual impact stays elevated because biometrics are irrevocable;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whether vectors are separately key-scoped per event and whether raw enrolment images are purged post-vectorization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Misidentification / wrong-tag harm</w:t>
            </w:r>
            <w:r>
              <w:t xml:space="preserve"> </w:t>
            </w:r>
            <w:r>
              <w:t xml:space="preserve">— a guest tagged in a photo that isn’t them (or vice-versa), causing embarrassment or mis-delivery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Threshold ladder (≥ 0.85 auto · 0.65–0.85 human-confirmed suggestion · &lt; 0.65 untagged); couple review window before public unlock; max 10 tags/photo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Inability to withdraw / exercise erasure</w:t>
            </w:r>
            <w:r>
              <w:t xml:space="preserve"> </w:t>
            </w:r>
            <w:r>
              <w:t xml:space="preserve">— a guest cannot effectively revoke enrolment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“Delete my face data”</w:t>
            </w:r>
            <w:r>
              <w:t xml:space="preserve"> </w:t>
            </w:r>
            <w:r>
              <w:t xml:space="preserve">link (≤ 5-min revocation); Photo Consent OFF revokes live enrolment + clears selfie; account-deletion cascade to face vectors (policy §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Covert or non-consensual capture (paparazzi)</w:t>
            </w:r>
            <w:r>
              <w:t xml:space="preserve"> </w:t>
            </w:r>
            <w:r>
              <w:t xml:space="preserve">— a guest photographed/enrolled without a real choice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Paparazzi opt-out with</w:t>
            </w:r>
            <w:r>
              <w:t xml:space="preserve"> </w:t>
            </w:r>
            <w:r>
              <w:rPr>
                <w:b/>
                <w:bCs/>
              </w:rPr>
              <w:t xml:space="preserve">face-blur</w:t>
            </w:r>
            <w:r>
              <w:t xml:space="preserve"> </w:t>
            </w:r>
            <w:r>
              <w:t xml:space="preserve">for opted-out guests (policy § 6.1); NSFW filter always-on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</w:t>
            </w:r>
            <w:r>
              <w:t xml:space="preserve"> </w:t>
            </w:r>
            <w:r>
              <w:t xml:space="preserve">— depends on the § 6 consent fix and on opt-out being surfaced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capture, not only after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Re-identification from vectors</w:t>
            </w:r>
            <w:r>
              <w:t xml:space="preserve"> </w:t>
            </w:r>
            <w:r>
              <w:t xml:space="preserve">— a stored 128-dim template reverse-engineered or matched against an external face database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Per-event silo (no cross-event corpus to link against); encryption at rest; no sale/sharing (§ 2.3); no external face DB 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/ minor faces enrolled</w:t>
            </w:r>
            <w:r>
              <w:t xml:space="preserve"> </w:t>
            </w:r>
            <w:r>
              <w:t xml:space="preserve">— a minor guest’s biometric processed without lawful guardian 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Minors excluded from person-graph;</w:t>
            </w:r>
            <w:r>
              <w:t xml:space="preserve"> </w:t>
            </w:r>
            <w:r>
              <w:rPr>
                <w:b/>
                <w:bCs/>
              </w:rPr>
              <w:t xml:space="preserve">whether the auto-tag enrolment path itself blocks minors 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[TO CONFIRM]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cannot be rated Low until minor-enrolment behavior is confirmed and, if enrolment is possible, blocked or guardian-consent-gated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beyond necessity</w:t>
            </w:r>
            <w:r>
              <w:t xml:space="preserve"> </w:t>
            </w:r>
            <w:r>
              <w:t xml:space="preserve">— vectors kept longer than needed for tagging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5-year hard deletion with event data; earlier deletion via link/toggle; auto-purge (policy §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trols-already-built"/>
    <w:p>
      <w:pPr>
        <w:pStyle w:val="Heading2"/>
      </w:pPr>
      <w:r>
        <w:t xml:space="preserve">5. Controls already built</w:t>
      </w:r>
    </w:p>
    <w:p>
      <w:pPr>
        <w:pStyle w:val="FirstParagraph"/>
      </w:pPr>
      <w:r>
        <w:t xml:space="preserve">The following controls exist in the shipped design and are load-bearing for the residual ratings above: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Opt-in enrolment + Photo Consent OFF toggle</w:t>
      </w:r>
      <w:r>
        <w:t xml:space="preserve"> </w:t>
      </w:r>
      <w:r>
        <w:t xml:space="preserve">— enrolment originates from a guest-supplied RSVP/portal/kiosk photo; the profile</w:t>
      </w:r>
      <w:r>
        <w:t xml:space="preserve"> </w:t>
      </w:r>
      <w:r>
        <w:rPr>
          <w:b/>
          <w:bCs/>
        </w:rPr>
        <w:t xml:space="preserve">Photo Consent</w:t>
      </w:r>
      <w:r>
        <w:t xml:space="preserve"> </w:t>
      </w:r>
      <w:r>
        <w:t xml:space="preserve">toggle turns face detection off at any time (policy § 6.1).</w:t>
      </w:r>
      <w:r>
        <w:t xml:space="preserve"> </w:t>
      </w:r>
      <w:r>
        <w:rPr>
          <w:i/>
          <w:iCs/>
        </w:rPr>
        <w:t xml:space="preserve">(Note: this DPIA finds the opt-in standard itself insufficient for sensitive data — see § 6.)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Per-event scoping — vectors NEVER reused across events (policy § 1.4)</w:t>
      </w:r>
      <w:r>
        <w:t xml:space="preserve"> </w:t>
      </w:r>
      <w:r>
        <w:t xml:space="preserve">— the single most important control against function creep and cross-event identification.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Confidence thresholds</w:t>
      </w:r>
      <w:r>
        <w:t xml:space="preserve"> </w:t>
      </w:r>
      <w:r>
        <w:t xml:space="preserve">— ≥ 0.85 auto-tag · 0.65–0.85 human-confirmed suggestion · &lt; 0.65 untagged.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“Delete my face data”</w:t>
      </w:r>
      <w:r>
        <w:rPr>
          <w:b/>
          <w:bCs/>
        </w:rPr>
        <w:t xml:space="preserve"> </w:t>
      </w:r>
      <w:r>
        <w:rPr>
          <w:b/>
          <w:bCs/>
        </w:rPr>
        <w:t xml:space="preserve">link + ≤ 5-minute revocation cycle</w:t>
      </w:r>
      <w:r>
        <w:t xml:space="preserve">, and Photo Consent OFF revokes live enrolment + clears any selfie display photo.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5-year deletion</w:t>
      </w:r>
      <w:r>
        <w:t xml:space="preserve"> </w:t>
      </w:r>
      <w:r>
        <w:t xml:space="preserve">— vectors auto-purge with event data at the retention boundary (policy § 4); account-deletion cascades to face vectors (§ 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Face-blur for paparazzi opt-outs</w:t>
      </w:r>
      <w:r>
        <w:t xml:space="preserve"> </w:t>
      </w:r>
      <w:r>
        <w:t xml:space="preserve">— opted-out guests are face-blurred in captures (policy § 6.1).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Encryption at rest</w:t>
      </w:r>
      <w:r>
        <w:t xml:space="preserve"> </w:t>
      </w:r>
      <w:r>
        <w:t xml:space="preserve">— per-event vector store encrypted (AES-256), signed-URL-only media, RLS-gated linkage tables (policy § 1.4/§ 3.1/§ 3.2/§ 7.1).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NSFW filter always-on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couple review window</w:t>
      </w:r>
      <w:r>
        <w:t xml:space="preserve"> </w:t>
      </w:r>
      <w:r>
        <w:t xml:space="preserve">before public unlock (per Papic constraints).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Untagged-still-delivered guarantee</w:t>
      </w:r>
      <w:r>
        <w:t xml:space="preserve"> </w:t>
      </w:r>
      <w:r>
        <w:t xml:space="preserve">— declining biometrics never blocks a guest’s photos from reaching the gallery.</w:t>
      </w:r>
    </w:p>
    <w:p>
      <w:r>
        <w:pict>
          <v:rect style="width:0;height:1.5pt" o:hralign="center" o:hrstd="t" o:hr="t"/>
        </w:pict>
      </w:r>
    </w:p>
    <w:bookmarkEnd w:id="22"/>
    <w:bookmarkStart w:id="23" w:name="X55ffa255521ffe4b8bce9be1ed8deadabb1b2c6"/>
    <w:p>
      <w:pPr>
        <w:pStyle w:val="Heading2"/>
      </w:pPr>
      <w:r>
        <w:t xml:space="preserve">6. KEY FINDING — the consent standard for biometric data (headline)</w:t>
      </w:r>
    </w:p>
    <w:p>
      <w:pPr>
        <w:pStyle w:val="FirstParagraph"/>
      </w:pPr>
      <w:r>
        <w:rPr>
          <w:b/>
          <w:bCs/>
        </w:rPr>
        <w:t xml:space="preserve">Finding.</w:t>
      </w:r>
      <w:r>
        <w:t xml:space="preserve"> </w:t>
      </w:r>
      <w:r>
        <w:t xml:space="preserve">RA 10173 treats biometric data as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, and its processing requires consent that is</w:t>
      </w:r>
      <w:r>
        <w:t xml:space="preserve"> </w:t>
      </w:r>
      <w:r>
        <w:rPr>
          <w:b/>
          <w:bCs/>
        </w:rPr>
        <w:t xml:space="preserve">freely given, specific, informed, and EVIDENCED</w:t>
      </w:r>
      <w:r>
        <w:t xml:space="preserve"> </w:t>
      </w:r>
      <w:r>
        <w:t xml:space="preserve">(§ 3(b) defines consent; § 13 governs sensitive personal information; § 12 governs the general lawful bases). The current design relies on</w:t>
      </w:r>
      <w:r>
        <w:t xml:space="preserve"> </w:t>
      </w:r>
      <w:r>
        <w:rPr>
          <w:b/>
          <w:bCs/>
        </w:rPr>
        <w:t xml:space="preserve">“implicit consent”</w:t>
      </w:r>
      <w:r>
        <w:t xml:space="preserve"> </w:t>
      </w:r>
      <w:r>
        <w:t xml:space="preserve">— a guest uploads an RSVP profile photo and that upload is treated as consent to face-recognition auto-tagging (policy § 6.1:</w:t>
      </w:r>
      <w:r>
        <w:t xml:space="preserve"> </w:t>
      </w:r>
      <w:r>
        <w:rPr>
          <w:i/>
          <w:iCs/>
        </w:rPr>
        <w:t xml:space="preserve">“implicit consent — they uploaded the photo for this purpose”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Assessment.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ordinary</w:t>
      </w:r>
      <w:r>
        <w:t xml:space="preserve"> </w:t>
      </w:r>
      <w:r>
        <w:t xml:space="preserve">PII, an implied/purpose-bundled consent may be defensible. For</w:t>
      </w:r>
      <w:r>
        <w:t xml:space="preserve"> </w:t>
      </w:r>
      <w:r>
        <w:rPr>
          <w:b/>
          <w:bCs/>
        </w:rPr>
        <w:t xml:space="preserve">sensitive biometric</w:t>
      </w:r>
      <w:r>
        <w:t xml:space="preserve"> </w:t>
      </w:r>
      <w:r>
        <w:t xml:space="preserve">data it is</w:t>
      </w:r>
      <w:r>
        <w:t xml:space="preserve"> </w:t>
      </w:r>
      <w:r>
        <w:rPr>
          <w:b/>
          <w:bCs/>
        </w:rPr>
        <w:t xml:space="preserve">likely insufficient</w:t>
      </w:r>
      <w:r>
        <w:t xml:space="preserve">, for three reasons: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 specific.</w:t>
      </w:r>
      <w:r>
        <w:t xml:space="preserve"> </w:t>
      </w:r>
      <w:r>
        <w:t xml:space="preserve">Uploading a photo is a distinct act from consenting to have a</w:t>
      </w:r>
      <w:r>
        <w:t xml:space="preserve"> </w:t>
      </w:r>
      <w:r>
        <w:rPr>
          <w:b/>
          <w:bCs/>
        </w:rPr>
        <w:t xml:space="preserve">biometric template</w:t>
      </w:r>
      <w:r>
        <w:t xml:space="preserve"> </w:t>
      </w:r>
      <w:r>
        <w:t xml:space="preserve">computed and matched. Bundling the two means the biometric consent is not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to that processing.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 clearly informed.</w:t>
      </w:r>
      <w:r>
        <w:t xml:space="preserve"> </w:t>
      </w:r>
      <w:r>
        <w:t xml:space="preserve">The guest is not necessarily told, at the moment of upload, that a 128-dim face vector will be generated, stored per-event, and used to auto-tag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 clearly evidenced.</w:t>
      </w:r>
      <w:r>
        <w:t xml:space="preserve"> </w:t>
      </w:r>
      <w:r>
        <w:t xml:space="preserve">“They uploaded a photo”</w:t>
      </w:r>
      <w:r>
        <w:t xml:space="preserve"> </w:t>
      </w:r>
      <w:r>
        <w:t xml:space="preserve">is weak, contestable evidence of consent to biometric processing; RA 10173 expects consent to sensitive processing to be demonstrable as a discrete, recorded choice.</w:t>
      </w:r>
    </w:p>
    <w:p>
      <w:pPr>
        <w:pStyle w:val="FirstParagraph"/>
      </w:pPr>
      <w:r>
        <w:rPr>
          <w:b/>
          <w:bCs/>
        </w:rPr>
        <w:t xml:space="preserve">Recommendation (conservative path — the headline recommendation of this DPIA).</w:t>
      </w:r>
      <w:r>
        <w:t xml:space="preserve"> </w:t>
      </w:r>
      <w:r>
        <w:t xml:space="preserve">Introduce an</w:t>
      </w:r>
      <w:r>
        <w:t xml:space="preserve"> </w:t>
      </w:r>
      <w:r>
        <w:rPr>
          <w:b/>
          <w:bCs/>
        </w:rPr>
        <w:t xml:space="preserve">explicit, separate, granular opt-in for face recognition</w:t>
      </w:r>
      <w:r>
        <w:t xml:space="preserve">, distinct from photo upload:</w:t>
      </w:r>
    </w:p>
    <w:p>
      <w:pPr>
        <w:pStyle w:val="Compact"/>
        <w:numPr>
          <w:ilvl w:val="0"/>
          <w:numId w:val="1010"/>
        </w:numPr>
      </w:pPr>
      <w:r>
        <w:t xml:space="preserve">A dedicated toggle/consent string — e.g. </w:t>
      </w:r>
      <w:r>
        <w:rPr>
          <w:i/>
          <w:iCs/>
        </w:rPr>
        <w:t xml:space="preserve">“Use face recognition to automatically find and tag me in this event’s photos”</w:t>
      </w:r>
      <w:r>
        <w:t xml:space="preserve"> </w:t>
      </w:r>
      <w:r>
        <w:t xml:space="preserve">— presented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from uploading a profile photo, defaulted</w:t>
      </w:r>
      <w:r>
        <w:t xml:space="preserve"> </w:t>
      </w:r>
      <w:r>
        <w:rPr>
          <w:b/>
          <w:bCs/>
        </w:rPr>
        <w:t xml:space="preserve">OFF</w:t>
      </w:r>
      <w:r>
        <w:t xml:space="preserve">, and</w:t>
      </w:r>
      <w:r>
        <w:t xml:space="preserve"> </w:t>
      </w:r>
      <w:r>
        <w:rPr>
          <w:b/>
          <w:bCs/>
        </w:rPr>
        <w:t xml:space="preserve">logged with timestamp</w:t>
      </w:r>
      <w:r>
        <w:t xml:space="preserve"> </w:t>
      </w:r>
      <w:r>
        <w:t xml:space="preserve">(mirroring the</w:t>
      </w:r>
      <w:r>
        <w:t xml:space="preserve"> </w:t>
      </w:r>
      <w:r>
        <w:rPr>
          <w:rStyle w:val="VerbatimChar"/>
        </w:rPr>
        <w:t xml:space="preserve">policy_acceptances</w:t>
      </w:r>
      <w:r>
        <w:t xml:space="preserve"> </w:t>
      </w:r>
      <w:r>
        <w:t xml:space="preserve">evidence pattern, ideally a purpose-specific</w:t>
      </w:r>
      <w:r>
        <w:t xml:space="preserve"> </w:t>
      </w:r>
      <w:r>
        <w:rPr>
          <w:rStyle w:val="VerbatimChar"/>
        </w:rPr>
        <w:t xml:space="preserve">face_recognition_consent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Uploading a photo (for a display avatar / manual use) must remain possible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enabling face recognition — the two choices decoupled.</w:t>
      </w:r>
    </w:p>
    <w:p>
      <w:pPr>
        <w:pStyle w:val="Compact"/>
        <w:numPr>
          <w:ilvl w:val="0"/>
          <w:numId w:val="1010"/>
        </w:numPr>
      </w:pPr>
      <w:r>
        <w:t xml:space="preserve">Keep the full non-biometric path (QR + manual tagging) as the default so declining face recognition is costless.</w:t>
      </w:r>
    </w:p>
    <w:p>
      <w:pPr>
        <w:pStyle w:val="Compact"/>
        <w:numPr>
          <w:ilvl w:val="0"/>
          <w:numId w:val="1010"/>
        </w:numPr>
      </w:pPr>
      <w:r>
        <w:t xml:space="preserve">Re-consent, don’t grandfather: existing enrolments captured under the implicit-consent model should be re-papered under the explicit opt-in before wider rollout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with counsel.</w:t>
      </w:r>
    </w:p>
    <w:p>
      <w:pPr>
        <w:pStyle w:val="FirstParagraph"/>
      </w:pPr>
      <w:r>
        <w:t xml:space="preserve">Adopt this</w:t>
      </w:r>
      <w:r>
        <w:t xml:space="preserve"> </w:t>
      </w:r>
      <w:r>
        <w:rPr>
          <w:b/>
          <w:bCs/>
        </w:rPr>
        <w:t xml:space="preserve">unless PH counsel advises</w:t>
      </w:r>
      <w:r>
        <w:t xml:space="preserve"> </w:t>
      </w:r>
      <w:r>
        <w:t xml:space="preserve">that a narrower approach satisfies § 12–13 for this population. This is the single change that most reduces the residual risk of the whole feature (BV-1).</w:t>
      </w:r>
    </w:p>
    <w:p>
      <w:r>
        <w:pict>
          <v:rect style="width:0;height:1.5pt" o:hralign="center" o:hrstd="t" o:hr="t"/>
        </w:pict>
      </w:r>
    </w:p>
    <w:bookmarkEnd w:id="23"/>
    <w:bookmarkStart w:id="24" w:name="residual-risk-conclusion"/>
    <w:p>
      <w:pPr>
        <w:pStyle w:val="Heading2"/>
      </w:pPr>
      <w:r>
        <w:t xml:space="preserve">7. Residual-risk conclusion</w:t>
      </w:r>
    </w:p>
    <w:p>
      <w:pPr>
        <w:pStyle w:val="FirstParagraph"/>
      </w:pPr>
      <w:r>
        <w:t xml:space="preserve">With the controls in § 5 — above all</w:t>
      </w:r>
      <w:r>
        <w:t xml:space="preserve"> </w:t>
      </w:r>
      <w:r>
        <w:rPr>
          <w:b/>
          <w:bCs/>
        </w:rPr>
        <w:t xml:space="preserve">per-event scoping</w:t>
      </w:r>
      <w:r>
        <w:t xml:space="preserve">, the</w:t>
      </w:r>
      <w:r>
        <w:t xml:space="preserve"> </w:t>
      </w:r>
      <w:r>
        <w:rPr>
          <w:b/>
          <w:bCs/>
        </w:rPr>
        <w:t xml:space="preserve">threshold ladder</w:t>
      </w:r>
      <w:r>
        <w:t xml:space="preserve">,</w:t>
      </w:r>
      <w:r>
        <w:t xml:space="preserve"> </w:t>
      </w:r>
      <w:r>
        <w:rPr>
          <w:b/>
          <w:bCs/>
        </w:rPr>
        <w:t xml:space="preserve">≤ 5-min revocation</w:t>
      </w:r>
      <w:r>
        <w:t xml:space="preserve">,</w:t>
      </w:r>
      <w:r>
        <w:t xml:space="preserve"> </w:t>
      </w:r>
      <w:r>
        <w:rPr>
          <w:b/>
          <w:bCs/>
        </w:rPr>
        <w:t xml:space="preserve">5-year deletion</w:t>
      </w:r>
      <w:r>
        <w:t xml:space="preserve">,</w:t>
      </w:r>
      <w:r>
        <w:t xml:space="preserve"> </w:t>
      </w:r>
      <w:r>
        <w:rPr>
          <w:b/>
          <w:bCs/>
        </w:rPr>
        <w:t xml:space="preserve">face-blur opt-out</w:t>
      </w:r>
      <w:r>
        <w:t xml:space="preserve">, and</w:t>
      </w:r>
      <w:r>
        <w:t xml:space="preserve"> </w:t>
      </w:r>
      <w:r>
        <w:rPr>
          <w:b/>
          <w:bCs/>
        </w:rPr>
        <w:t xml:space="preserve">encryption at rest</w:t>
      </w:r>
      <w:r>
        <w:t xml:space="preserve"> </w:t>
      </w:r>
      <w:r>
        <w:t xml:space="preserve">— most biometric risks reduce to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(BV-2, BV-4, BV-5, BV-7, BV-9) or</w:t>
      </w:r>
      <w:r>
        <w:t xml:space="preserve"> </w:t>
      </w:r>
      <w:r>
        <w:rPr>
          <w:b/>
          <w:bCs/>
        </w:rPr>
        <w:t xml:space="preserve">Low–Med</w:t>
      </w:r>
      <w:r>
        <w:t xml:space="preserve"> </w:t>
      </w:r>
      <w:r>
        <w:t xml:space="preserve">(BV-3, BV-6).</w:t>
      </w:r>
    </w:p>
    <w:p>
      <w:pPr>
        <w:pStyle w:val="BodyText"/>
      </w:pPr>
      <w:r>
        <w:rPr>
          <w:b/>
          <w:bCs/>
        </w:rPr>
        <w:t xml:space="preserve">However, overall residual risk is CONDITIONAL and cannot be declared Low–Medium until the consent-standard fix lands.</w:t>
      </w:r>
      <w:r>
        <w:t xml:space="preserve"> </w:t>
      </w:r>
      <w:r>
        <w:t xml:space="preserve">Specifically, before or at wider rollout / scale: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MUST — upgrade the consent standard (BV-1 / § 6):</w:t>
      </w:r>
      <w:r>
        <w:t xml:space="preserve"> </w:t>
      </w:r>
      <w:r>
        <w:t xml:space="preserve">ship an</w:t>
      </w:r>
      <w:r>
        <w:t xml:space="preserve"> </w:t>
      </w:r>
      <w:r>
        <w:rPr>
          <w:b/>
          <w:bCs/>
        </w:rPr>
        <w:t xml:space="preserve">explicit, separate, evidenced face-recognition opt-in</w:t>
      </w:r>
      <w:r>
        <w:t xml:space="preserve">, decoupled from photo upload, defaulted OFF, and logged. Re-consent existing enrolments.</w:t>
      </w:r>
      <w:r>
        <w:t xml:space="preserve"> </w:t>
      </w:r>
      <w:r>
        <w:rPr>
          <w:i/>
          <w:iCs/>
        </w:rPr>
        <w:t xml:space="preserve">This is the gating item.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MUST — resolve minor enrolment (BV-8):</w:t>
      </w:r>
      <w:r>
        <w:t xml:space="preserve"> </w:t>
      </w:r>
      <w:r>
        <w:t xml:space="preserve">confirm whether the auto-tag path can enrol a minor guest today; if so, block it or gate it behind verified guardian consent.</w:t>
      </w:r>
      <w:r>
        <w:t xml:space="preserve"> </w:t>
      </w:r>
      <w:r>
        <w:rPr>
          <w:rStyle w:val="VerbatimChar"/>
        </w:rPr>
        <w:t xml:space="preserve">[TO CONFIRM]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SHOULD — confirm engine location + key/image hygiene (BV-3):</w:t>
      </w:r>
      <w:r>
        <w:t xml:space="preserve"> </w:t>
      </w:r>
      <w:r>
        <w:t xml:space="preserve">record the matching-engine host/location (and any sub-processor / cross-border transfer per policy § 10), confirm per-event key scoping, and confirm raw enrolment images are purged after the vector is derived.</w:t>
      </w:r>
      <w:r>
        <w:t xml:space="preserve"> </w:t>
      </w:r>
      <w:r>
        <w:rPr>
          <w:rStyle w:val="VerbatimChar"/>
        </w:rPr>
        <w:t xml:space="preserve">[TO CONFIRM]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SHOULD — ensure paparazzi opt-out is offered before capture (BV-6)</w:t>
      </w:r>
      <w:r>
        <w:t xml:space="preserve">, not only remediated after.</w:t>
      </w:r>
    </w:p>
    <w:p>
      <w:pPr>
        <w:pStyle w:val="FirstParagraph"/>
      </w:pPr>
      <w:r>
        <w:rPr>
          <w:b/>
          <w:bCs/>
        </w:rPr>
        <w:t xml:space="preserve">With items 1–2 done, residual risk across the feature is Low–Medium.</w:t>
      </w:r>
      <w:r>
        <w:t xml:space="preserve"> </w:t>
      </w:r>
      <w:r>
        <w:t xml:space="preserve">Until then, the biometric processing should be treated as</w:t>
      </w:r>
      <w:r>
        <w:t xml:space="preserve"> </w:t>
      </w:r>
      <w:r>
        <w:rPr>
          <w:b/>
          <w:bCs/>
        </w:rPr>
        <w:t xml:space="preserve">counsel-first / not-cleared-for-wider-rollout</w:t>
      </w:r>
      <w:r>
        <w:t xml:space="preserve">, consistent with the register R-01 status.</w:t>
      </w:r>
    </w:p>
    <w:p>
      <w:r>
        <w:pict>
          <v:rect style="width:0;height:1.5pt" o:hralign="center" o:hrstd="t" o:hr="t"/>
        </w:pict>
      </w:r>
    </w:p>
    <w:bookmarkEnd w:id="24"/>
    <w:bookmarkStart w:id="25" w:name="sign-off"/>
    <w:p>
      <w:pPr>
        <w:pStyle w:val="Heading2"/>
      </w:pPr>
      <w:r>
        <w:t xml:space="preserve">8.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</w:t>
            </w:r>
          </w:p>
        </w:tc>
        <w:tc>
          <w:tcPr/>
          <w:p>
            <w:pPr>
              <w:pStyle w:val="Compact"/>
            </w:pPr>
            <w:r>
              <w:t xml:space="preserve">Indalecio Sacdalan Casasola II (for SETNAYAN SOFTWARE DEVELOPMENT SERVICE)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 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 review date:</w:t>
      </w:r>
      <w:r>
        <w:t xml:space="preserve"> </w:t>
      </w:r>
      <w:r>
        <w:rPr>
          <w:rStyle w:val="VerbatimChar"/>
        </w:rPr>
        <w:t xml:space="preserve">[TO CONFIRM date]</w:t>
      </w:r>
      <w:r>
        <w:t xml:space="preserve"> </w:t>
      </w:r>
      <w:r>
        <w:t xml:space="preserve">(recommend: on adoption of the explicit face-recognition consent flow, at any material change to the vector schema / thresholds / retention, or 12 months from adoption, whichever is sooner).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compliant baseline prepared ahead of counsel; it is not a substitute for legal review. To be finalized with Indalecio Sacdalan Casasola II (DPO) and PH counsel. The biometric processing remains counsel-first (register R-01): the explicit-consent upgrade (§ 6) and the minor-enrolment question (BV-8) must be resolved before wider rollout.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2026-07-07T15:46:13Z</dcterms:created>
  <dcterms:modified xsi:type="dcterms:W3CDTF">2026-07-07T15:46:13Z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