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6ab5d09edebb552a75d4d8678bfc0f517572bf"/>
    <w:p>
      <w:pPr>
        <w:pStyle w:val="Heading1"/>
      </w:pPr>
      <w:r>
        <w:t xml:space="preserve">Data Privacy Impact Assessment (DPIA) — Anti-Fraud &amp; Trust Integrity (identity clustering · fraud detection · enforcement)</w:t>
      </w:r>
    </w:p>
    <w:p>
      <w:pPr>
        <w:pStyle w:val="BlockText"/>
      </w:pPr>
      <w:r>
        <w:rPr>
          <w:b/>
          <w:bCs/>
        </w:rPr>
        <w:t xml:space="preserve">DRAFT — for DPO (Indalecio Sacdalan Casasola II) + PH counsel finalization; not yet adopted.</w:t>
      </w:r>
      <w:r>
        <w:t xml:space="preserve"> </w:t>
      </w:r>
      <w:r>
        <w:t xml:space="preserve">· 2026-07-07</w:t>
      </w:r>
    </w:p>
    <w:p>
      <w:pPr>
        <w:pStyle w:val="BlockText"/>
      </w:pPr>
      <w:r>
        <w:t xml:space="preserve">Prepared under RA 10173 (Data Privacy Act of 2012), its IRR, and NPC guidance on Privacy Impact Assessments (NPC Advisory No. 2017-03 and related issuances). This is the standalone, full DPIA for register row</w:t>
      </w:r>
      <w:r>
        <w:t xml:space="preserve"> </w:t>
      </w:r>
      <w:r>
        <w:rPr>
          <w:b/>
          <w:bCs/>
        </w:rPr>
        <w:t xml:space="preserve">R-08</w:t>
      </w:r>
      <w:r>
        <w:t xml:space="preserve"> </w:t>
      </w:r>
      <w:r>
        <w:t xml:space="preserve">(</w:t>
      </w:r>
      <w:r>
        <w:rPr>
          <w:rStyle w:val="VerbatimChar"/>
        </w:rPr>
        <w:t xml:space="preserve">05_DPIA_Register_DRAFT_2026-07-05.md</w:t>
      </w:r>
      <w:r>
        <w:t xml:space="preserve">). It is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because it (a)</w:t>
      </w:r>
      <w:r>
        <w:t xml:space="preserve"> </w:t>
      </w:r>
      <w:r>
        <w:rPr>
          <w:b/>
          <w:bCs/>
        </w:rPr>
        <w:t xml:space="preserve">repurposes</w:t>
      </w:r>
      <w:r>
        <w:t xml:space="preserve"> </w:t>
      </w:r>
      <w:r>
        <w:t xml:space="preserve">already-collected personal data (device fingerprint, normalized home address, payment-sender identity) for a</w:t>
      </w:r>
      <w:r>
        <w:t xml:space="preserve"> </w:t>
      </w:r>
      <w:r>
        <w:rPr>
          <w:b/>
          <w:bCs/>
        </w:rPr>
        <w:t xml:space="preserve">new purpose</w:t>
      </w:r>
      <w:r>
        <w:t xml:space="preserve"> </w:t>
      </w:r>
      <w:r>
        <w:t xml:space="preserve">without the data subject’s active choice, and (b) performs</w:t>
      </w:r>
      <w:r>
        <w:t xml:space="preserve"> </w:t>
      </w:r>
      <w:r>
        <w:rPr>
          <w:b/>
          <w:bCs/>
        </w:rPr>
        <w:t xml:space="preserve">automated decision-making with significant effects</w:t>
      </w:r>
      <w:r>
        <w:t xml:space="preserve"> </w:t>
      </w:r>
      <w:r>
        <w:t xml:space="preserve">— it can automatically hide a vendor’s livelihood-bearing listing and, on human confirmation, permanently ban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X3df01a28d5d54ba28242b9c4d18485c0406dccd"/>
      <w:r>
        <w:t xml:space="preserve">⚠ STATUS — this processing is LIVE IN PRODUCTION as of 2026-07-07, ahead of counsel sign-off (read first)</w:t>
      </w:r>
      <w:bookmarkEnd w:id="9"/>
    </w:p>
    <w:p>
      <w:pPr>
        <w:pStyle w:val="BlockText"/>
      </w:pPr>
      <w:r>
        <w:t xml:space="preserve">The anti-fraud stack (repo PRs #2834/#2835/#2836/#2838/#2841 · migrations</w:t>
      </w:r>
      <w:r>
        <w:t xml:space="preserve"> </w:t>
      </w:r>
      <w:r>
        <w:rPr>
          <w:rStyle w:val="VerbatimChar"/>
        </w:rPr>
        <w:t xml:space="preserve">20270516600000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20270517644717</w:t>
      </w:r>
      <w:r>
        <w:t xml:space="preserve">,</w:t>
      </w:r>
      <w:r>
        <w:t xml:space="preserve"> </w:t>
      </w:r>
      <w:r>
        <w:rPr>
          <w:rStyle w:val="VerbatimChar"/>
        </w:rPr>
        <w:t xml:space="preserve">20270518682623</w:t>
      </w:r>
      <w:r>
        <w:t xml:space="preserve">) was</w:t>
      </w:r>
      <w:r>
        <w:t xml:space="preserve"> </w:t>
      </w:r>
      <w:r>
        <w:rPr>
          <w:b/>
          <w:bCs/>
        </w:rPr>
        <w:t xml:space="preserve">shipped to production on 2026-07-07</w:t>
      </w:r>
      <w:r>
        <w:t xml:space="preserve">. The engineering PRs each flagged</w:t>
      </w:r>
      <w:r>
        <w:t xml:space="preserve"> </w:t>
      </w:r>
      <w:r>
        <w:rPr>
          <w:b/>
          <w:bCs/>
        </w:rPr>
        <w:t xml:space="preserve">counsel review PENDING</w:t>
      </w:r>
      <w:r>
        <w:t xml:space="preserve"> </w:t>
      </w:r>
      <w:r>
        <w:t xml:space="preserve">for this RA 10173 processing; the</w:t>
      </w:r>
      <w:r>
        <w:t xml:space="preserve"> </w:t>
      </w:r>
      <w:r>
        <w:rPr>
          <w:b/>
          <w:bCs/>
        </w:rPr>
        <w:t xml:space="preserve">owner (PIC) elected to ship ahead of that review</w:t>
      </w:r>
      <w:r>
        <w:t xml:space="preserve"> </w:t>
      </w:r>
      <w:r>
        <w:t xml:space="preserve">to unblock the feature.</w:t>
      </w:r>
      <w:r>
        <w:t xml:space="preserve"> </w:t>
      </w:r>
      <w:r>
        <w:rPr>
          <w:b/>
          <w:bCs/>
        </w:rPr>
        <w:t xml:space="preserve">This DPIA is therefore a retroactive assessment</w:t>
      </w:r>
      <w:r>
        <w:t xml:space="preserve"> </w:t>
      </w:r>
      <w:r>
        <w:t xml:space="preserve">— it documents processing that is already occurring and identifies what must still be done (chiefly the</w:t>
      </w:r>
      <w:r>
        <w:t xml:space="preserve"> </w:t>
      </w:r>
      <w:r>
        <w:rPr>
          <w:b/>
          <w:bCs/>
        </w:rPr>
        <w:t xml:space="preserve">transparency/disclosure gap in §6</w:t>
      </w:r>
      <w:r>
        <w:t xml:space="preserve">) to bring it fully into compliance.</w:t>
      </w:r>
      <w:r>
        <w:t xml:space="preserve"> </w:t>
      </w:r>
      <w:r>
        <w:rPr>
          <w:b/>
          <w:bCs/>
        </w:rPr>
        <w:t xml:space="preserve">Counsel review remains outstanding and is the gating adoption item.</w:t>
      </w:r>
      <w:r>
        <w:t xml:space="preserve"> </w:t>
      </w:r>
      <w:r>
        <w:t xml:space="preserve">Nothing in this DPIA should be read as confirming the processing was cleared before launch.</w:t>
      </w:r>
    </w:p>
    <w:bookmarkStart w:id="10" w:name="instrument-identity"/>
    <w:p>
      <w:pPr>
        <w:pStyle w:val="Heading2"/>
      </w:pPr>
      <w:r>
        <w:t xml:space="preserve">0. Instrument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 (PIC)</w:t>
            </w:r>
          </w:p>
        </w:tc>
        <w:tc>
          <w:tcPr/>
          <w:p>
            <w:pPr>
              <w:pStyle w:val="Compact"/>
            </w:pPr>
            <w:r>
              <w:t xml:space="preserve">SETNAYAN SOFTWARE DEVELOPMENT SERVICE — sole proprietorship of Indalecio Sacdalan Casasola II · DTI Business Name Reg. No. 8297508. Operating brand: Setnayan.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(DPO)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· iscasasolaii@gmail.com · registered (or registration in progress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) with the 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DPIA owner</w:t>
            </w:r>
          </w:p>
        </w:tc>
        <w:tc>
          <w:tcPr/>
          <w:p>
            <w:pPr>
              <w:pStyle w:val="Compact"/>
            </w:pPr>
            <w:r>
              <w:t xml:space="preserve">DPO (Indalecio Sacdalan Casasola 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assessed</w:t>
            </w:r>
          </w:p>
        </w:tc>
        <w:tc>
          <w:tcPr/>
          <w:p>
            <w:pPr>
              <w:pStyle w:val="Compact"/>
            </w:pPr>
            <w:r>
              <w:t xml:space="preserve">Anti-Fraud &amp; Trust Integrity — identity clustering + vendor fraud detection/scoring + two-stage enforcement — register 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Governing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01_Contracts/Setnayan_Privacy_and_Security_Policy.md</w:t>
            </w:r>
            <w:r>
              <w:t xml:space="preserve"> </w:t>
            </w:r>
            <w:r>
              <w:t xml:space="preserve">§ 1.1 (identity/device/payment data collected), § 2 (purposes), § 3 (storage/RLS), § 4 (retention), § 10 (sub-processors/cross-border) —</w:t>
            </w:r>
            <w:r>
              <w:t xml:space="preserve"> </w:t>
            </w:r>
            <w:r>
              <w:rPr>
                <w:b/>
                <w:bCs/>
              </w:rPr>
              <w:t xml:space="preserve">an Anti-Fraud amendment is REQUIRED and not yet drafted (see 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03_Strategy/Anti_Fraud_Trust_Integrity_2026-07-05.md</w:t>
            </w:r>
            <w:r>
              <w:t xml:space="preserve"> </w:t>
            </w:r>
            <w:r>
              <w:t xml:space="preserve">§§ 3–6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code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  <w:r>
              <w:t xml:space="preserve"> </w:t>
            </w:r>
            <w:r>
              <w:rPr>
                <w:rStyle w:val="VerbatimChar"/>
              </w:rPr>
              <w:t xml:space="preserve">20270516600000_identity_clusters_phase2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20270517644717_fraud_signals_detection_engine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20270518682623_fraud_enforcement_state_and_audit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apps/web/lib/fraud-detection*.ts</w:t>
            </w:r>
            <w:r>
              <w:t xml:space="preserve">; admin surface</w:t>
            </w:r>
            <w:r>
              <w:t xml:space="preserve"> </w:t>
            </w:r>
            <w:r>
              <w:rPr>
                <w:rStyle w:val="VerbatimChar"/>
              </w:rPr>
              <w:t xml:space="preserve">/admin/fraud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 (inherent)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repurposed personal data + involuntary profiling + automated decisions with significant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DPIA status</w:t>
            </w:r>
          </w:p>
        </w:tc>
        <w:tc>
          <w:tcPr/>
          <w:p>
            <w:pPr>
              <w:pStyle w:val="Compact"/>
            </w:pPr>
            <w:r>
              <w:t xml:space="preserve">DRAFT — pending DPO adoption + PH counsel review;</w:t>
            </w:r>
            <w:r>
              <w:t xml:space="preserve"> </w:t>
            </w:r>
            <w:r>
              <w:rPr>
                <w:b/>
                <w:bCs/>
              </w:rPr>
              <w:t xml:space="preserve">processing is already live</w:t>
            </w:r>
            <w:r>
              <w:t xml:space="preserve"> </w:t>
            </w:r>
            <w:r>
              <w:t xml:space="preserve">(see status banner)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/ date</w:t>
            </w:r>
          </w:p>
        </w:tc>
        <w:tc>
          <w:tcPr/>
          <w:p>
            <w:pPr>
              <w:pStyle w:val="Compact"/>
            </w:pPr>
            <w:r>
              <w:t xml:space="preserve">2026-07-07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description-of-the-processing"/>
    <w:p>
      <w:pPr>
        <w:pStyle w:val="Heading2"/>
      </w:pPr>
      <w:r>
        <w:t xml:space="preserve">1. Description of the processing</w:t>
      </w:r>
    </w:p>
    <w:bookmarkStart w:id="11" w:name="what-the-processing-is"/>
    <w:p>
      <w:pPr>
        <w:pStyle w:val="Heading3"/>
      </w:pPr>
      <w:r>
        <w:t xml:space="preserve">1.1 What the processing is</w:t>
      </w:r>
    </w:p>
    <w:p>
      <w:pPr>
        <w:pStyle w:val="FirstParagraph"/>
      </w:pPr>
      <w:r>
        <w:t xml:space="preserve">Three layered, service-internal mechanisms that protect marketplace trust signals (reviews, booking counts, badges) from manipulation: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clustering</w:t>
      </w:r>
      <w:r>
        <w:t xml:space="preserve"> </w:t>
      </w:r>
      <w:r>
        <w:t xml:space="preserve">— links multiple user accounts that are probably the</w:t>
      </w:r>
      <w:r>
        <w:t xml:space="preserve"> </w:t>
      </w:r>
      <w:r>
        <w:rPr>
          <w:i/>
          <w:iCs/>
        </w:rPr>
        <w:t xml:space="preserve">same person or household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shared strong signals</w:t>
      </w:r>
      <w:r>
        <w:t xml:space="preserve">: the same</w:t>
      </w:r>
      <w:r>
        <w:t xml:space="preserve"> </w:t>
      </w:r>
      <w:r>
        <w:rPr>
          <w:b/>
          <w:bCs/>
        </w:rPr>
        <w:t xml:space="preserve">device fingerprint</w:t>
      </w:r>
      <w:r>
        <w:t xml:space="preserve">, the same</w:t>
      </w:r>
      <w:r>
        <w:t xml:space="preserve"> </w:t>
      </w:r>
      <w:r>
        <w:rPr>
          <w:b/>
          <w:bCs/>
        </w:rPr>
        <w:t xml:space="preserve">normalized home address</w:t>
      </w:r>
      <w:r>
        <w:t xml:space="preserve">, or the same</w:t>
      </w:r>
      <w:r>
        <w:t xml:space="preserve"> </w:t>
      </w:r>
      <w:r>
        <w:rPr>
          <w:b/>
          <w:bCs/>
        </w:rPr>
        <w:t xml:space="preserve">payment-sender identity</w:t>
      </w:r>
      <w:r>
        <w:t xml:space="preserve">. Each connected group is assigned an opaque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Trust-stat de-duplication</w:t>
      </w:r>
      <w:r>
        <w:t xml:space="preserve"> </w:t>
      </w:r>
      <w:r>
        <w:t xml:space="preserve">— vendor review counts, ratings, and completed-booking counts are counted</w:t>
      </w:r>
      <w:r>
        <w:t xml:space="preserve"> </w:t>
      </w:r>
      <w:r>
        <w:rPr>
          <w:b/>
          <w:bCs/>
        </w:rPr>
        <w:t xml:space="preserve">per cluster, not per account</w:t>
      </w:r>
      <w:r>
        <w:t xml:space="preserve">, and</w:t>
      </w:r>
      <w:r>
        <w:t xml:space="preserve"> </w:t>
      </w:r>
      <w:r>
        <w:rPr>
          <w:b/>
          <w:bCs/>
        </w:rPr>
        <w:t xml:space="preserve">arm’s-length-excluded</w:t>
      </w:r>
      <w:r>
        <w:t xml:space="preserve"> </w:t>
      </w:r>
      <w:r>
        <w:t xml:space="preserve">(a review/booking from someone in the vendor owner’s or team’s own cluster does not count). This is what makes fake-account rings ineffective.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Fraud detection + two-stage enforcement</w:t>
      </w:r>
      <w:r>
        <w:t xml:space="preserve"> </w:t>
      </w:r>
      <w:r>
        <w:t xml:space="preserve">— per-vendor anomaly</w:t>
      </w:r>
      <w:r>
        <w:t xml:space="preserve"> </w:t>
      </w:r>
      <w:r>
        <w:rPr>
          <w:b/>
          <w:bCs/>
        </w:rPr>
        <w:t xml:space="preserve">signals</w:t>
      </w:r>
      <w:r>
        <w:t xml:space="preserve"> </w:t>
      </w:r>
      <w:r>
        <w:t xml:space="preserve">(score 0–100) are computed and stored; a high aggregate score can</w:t>
      </w:r>
      <w:r>
        <w:t xml:space="preserve"> </w:t>
      </w:r>
      <w:r>
        <w:rPr>
          <w:b/>
          <w:bCs/>
        </w:rPr>
        <w:t xml:space="preserve">auto-suspend</w:t>
      </w:r>
      <w:r>
        <w:t xml:space="preserve"> </w:t>
      </w:r>
      <w:r>
        <w:t xml:space="preserve">a vendor (reversible), and — only on a second admin’s confirmation via the four-eyes gate — a vendor can be</w:t>
      </w:r>
      <w:r>
        <w:t xml:space="preserve"> </w:t>
      </w:r>
      <w:r>
        <w:rPr>
          <w:b/>
          <w:bCs/>
        </w:rPr>
        <w:t xml:space="preserve">wiped + permanently banned</w:t>
      </w:r>
      <w:r>
        <w:t xml:space="preserve"> </w:t>
      </w:r>
      <w:r>
        <w:t xml:space="preserve">(irreversible).</w:t>
      </w:r>
    </w:p>
    <w:bookmarkEnd w:id="11"/>
    <w:bookmarkStart w:id="12" w:name="why-it-is-processed-purpose"/>
    <w:p>
      <w:pPr>
        <w:pStyle w:val="Heading3"/>
      </w:pPr>
      <w:r>
        <w:t xml:space="preserve">1.2 Why it is processed (purpose)</w:t>
      </w:r>
    </w:p>
    <w:p>
      <w:pPr>
        <w:pStyle w:val="FirstParagraph"/>
      </w:pPr>
      <w:r>
        <w:rPr>
          <w:b/>
          <w:bCs/>
        </w:rPr>
        <w:t xml:space="preserve">Fraud prevention and marketplace integrity</w:t>
      </w:r>
      <w:r>
        <w:t xml:space="preserve"> </w:t>
      </w:r>
      <w:r>
        <w:t xml:space="preserve">— to stop vendors from inflating their reviews, ratings, badges, and booking counts with sockpuppet accounts (fake couples on shared devices/addresses/payment sources), and to detect and act on anomalous trust-manipulation patterns. The purpose protects</w:t>
      </w:r>
      <w:r>
        <w:t xml:space="preserve"> </w:t>
      </w:r>
      <w:r>
        <w:rPr>
          <w:b/>
          <w:bCs/>
        </w:rPr>
        <w:t xml:space="preserve">couples</w:t>
      </w:r>
      <w:r>
        <w:t xml:space="preserve"> </w:t>
      </w:r>
      <w:r>
        <w:t xml:space="preserve">(who rely on honest trust signals to choose vendors) and</w:t>
      </w:r>
      <w:r>
        <w:t xml:space="preserve"> </w:t>
      </w:r>
      <w:r>
        <w:rPr>
          <w:b/>
          <w:bCs/>
        </w:rPr>
        <w:t xml:space="preserve">honest vendors</w:t>
      </w:r>
      <w:r>
        <w:t xml:space="preserve"> </w:t>
      </w:r>
      <w:r>
        <w:t xml:space="preserve">(who are otherwise out-competed by fabricated reputations).</w:t>
      </w:r>
    </w:p>
    <w:bookmarkEnd w:id="12"/>
    <w:bookmarkStart w:id="13" w:name="X9ef9925a0f224d50d10160908931e2d7c5fae39"/>
    <w:p>
      <w:pPr>
        <w:pStyle w:val="Heading3"/>
      </w:pPr>
      <w:r>
        <w:t xml:space="preserve">1.3 Lawful basis (preliminary — to be confirmed by counsel)</w:t>
      </w:r>
    </w:p>
    <w:p>
      <w:pPr>
        <w:pStyle w:val="FirstParagraph"/>
      </w:pPr>
      <w:r>
        <w:rPr>
          <w:b/>
          <w:bCs/>
        </w:rPr>
        <w:t xml:space="preserve">Legitimate interest — RA 10173 § 12(f)</w:t>
      </w:r>
      <w:r>
        <w:t xml:space="preserve">: fraud prevention is a recognized legitimate interest of the PIC and of honest data subjects. This basis requires a documented</w:t>
      </w:r>
      <w:r>
        <w:t xml:space="preserve"> </w:t>
      </w:r>
      <w:r>
        <w:rPr>
          <w:b/>
          <w:bCs/>
        </w:rPr>
        <w:t xml:space="preserve">legitimate-interest balancing</w:t>
      </w:r>
      <w:r>
        <w:t xml:space="preserve"> </w:t>
      </w:r>
      <w:r>
        <w:t xml:space="preserve">(necessity ↔ data-subject impact) and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 </w:t>
      </w:r>
      <w:r>
        <w:t xml:space="preserve">(the processing must be disclosed).</w:t>
      </w:r>
      <w:r>
        <w:t xml:space="preserve"> </w:t>
      </w:r>
      <w:r>
        <w:rPr>
          <w:b/>
          <w:bCs/>
        </w:rPr>
        <w:t xml:space="preserve">Neither the balancing test nor the disclosure yet exists — this is the headline finding (§6).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— DPO/counsel to confirm § 12(f) as the basis for each data category and the automated-decision provisions of § 16(c) / § 34.</w:t>
      </w:r>
    </w:p>
    <w:bookmarkEnd w:id="13"/>
    <w:bookmarkStart w:id="14" w:name="Xba7a3114d4bf51a918083d00914dddee0e727e1"/>
    <w:p>
      <w:pPr>
        <w:pStyle w:val="Heading3"/>
      </w:pPr>
      <w:r>
        <w:t xml:space="preserve">1.4 A secondary use of already-collected data — NO new collection</w:t>
      </w:r>
    </w:p>
    <w:p>
      <w:pPr>
        <w:pStyle w:val="FirstParagraph"/>
      </w:pPr>
      <w:r>
        <w:t xml:space="preserve">Critically, this processing</w:t>
      </w:r>
      <w:r>
        <w:t xml:space="preserve"> </w:t>
      </w:r>
      <w:r>
        <w:rPr>
          <w:b/>
          <w:bCs/>
        </w:rPr>
        <w:t xml:space="preserve">collects no new personal data.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repurposes</w:t>
      </w:r>
      <w:r>
        <w:t xml:space="preserve"> </w:t>
      </w:r>
      <w:r>
        <w:t xml:space="preserve">data already collected and recorded for other purposes: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fingerprint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user_devices.device_hash</w:t>
      </w:r>
      <w:r>
        <w:t xml:space="preserve"> </w:t>
      </w:r>
      <w:r>
        <w:t xml:space="preserve">(already collected for session/security).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Normalized home 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users.address_normalized</w:t>
      </w:r>
      <w:r>
        <w:t xml:space="preserve"> </w:t>
      </w:r>
      <w:r>
        <w:t xml:space="preserve">(already collected at account/profile).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Payment-sender identity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payments.reference_number</w:t>
      </w:r>
      <w:r>
        <w:t xml:space="preserve"> </w:t>
      </w:r>
      <w:r>
        <w:t xml:space="preserve">joined to the paying user (already collected for apply-then-pay reconciliation, DPS-08).</w:t>
      </w:r>
    </w:p>
    <w:p>
      <w:pPr>
        <w:pStyle w:val="FirstParagraph"/>
      </w:pPr>
      <w:r>
        <w:t xml:space="preserve">Because it is a</w:t>
      </w:r>
      <w:r>
        <w:t xml:space="preserve"> </w:t>
      </w:r>
      <w:r>
        <w:rPr>
          <w:b/>
          <w:bCs/>
        </w:rPr>
        <w:t xml:space="preserve">new purpose over old data</w:t>
      </w:r>
      <w:r>
        <w:t xml:space="preserve">, the compliance question is one of</w:t>
      </w:r>
      <w:r>
        <w:t xml:space="preserve"> </w:t>
      </w:r>
      <w:r>
        <w:rPr>
          <w:b/>
          <w:bCs/>
        </w:rPr>
        <w:t xml:space="preserve">purpose-compatibility + disclosure</w:t>
      </w:r>
      <w:r>
        <w:t xml:space="preserve">, not new consent for collection. Under RA 10173 a further, compatible processing purpose is permissible on a lawful basis,</w:t>
      </w:r>
      <w:r>
        <w:t xml:space="preserve"> </w:t>
      </w:r>
      <w:r>
        <w:rPr>
          <w:b/>
          <w:bCs/>
        </w:rPr>
        <w:t xml:space="preserve">but it must be disclosed</w:t>
      </w:r>
      <w:r>
        <w:t xml:space="preserve"> </w:t>
      </w:r>
      <w:r>
        <w:t xml:space="preserve">— which it currently is not (§6).</w:t>
      </w:r>
    </w:p>
    <w:bookmarkEnd w:id="14"/>
    <w:bookmarkStart w:id="15" w:name="data-subjects"/>
    <w:p>
      <w:pPr>
        <w:pStyle w:val="Heading3"/>
      </w:pPr>
      <w:r>
        <w:t xml:space="preserve">1.5 Data subjects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Couples / customers / guests</w:t>
      </w:r>
      <w:r>
        <w:t xml:space="preserve"> </w:t>
      </w:r>
      <w:r>
        <w:t xml:space="preserve">— whose device/address/payment signals are clustered to detect review/booking rings.</w:t>
      </w:r>
      <w:r>
        <w:t xml:space="preserve"> </w:t>
      </w:r>
      <w:r>
        <w:rPr>
          <w:b/>
          <w:bCs/>
        </w:rPr>
        <w:t xml:space="preserve">They never see cluster membership</w:t>
      </w:r>
      <w:r>
        <w:t xml:space="preserve"> </w:t>
      </w:r>
      <w:r>
        <w:t xml:space="preserve">(service-role only). This is the more novel, involuntary population.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Vendors</w:t>
      </w:r>
      <w:r>
        <w:t xml:space="preserve"> </w:t>
      </w:r>
      <w:r>
        <w:t xml:space="preserve">— whose trust stats are de-duplicated and who are</w:t>
      </w:r>
      <w:r>
        <w:t xml:space="preserve"> </w:t>
      </w:r>
      <w:r>
        <w:rPr>
          <w:b/>
          <w:bCs/>
        </w:rPr>
        <w:t xml:space="preserve">scored, and potentially auto-suspended or banned</w:t>
      </w:r>
      <w:r>
        <w:t xml:space="preserve">. This is the population subject to</w:t>
      </w:r>
      <w:r>
        <w:t xml:space="preserve"> </w:t>
      </w:r>
      <w:r>
        <w:rPr>
          <w:b/>
          <w:bCs/>
        </w:rPr>
        <w:t xml:space="preserve">automated decisions with significant effects</w:t>
      </w:r>
      <w:r>
        <w:t xml:space="preserve">.</w:t>
      </w:r>
    </w:p>
    <w:bookmarkEnd w:id="15"/>
    <w:bookmarkStart w:id="16" w:name="data-categories-processed"/>
    <w:p>
      <w:pPr>
        <w:pStyle w:val="Heading3"/>
      </w:pPr>
      <w:r>
        <w:t xml:space="preserve">1.6 Data categories processed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Identity-link signals (input):</w:t>
      </w:r>
      <w:r>
        <w:t xml:space="preserve"> </w:t>
      </w:r>
      <w:r>
        <w:t xml:space="preserve">device fingerprint hash, normalized home address, payment-sender reference. (Personal information;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SPI under § 3(l).)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Derived — identity cluster membership: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inference</w:t>
      </w:r>
      <w:r>
        <w:t xml:space="preserve"> </w:t>
      </w:r>
      <w:r>
        <w:t xml:space="preserve">that two or more accounts are the same person/household. (A new derived personal datum about the linked individuals.)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Derived — vendor fraud signals/scores:</w:t>
      </w:r>
      <w:r>
        <w:t xml:space="preserve"> </w:t>
      </w:r>
      <w:r>
        <w:t xml:space="preserve">per-vendor anomaly signals (</w:t>
      </w:r>
      <w:r>
        <w:rPr>
          <w:rStyle w:val="VerbatimChar"/>
        </w:rPr>
        <w:t xml:space="preserve">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graph_isolation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import_spike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rating_shape</w:t>
      </w:r>
      <w:r>
        <w:t xml:space="preserve">), each with a 0–100 score and a</w:t>
      </w:r>
      <w:r>
        <w:t xml:space="preserve"> </w:t>
      </w:r>
      <w:r>
        <w:rPr>
          <w:b/>
          <w:bCs/>
        </w:rPr>
        <w:t xml:space="preserve">non-PII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JSONB (counts, ratios, opaque cluster labels, booleans —</w:t>
      </w:r>
      <w:r>
        <w:t xml:space="preserve"> </w:t>
      </w:r>
      <w:r>
        <w:rPr>
          <w:b/>
          <w:bCs/>
        </w:rPr>
        <w:t xml:space="preserve">no names, no addresses, no raw identifiers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Enforcement state:</w:t>
      </w:r>
      <w:r>
        <w:t xml:space="preserve"> </w:t>
      </w:r>
      <w:r>
        <w:rPr>
          <w:rStyle w:val="VerbatimChar"/>
        </w:rPr>
        <w:t xml:space="preserve">fraud_suspended_at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fraud_banned_at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fraud_tombstoned</w:t>
      </w:r>
      <w:r>
        <w:t xml:space="preserve"> </w:t>
      </w:r>
      <w:r>
        <w:t xml:space="preserve">on the vendor;</w:t>
      </w:r>
      <w:r>
        <w:t xml:space="preserve"> </w:t>
      </w:r>
      <w:r>
        <w:rPr>
          <w:rStyle w:val="VerbatimChar"/>
        </w:rPr>
        <w:t xml:space="preserve">voided_by_fraud</w:t>
      </w:r>
      <w:r>
        <w:t xml:space="preserve"> </w:t>
      </w:r>
      <w:r>
        <w:t xml:space="preserve">flags on the vendor’s reviews/events; an append-only</w:t>
      </w:r>
      <w:r>
        <w:t xml:space="preserve"> </w:t>
      </w:r>
      <w:r>
        <w:rPr>
          <w:rStyle w:val="VerbatimChar"/>
        </w:rPr>
        <w:t xml:space="preserve">fraud_enforcement_audit</w:t>
      </w:r>
      <w:r>
        <w:t xml:space="preserve"> </w:t>
      </w:r>
      <w:r>
        <w:t xml:space="preserve">row per 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Intentionally NOT processed:</w:t>
      </w:r>
      <w:r>
        <w:t xml:space="preserve"> </w:t>
      </w:r>
      <w:r>
        <w:rPr>
          <w:b/>
          <w:bCs/>
        </w:rPr>
        <w:t xml:space="preserve">IP address</w:t>
      </w:r>
      <w:r>
        <w:t xml:space="preserve"> </w:t>
      </w:r>
      <w:r>
        <w:t xml:space="preserve">— no core identity table captures an IP, and IP-capture infrastructure was</w:t>
      </w:r>
      <w:r>
        <w:t xml:space="preserve"> </w:t>
      </w:r>
      <w:r>
        <w:rPr>
          <w:b/>
          <w:bCs/>
        </w:rPr>
        <w:t xml:space="preserve">deliberately not built</w:t>
      </w:r>
      <w:r>
        <w:t xml:space="preserve"> </w:t>
      </w:r>
      <w:r>
        <w:t xml:space="preserve">(deferred to a future</w:t>
      </w:r>
      <w:r>
        <w:t xml:space="preserve"> </w:t>
      </w:r>
      <w:r>
        <w:t xml:space="preserve">“Phase 2.1”</w:t>
      </w:r>
      <w:r>
        <w:t xml:space="preserve">). This is a data-minimization choice.</w:t>
      </w:r>
    </w:p>
    <w:bookmarkEnd w:id="16"/>
    <w:bookmarkStart w:id="17" w:name="systems-storage-and-retention"/>
    <w:p>
      <w:pPr>
        <w:pStyle w:val="Heading3"/>
      </w:pPr>
      <w:r>
        <w:t xml:space="preserve">1.7 Systems, storage, and retention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of record:</w:t>
      </w:r>
      <w:r>
        <w:t xml:space="preserve"> </w:t>
      </w:r>
      <w:r>
        <w:t xml:space="preserve">Supabase Postgres (</w:t>
      </w:r>
      <w:r>
        <w:rPr>
          <w:b/>
          <w:bCs/>
        </w:rPr>
        <w:t xml:space="preserve">Singapore</w:t>
      </w:r>
      <w:r>
        <w:t xml:space="preserve">).</w:t>
      </w:r>
      <w:r>
        <w:t xml:space="preserve"> </w:t>
      </w:r>
      <w:r>
        <w:rPr>
          <w:rStyle w:val="VerbatimChar"/>
        </w:rPr>
        <w:t xml:space="preserve">identity_clusters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user_identity_signals</w:t>
      </w:r>
      <w:r>
        <w:t xml:space="preserve"> </w:t>
      </w:r>
      <w:r>
        <w:t xml:space="preserve">(views/matviews),</w:t>
      </w:r>
      <w:r>
        <w:t xml:space="preserve"> </w:t>
      </w:r>
      <w:r>
        <w:rPr>
          <w:rStyle w:val="VerbatimChar"/>
        </w:rPr>
        <w:t xml:space="preserve">fraud_signals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vendor_fraud_scores</w:t>
      </w:r>
      <w:r>
        <w:t xml:space="preserve">, enforcement columns +</w:t>
      </w:r>
      <w:r>
        <w:t xml:space="preserve"> </w:t>
      </w:r>
      <w:r>
        <w:rPr>
          <w:rStyle w:val="VerbatimChar"/>
        </w:rPr>
        <w:t xml:space="preserve">fraud_enforcement_audit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 control:</w:t>
      </w:r>
      <w:r>
        <w:t xml:space="preserve"> </w:t>
      </w:r>
      <w:r>
        <w:rPr>
          <w:b/>
          <w:bCs/>
        </w:rPr>
        <w:t xml:space="preserve">service-role / admin ONLY.</w:t>
      </w:r>
      <w:r>
        <w:t xml:space="preserve"> </w:t>
      </w:r>
      <w:r>
        <w:t xml:space="preserve">Every object carries</w:t>
      </w:r>
      <w:r>
        <w:t xml:space="preserve"> </w:t>
      </w:r>
      <w:r>
        <w:rPr>
          <w:rStyle w:val="VerbatimChar"/>
        </w:rPr>
        <w:t xml:space="preserve">REVOKE ALL FROM anon, authenticated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RLS at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time —</w:t>
      </w:r>
      <w:r>
        <w:t xml:space="preserve"> </w:t>
      </w:r>
      <w:r>
        <w:rPr>
          <w:b/>
          <w:bCs/>
        </w:rPr>
        <w:t xml:space="preserve">couples and vendors can never read cluster membership, fraud signals, or scores.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Cross-border:</w:t>
      </w:r>
      <w:r>
        <w:t xml:space="preserve"> </w:t>
      </w:r>
      <w:r>
        <w:t xml:space="preserve">SG (Supabase) only for this processing. No US/third-party AI sub-processor is involved (the clustering + scoring are plain SQL/TypeScript in-house).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Retention:</w:t>
      </w:r>
      <w:r>
        <w:t xml:space="preserve"> </w:t>
      </w:r>
      <w:r>
        <w:rPr>
          <w:rStyle w:val="VerbatimChar"/>
        </w:rPr>
        <w:t xml:space="preserve">identity_clusters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vendor_fraud_scores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recomputed matviews</w:t>
      </w:r>
      <w:r>
        <w:t xml:space="preserve"> </w:t>
      </w:r>
      <w:r>
        <w:t xml:space="preserve">(no independent history).</w:t>
      </w:r>
      <w:r>
        <w:t xml:space="preserve"> </w:t>
      </w:r>
      <w:r>
        <w:rPr>
          <w:rStyle w:val="VerbatimChar"/>
        </w:rPr>
        <w:t xml:space="preserve">fraud_signals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fraud_enforcement_audit</w:t>
      </w:r>
      <w:r>
        <w:t xml:space="preserve"> </w:t>
      </w:r>
      <w:r>
        <w:rPr>
          <w:b/>
          <w:bCs/>
        </w:rPr>
        <w:t xml:space="preserve">persist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 specific retention rule for these is not yet defined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[TO CONFIRM]</w:t>
      </w:r>
      <w:r>
        <w:t xml:space="preserve"> </w:t>
      </w:r>
      <w:r>
        <w:t xml:space="preserve">(see AF-8). Underlying signal inputs follow their source systems’ retention (device/address = account retention; payment = 5-year tax retention, DPS-08).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necessity-proportionality-assessment"/>
    <w:p>
      <w:pPr>
        <w:pStyle w:val="Heading2"/>
      </w:pPr>
      <w:r>
        <w:t xml:space="preserve">2. Necessity &amp; proportionality assessment</w:t>
      </w:r>
    </w:p>
    <w:bookmarkStart w:id="19" w:name="X5e02a2ae82ef2a61c5bed64df37fae6bb71796e"/>
    <w:p>
      <w:pPr>
        <w:pStyle w:val="Heading3"/>
      </w:pPr>
      <w:r>
        <w:t xml:space="preserve">2.1 Is the processing</w:t>
      </w:r>
      <w:r>
        <w:t xml:space="preserve"> </w:t>
      </w:r>
      <w:r>
        <w:rPr>
          <w:i/>
          <w:iCs/>
        </w:rPr>
        <w:t xml:space="preserve">necessary</w:t>
      </w:r>
      <w:r>
        <w:t xml:space="preserve"> </w:t>
      </w:r>
      <w:r>
        <w:t xml:space="preserve">for the purpose?</w:t>
      </w:r>
    </w:p>
    <w:p>
      <w:pPr>
        <w:pStyle w:val="FirstParagraph"/>
      </w:pPr>
      <w:r>
        <w:t xml:space="preserve">Marketplace trust is the product’s core promise; fabricated reviews/bookings directly harm couples and honest vendors.</w:t>
      </w:r>
      <w:r>
        <w:t xml:space="preserve"> </w:t>
      </w:r>
      <w:r>
        <w:rPr>
          <w:b/>
          <w:bCs/>
        </w:rPr>
        <w:t xml:space="preserve">Non-identity-based</w:t>
      </w:r>
      <w:r>
        <w:t xml:space="preserve"> </w:t>
      </w:r>
      <w:r>
        <w:t xml:space="preserve">anti-fraud (e.g. manual moderation) does not scale and cannot see cross-account rings. Identity clustering is the mechanism that actually neutralizes sockpuppet rings, and per-cluster de-duplication is the minimal way to make fake accounts ineffective without deleting anyone. So the clustering + de-duplication layer is</w:t>
      </w:r>
      <w:r>
        <w:t xml:space="preserve"> </w:t>
      </w:r>
      <w:r>
        <w:rPr>
          <w:b/>
          <w:bCs/>
        </w:rPr>
        <w:t xml:space="preserve">necessary and well-targeted</w:t>
      </w:r>
      <w:r>
        <w:t xml:space="preserve">.</w:t>
      </w:r>
    </w:p>
    <w:p>
      <w:pPr>
        <w:pStyle w:val="BodyText"/>
      </w:pPr>
      <w:r>
        <w:t xml:space="preserve">Automated</w:t>
      </w:r>
      <w:r>
        <w:t xml:space="preserve"> </w:t>
      </w:r>
      <w:r>
        <w:rPr>
          <w:b/>
          <w:bCs/>
        </w:rPr>
        <w:t xml:space="preserve">scoring</w:t>
      </w:r>
      <w:r>
        <w:t xml:space="preserve"> </w:t>
      </w:r>
      <w:r>
        <w:t xml:space="preserve">is necessary to triage at scale; automated</w:t>
      </w:r>
      <w:r>
        <w:t xml:space="preserve"> </w:t>
      </w:r>
      <w:r>
        <w:rPr>
          <w:b/>
          <w:bCs/>
        </w:rPr>
        <w:t xml:space="preserve">suspension</w:t>
      </w:r>
      <w:r>
        <w:t xml:space="preserve"> </w:t>
      </w:r>
      <w:r>
        <w:t xml:space="preserve">is a proportionality choice (see §2.2) — justified only because it is</w:t>
      </w:r>
      <w:r>
        <w:t xml:space="preserve"> </w:t>
      </w:r>
      <w:r>
        <w:rPr>
          <w:b/>
          <w:bCs/>
        </w:rPr>
        <w:t xml:space="preserve">reversible</w:t>
      </w:r>
      <w:r>
        <w:t xml:space="preserve"> </w:t>
      </w:r>
      <w:r>
        <w:t xml:space="preserve">and set at a</w:t>
      </w:r>
      <w:r>
        <w:t xml:space="preserve"> </w:t>
      </w:r>
      <w:r>
        <w:rPr>
          <w:b/>
          <w:bCs/>
        </w:rPr>
        <w:t xml:space="preserve">high-confidence threshold</w:t>
      </w:r>
      <w:r>
        <w:t xml:space="preserve">.</w:t>
      </w:r>
    </w:p>
    <w:bookmarkEnd w:id="19"/>
    <w:bookmarkStart w:id="20" w:name="Xcf7375aaf9912bf5ff8755eaf0269f7d420f2ae"/>
    <w:p>
      <w:pPr>
        <w:pStyle w:val="Heading3"/>
      </w:pPr>
      <w:r>
        <w:t xml:space="preserve">2.2 Proportionality — is it minimized, and are the effects proportionate?</w:t>
      </w:r>
    </w:p>
    <w:p>
      <w:pPr>
        <w:pStyle w:val="FirstParagraph"/>
      </w:pPr>
      <w:r>
        <w:t xml:space="preserve">The design minimizes structurally: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new data collected</w:t>
      </w:r>
      <w:r>
        <w:t xml:space="preserve"> </w:t>
      </w:r>
      <w:r>
        <w:t xml:space="preserve">— secondary use of existing signals only (§1.4).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deliberately excluded</w:t>
      </w:r>
      <w:r>
        <w:t xml:space="preserve"> </w:t>
      </w:r>
      <w:r>
        <w:t xml:space="preserve">— the most privacy-invasive identity signal was not built (§1.6).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Service-role-only</w:t>
      </w:r>
      <w:r>
        <w:t xml:space="preserve"> </w:t>
      </w:r>
      <w:r>
        <w:t xml:space="preserve">— the inferences are never exposed to any data subject or other user; they exist solely to correct trust math and feed the admin queue.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Non-PII evidence</w:t>
      </w:r>
      <w:r>
        <w:t xml:space="preserve"> </w:t>
      </w:r>
      <w:r>
        <w:t xml:space="preserve">— the stored fraud evidence carries counts/ratios/opaque labels, not identities.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irreversible action is NOT automated</w:t>
      </w:r>
      <w:r>
        <w:t xml:space="preserve"> </w:t>
      </w:r>
      <w:r>
        <w:t xml:space="preserve">— only the</w:t>
      </w:r>
      <w:r>
        <w:t xml:space="preserve"> </w:t>
      </w:r>
      <w:r>
        <w:rPr>
          <w:b/>
          <w:bCs/>
        </w:rPr>
        <w:t xml:space="preserve">reversible</w:t>
      </w:r>
      <w:r>
        <w:t xml:space="preserve"> </w:t>
      </w:r>
      <w:r>
        <w:t xml:space="preserve">auto-suspend is automated, and only at a</w:t>
      </w:r>
      <w:r>
        <w:t xml:space="preserve"> </w:t>
      </w:r>
      <w:r>
        <w:rPr>
          <w:b/>
          <w:bCs/>
        </w:rPr>
        <w:t xml:space="preserve">high aggregate score (≥ 90)</w:t>
      </w:r>
      <w:r>
        <w:t xml:space="preserve">, strictly above the advisory band. The</w:t>
      </w:r>
      <w:r>
        <w:t xml:space="preserve"> </w:t>
      </w:r>
      <w:r>
        <w:rPr>
          <w:b/>
          <w:bCs/>
        </w:rPr>
        <w:t xml:space="preserve">wipe + permanent ban</w:t>
      </w:r>
      <w:r>
        <w:t xml:space="preserve"> </w:t>
      </w:r>
      <w:r>
        <w:t xml:space="preserve">requires a</w:t>
      </w:r>
      <w:r>
        <w:t xml:space="preserve"> </w:t>
      </w:r>
      <w:r>
        <w:rPr>
          <w:b/>
          <w:bCs/>
        </w:rPr>
        <w:t xml:space="preserve">second admin’s confirmation</w:t>
      </w:r>
      <w:r>
        <w:t xml:space="preserve"> </w:t>
      </w:r>
      <w:r>
        <w:t xml:space="preserve">through the existing four-eyes gate — a human, accountable, logged decision, never the machine’s.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Appeal path</w:t>
      </w:r>
      <w:r>
        <w:t xml:space="preserve"> </w:t>
      </w:r>
      <w:r>
        <w:t xml:space="preserve">— an enforcement action opens a help-center appeal ticket stub, giving the vendor a route to contest.</w:t>
      </w:r>
    </w:p>
    <w:p>
      <w:pPr>
        <w:pStyle w:val="FirstParagraph"/>
      </w:pPr>
      <w:r>
        <w:rPr>
          <w:b/>
          <w:bCs/>
        </w:rPr>
        <w:t xml:space="preserve">Conclusion.</w:t>
      </w:r>
      <w:r>
        <w:t xml:space="preserve"> </w:t>
      </w:r>
      <w:r>
        <w:t xml:space="preserve">The processing can be proportionate</w:t>
      </w:r>
      <w:r>
        <w:t xml:space="preserve"> </w:t>
      </w:r>
      <w:r>
        <w:rPr>
          <w:b/>
          <w:bCs/>
        </w:rPr>
        <w:t xml:space="preserve">conditional on §6</w:t>
      </w:r>
      <w:r>
        <w:t xml:space="preserve"> </w:t>
      </w:r>
      <w:r>
        <w:t xml:space="preserve">— i.e. once (a) it is</w:t>
      </w:r>
      <w:r>
        <w:t xml:space="preserve"> </w:t>
      </w:r>
      <w:r>
        <w:rPr>
          <w:b/>
          <w:bCs/>
        </w:rPr>
        <w:t xml:space="preserve">disclosed</w:t>
      </w:r>
      <w:r>
        <w:t xml:space="preserve"> </w:t>
      </w:r>
      <w:r>
        <w:t xml:space="preserve">to data subjects and (b) a</w:t>
      </w:r>
      <w:r>
        <w:t xml:space="preserve"> </w:t>
      </w:r>
      <w:r>
        <w:rPr>
          <w:b/>
          <w:bCs/>
        </w:rPr>
        <w:t xml:space="preserve">legitimate-interest balancing</w:t>
      </w:r>
      <w:r>
        <w:t xml:space="preserve"> </w:t>
      </w:r>
      <w:r>
        <w:t xml:space="preserve">is documented and counsel-reviewed. The automated-suspension effect is proportionate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it is reversible and human-reversible in one action; the irreversible effect is proportionate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it is never automated.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sultation"/>
    <w:p>
      <w:pPr>
        <w:pStyle w:val="Heading2"/>
      </w:pPr>
      <w:r>
        <w:t xml:space="preserve">3. Consultation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DPO:</w:t>
      </w:r>
      <w:r>
        <w:t xml:space="preserve"> </w:t>
      </w:r>
      <w:r>
        <w:t xml:space="preserve">prepared for DPO review and sign-off (Indalecio Sacdalan Casasola II). The transparency finding (§6), the lawful-basis mapping (§1.3), the retention gap (AF-8), and the automated-decision rights (§6 / AF-5) are referred to the DPO and PH counsel.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subjects:</w:t>
      </w:r>
      <w:r>
        <w:t xml:space="preserve"> </w:t>
      </w:r>
      <w:r>
        <w:rPr>
          <w:b/>
          <w:bCs/>
        </w:rPr>
        <w:t xml:space="preserve">not yet consulted or notified</w:t>
      </w:r>
      <w:r>
        <w:t xml:space="preserve"> </w:t>
      </w:r>
      <w:r>
        <w:t xml:space="preserve">for this specific processing — there is currently</w:t>
      </w:r>
      <w:r>
        <w:t xml:space="preserve"> </w:t>
      </w:r>
      <w:r>
        <w:rPr>
          <w:b/>
          <w:bCs/>
        </w:rPr>
        <w:t xml:space="preserve">no notice</w:t>
      </w:r>
      <w:r>
        <w:t xml:space="preserve"> </w:t>
      </w:r>
      <w:r>
        <w:t xml:space="preserve">that device/address/payment data is used to cluster identities for fraud prevention, and no notice to vendors that they may be automatically scored/suspended. Closing that is the §6 recommendation.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External counsel / NPC: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— register R-08 is counsel-first, and the processing shipped ahead of that review (status banner). Counsel to confirm the § 12(f) basis, the § 16(c)/§ 34 automated-decision provisions, the retention rule, and whether an NPC consultation is advisable given the automated-enforcement effect.</w:t>
      </w:r>
    </w:p>
    <w:p>
      <w:r>
        <w:pict>
          <v:rect style="width:0;height:1.5pt" o:hralign="center" o:hrstd="t" o:hr="t"/>
        </w:pict>
      </w:r>
    </w:p>
    <w:bookmarkEnd w:id="22"/>
    <w:bookmarkStart w:id="23" w:name="risk-assessment-table"/>
    <w:p>
      <w:pPr>
        <w:pStyle w:val="Heading2"/>
      </w:pPr>
      <w:r>
        <w:t xml:space="preserve">4. Risk assessment table</w:t>
      </w:r>
    </w:p>
    <w:p>
      <w:pPr>
        <w:pStyle w:val="FirstParagraph"/>
      </w:pPr>
      <w:r>
        <w:t xml:space="preserve">Inherent risk = likelihood × impact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controls. Residual risk = risk remaining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controls already built (§5).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Controls already built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Undisclosed repurposing</w:t>
            </w:r>
            <w:r>
              <w:t xml:space="preserve"> </w:t>
            </w:r>
            <w:r>
              <w:t xml:space="preserve">— device/address/payment data collected for other purposes is used to cluster identities for fraud prevention</w:t>
            </w:r>
            <w:r>
              <w:t xml:space="preserve"> </w:t>
            </w:r>
            <w:r>
              <w:rPr>
                <w:b/>
                <w:bCs/>
              </w:rPr>
              <w:t xml:space="preserve">without notice</w:t>
            </w:r>
            <w:r>
              <w:t xml:space="preserve"> </w:t>
            </w:r>
            <w:r>
              <w:t xml:space="preserve">to the data subject (transparency failure under § 12(f) + the § 16 right to be informed)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Service-role-only (never surfaced); no new collection; purpose-limited to fraud prevention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 — NOT resolved by current controls.</w:t>
            </w:r>
            <w:r>
              <w:t xml:space="preserve"> </w:t>
            </w:r>
            <w:r>
              <w:t xml:space="preserve">Reduces to Low only after the Privacy Policy discloses the processing + the right to object (§6).</w:t>
            </w:r>
            <w:r>
              <w:t xml:space="preserve"> </w:t>
            </w:r>
            <w:r>
              <w:rPr>
                <w:b/>
                <w:bCs/>
              </w:rPr>
              <w:t xml:space="preserve">Headline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Wrongful automated suspension</w:t>
            </w:r>
            <w:r>
              <w:t xml:space="preserve"> </w:t>
            </w:r>
            <w:r>
              <w:t xml:space="preserve">of a legitimate vendor (false positive hides their livelihood-bearing listing)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Reversible</w:t>
            </w:r>
            <w:r>
              <w:t xml:space="preserve"> </w:t>
            </w:r>
            <w:r>
              <w:t xml:space="preserve">auto-suspend; high threshold (score ≥ 90, above the advisory 60); admin Dismiss / Un-suspend in one action; fail-soft scoring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Wrongful irreversible ban</w:t>
            </w:r>
            <w:r>
              <w:t xml:space="preserve"> </w:t>
            </w:r>
            <w:r>
              <w:t xml:space="preserve">— a vendor is wiped/banned and reviews/events voided in error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automated</w:t>
            </w:r>
            <w:r>
              <w:t xml:space="preserve"> </w:t>
            </w:r>
            <w:r>
              <w:t xml:space="preserve">— routed through the</w:t>
            </w:r>
            <w:r>
              <w:t xml:space="preserve"> </w:t>
            </w:r>
            <w:r>
              <w:rPr>
                <w:b/>
                <w:bCs/>
              </w:rPr>
              <w:t xml:space="preserve">two-admin (four-eyes) gate</w:t>
            </w:r>
            <w:r>
              <w:t xml:space="preserve">; typed business-name confirmation; append-only</w:t>
            </w:r>
            <w:r>
              <w:t xml:space="preserve"> </w:t>
            </w:r>
            <w:r>
              <w:rPr>
                <w:rStyle w:val="VerbatimChar"/>
              </w:rPr>
              <w:t xml:space="preserve">fraud_enforcement_audit</w:t>
            </w:r>
            <w:r>
              <w:t xml:space="preserve">; help-center appeal ticket opened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 mis-linkage</w:t>
            </w:r>
            <w:r>
              <w:t xml:space="preserve"> </w:t>
            </w:r>
            <w:r>
              <w:t xml:space="preserve">— unrelated people linked as one identity (shared family PC, shared address, one person paying for another) → a false</w:t>
            </w:r>
            <w:r>
              <w:t xml:space="preserve"> </w:t>
            </w:r>
            <w:r>
              <w:t xml:space="preserve">“same identity”</w:t>
            </w:r>
            <w:r>
              <w:t xml:space="preserve"> </w:t>
            </w: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Used only to</w:t>
            </w:r>
            <w:r>
              <w:t xml:space="preserve"> </w:t>
            </w:r>
            <w:r>
              <w:rPr>
                <w:b/>
                <w:bCs/>
              </w:rPr>
              <w:t xml:space="preserve">de-dup trust stats</w:t>
            </w:r>
            <w:r>
              <w:t xml:space="preserve"> </w:t>
            </w:r>
            <w:r>
              <w:t xml:space="preserve">+ as one fraud-signal input,</w:t>
            </w:r>
            <w:r>
              <w:t xml:space="preserve"> </w:t>
            </w:r>
            <w:r>
              <w:rPr>
                <w:b/>
                <w:bCs/>
              </w:rPr>
              <w:t xml:space="preserve">never surfaced</w:t>
            </w:r>
            <w:r>
              <w:t xml:space="preserve"> </w:t>
            </w:r>
            <w:r>
              <w:t xml:space="preserve">to users; enforcement needs corroborating anomaly signals, not cluster membership alone; bounded (≤ 64-hop) cycle-guarded closure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Data-subject rights over automated processing</w:t>
            </w:r>
            <w:r>
              <w:t xml:space="preserve"> </w:t>
            </w:r>
            <w:r>
              <w:t xml:space="preserve">— a vendor cannot access/understand/contest an automated decision (RA 10173 § 16(c) right to object; § 34 rights re automated processing)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Appeal-ticket stub on enforcement; irreversible step is human-decided; audit trail records rationale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formal</w:t>
            </w:r>
            <w:r>
              <w:t xml:space="preserve"> </w:t>
            </w:r>
            <w:r>
              <w:t xml:space="preserve">access/object/contest path for automated scoring is not yet documented (see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Breach of the identity-cluster / fraud store</w:t>
            </w:r>
            <w:r>
              <w:t xml:space="preserve"> </w:t>
            </w:r>
            <w:r>
              <w:t xml:space="preserve">— exfiltration of who-is-linked-to-whom or who-is-flagged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Service-role/admin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REVOKE ALL FROM anon, authenticated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is_admin()</w:t>
            </w:r>
            <w:r>
              <w:t xml:space="preserve"> </w:t>
            </w:r>
            <w:r>
              <w:t xml:space="preserve">RLS at CREATE); non-PII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; SG-only (no third-party processor); AES-256; TLS 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creep</w:t>
            </w:r>
            <w:r>
              <w:t xml:space="preserve"> </w:t>
            </w:r>
            <w:r>
              <w:t xml:space="preserve">— cluster/fraud data reused for marketing, ranking, or sold/shared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Purpose-limited by design + policy § 2.3 (no sale/cross-vendor sharing/advertising); service-role-only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pending an explicit policy lock naming this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Over-retention of fraud signals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fraud_signals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fraud_enforcement_audit</w:t>
            </w:r>
            <w:r>
              <w:t xml:space="preserve"> </w:t>
            </w:r>
            <w:r>
              <w:t xml:space="preserve">kept longer than necessary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Matviews (</w:t>
            </w:r>
            <w:r>
              <w:rPr>
                <w:rStyle w:val="VerbatimChar"/>
              </w:rPr>
              <w:t xml:space="preserve">identity_clusters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vendor_fraud_scores</w:t>
            </w:r>
            <w:r>
              <w:t xml:space="preserve">) recomputed, no history; enforcement audit is intentionally durable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— no explicit retention/aging rule for</w:t>
            </w:r>
            <w:r>
              <w:t xml:space="preserve"> </w:t>
            </w:r>
            <w:r>
              <w:rPr>
                <w:rStyle w:val="VerbatimChar"/>
              </w:rPr>
              <w:t xml:space="preserve">fraud_signals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(audit trail retention should be justified against BIR/dispute needs)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ntrols-already-built"/>
    <w:p>
      <w:pPr>
        <w:pStyle w:val="Heading2"/>
      </w:pPr>
      <w:r>
        <w:t xml:space="preserve">5. Controls already built</w:t>
      </w:r>
    </w:p>
    <w:p>
      <w:pPr>
        <w:pStyle w:val="FirstParagraph"/>
      </w:pPr>
      <w:r>
        <w:t xml:space="preserve">Load-bearing for the residual ratings above; all verified against the shipped migrations/code: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Service-role / admin 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identity_clusters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user_identity_signals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vendor_fraud_scores</w:t>
      </w:r>
      <w:r>
        <w:t xml:space="preserve">, and the enforcement/audit objects carry</w:t>
      </w:r>
      <w:r>
        <w:t xml:space="preserve"> </w:t>
      </w:r>
      <w:r>
        <w:rPr>
          <w:rStyle w:val="VerbatimChar"/>
        </w:rPr>
        <w:t xml:space="preserve">REVOKE ALL FROM anon, authenticated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RLS</w:t>
      </w:r>
      <w: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. No data subject can read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new data collection</w:t>
      </w:r>
      <w:r>
        <w:t xml:space="preserve"> </w:t>
      </w:r>
      <w:r>
        <w:t xml:space="preserve">— secondary use of</w:t>
      </w:r>
      <w:r>
        <w:t xml:space="preserve"> </w:t>
      </w:r>
      <w:r>
        <w:rPr>
          <w:rStyle w:val="VerbatimChar"/>
        </w:rPr>
        <w:t xml:space="preserve">user_devices.device_hash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users.address_normalized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payments.reference_number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 deliberately not captured</w:t>
      </w:r>
      <w:r>
        <w:t xml:space="preserve"> </w:t>
      </w:r>
      <w:r>
        <w:t xml:space="preserve">— the most invasive identity signal was left unbuilt (data minimization).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Non-PII evidence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fraud_signals.evidence</w:t>
      </w:r>
      <w:r>
        <w:t xml:space="preserve"> </w:t>
      </w:r>
      <w:r>
        <w:t xml:space="preserve">holds counts/ratios/opaque cluster labels/booleans, not identities.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action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reversible</w:t>
      </w:r>
      <w:r>
        <w:rPr>
          <w:b/>
          <w:bCs/>
        </w:rPr>
        <w:t xml:space="preserve"> </w:t>
      </w:r>
      <w:r>
        <w:rPr>
          <w:b/>
          <w:bCs/>
        </w:rPr>
        <w:t xml:space="preserve">one only</w:t>
      </w:r>
      <w:r>
        <w:t xml:space="preserve"> </w:t>
      </w:r>
      <w:r>
        <w:t xml:space="preserve">— auto-suspend at aggregate score ≥ 90 (above the advisory 60); it hides the listing + freezes badges but</w:t>
      </w:r>
      <w:r>
        <w:t xml:space="preserve"> </w:t>
      </w:r>
      <w:r>
        <w:rPr>
          <w:b/>
          <w:bCs/>
        </w:rPr>
        <w:t xml:space="preserve">destroys nothing</w:t>
      </w:r>
      <w:r>
        <w:t xml:space="preserve"> </w:t>
      </w:r>
      <w:r>
        <w:t xml:space="preserve">and reverses in one admin 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Irreversible action is human + four-eyes</w:t>
      </w:r>
      <w:r>
        <w:t xml:space="preserve"> </w:t>
      </w:r>
      <w:r>
        <w:t xml:space="preserve">— wipe + permanent ban routes through the existing</w:t>
      </w:r>
      <w:r>
        <w:t xml:space="preserve"> </w:t>
      </w:r>
      <w:r>
        <w:rPr>
          <w:b/>
          <w:bCs/>
        </w:rPr>
        <w:t xml:space="preserve">two-admin approval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admin_approval_requests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approve_fraud_wipe_ban</w:t>
      </w:r>
      <w:r>
        <w:t xml:space="preserve"> </w:t>
      </w:r>
      <w:r>
        <w:t xml:space="preserve">action type);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admin confirms; never automated.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Append-only audit</w:t>
      </w:r>
      <w:r>
        <w:t xml:space="preserve"> </w:t>
      </w:r>
      <w:r>
        <w:t xml:space="preserve">— every enforcement action writes a</w:t>
      </w:r>
      <w:r>
        <w:t xml:space="preserve"> </w:t>
      </w:r>
      <w:r>
        <w:rPr>
          <w:rStyle w:val="VerbatimChar"/>
        </w:rPr>
        <w:t xml:space="preserve">fraud_enforcement_audit</w:t>
      </w:r>
      <w:r>
        <w:t xml:space="preserve"> </w:t>
      </w:r>
      <w:r>
        <w:t xml:space="preserve">row (actor, rationale, evidence snapshot).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Appeal route</w:t>
      </w:r>
      <w:r>
        <w:t xml:space="preserve"> </w:t>
      </w:r>
      <w:r>
        <w:t xml:space="preserve">— enforcement opens a help-center appeal ticket stub.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Defense-in-depth freeze</w:t>
      </w:r>
      <w:r>
        <w:t xml:space="preserve"> </w:t>
      </w:r>
      <w:r>
        <w:t xml:space="preserve">— a fraud-frozen vendor is excluded from the marketplace query,</w:t>
      </w:r>
      <w:r>
        <w:t xml:space="preserve"> </w:t>
      </w:r>
      <w:r>
        <w:rPr>
          <w:rStyle w:val="VerbatimChar"/>
        </w:rPr>
        <w:t xml:space="preserve">/v/[slug]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api/v1/vendors</w:t>
      </w:r>
      <w:r>
        <w:t xml:space="preserve">, and the Spotlight-Award candidate pool.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Bounded computation</w:t>
      </w:r>
      <w:r>
        <w:t xml:space="preserve"> </w:t>
      </w:r>
      <w:r>
        <w:t xml:space="preserve">— the cluster closure is a cycle-guarded, ≤ 64-hop recursive CTE (to be promoted to a nightly union-find job at scale).</w:t>
      </w:r>
    </w:p>
    <w:p>
      <w:r>
        <w:pict>
          <v:rect style="width:0;height:1.5pt" o:hralign="center" o:hrstd="t" o:hr="t"/>
        </w:pict>
      </w:r>
    </w:p>
    <w:bookmarkEnd w:id="24"/>
    <w:bookmarkStart w:id="25" w:name="Xad91b1ee9ecfa9697650841edacfa81b113e4f4"/>
    <w:p>
      <w:pPr>
        <w:pStyle w:val="Heading2"/>
      </w:pPr>
      <w:r>
        <w:t xml:space="preserve">6. KEY FINDING — the transparency &amp; automated-decision gap (headline)</w:t>
      </w:r>
    </w:p>
    <w:p>
      <w:pPr>
        <w:pStyle w:val="FirstParagraph"/>
      </w:pPr>
      <w:r>
        <w:rPr>
          <w:b/>
          <w:bCs/>
        </w:rPr>
        <w:t xml:space="preserve">Finding.</w:t>
      </w:r>
      <w:r>
        <w:t xml:space="preserve"> </w:t>
      </w:r>
      <w:r>
        <w:t xml:space="preserve">The processing is lawful in principle on a</w:t>
      </w:r>
      <w:r>
        <w:t xml:space="preserve"> </w:t>
      </w:r>
      <w:r>
        <w:rPr>
          <w:b/>
          <w:bCs/>
        </w:rPr>
        <w:t xml:space="preserve">legitimate-interest (§ 12(f))</w:t>
      </w:r>
      <w:r>
        <w:t xml:space="preserve"> </w:t>
      </w:r>
      <w:r>
        <w:t xml:space="preserve">basis, but two accountability requirements of that basis are</w:t>
      </w:r>
      <w:r>
        <w:t xml:space="preserve"> </w:t>
      </w:r>
      <w:r>
        <w:rPr>
          <w:b/>
          <w:bCs/>
        </w:rPr>
        <w:t xml:space="preserve">not yet met</w:t>
      </w:r>
      <w:r>
        <w:t xml:space="preserve">, and the processing is</w:t>
      </w:r>
      <w:r>
        <w:t xml:space="preserve"> </w:t>
      </w:r>
      <w:r>
        <w:rPr>
          <w:b/>
          <w:bCs/>
        </w:rPr>
        <w:t xml:space="preserve">already live</w:t>
      </w:r>
      <w:r>
        <w:t xml:space="preserve"> </w:t>
      </w:r>
      <w:r>
        <w:t xml:space="preserve">(status banner):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disclosure / notice.</w:t>
      </w:r>
      <w:r>
        <w:t xml:space="preserve"> </w:t>
      </w:r>
      <w:r>
        <w:t xml:space="preserve">Neither couples nor vendors are told that (a) their</w:t>
      </w:r>
      <w:r>
        <w:t xml:space="preserve"> </w:t>
      </w:r>
      <w:r>
        <w:rPr>
          <w:b/>
          <w:bCs/>
        </w:rPr>
        <w:t xml:space="preserve">device fingerprint, home address, and payment-sender identity</w:t>
      </w:r>
      <w:r>
        <w:t xml:space="preserve"> </w:t>
      </w:r>
      <w:r>
        <w:t xml:space="preserve">are used to</w:t>
      </w:r>
      <w:r>
        <w:t xml:space="preserve"> </w:t>
      </w:r>
      <w:r>
        <w:rPr>
          <w:b/>
          <w:bCs/>
        </w:rPr>
        <w:t xml:space="preserve">cluster identities for fraud prevention</w:t>
      </w:r>
      <w:r>
        <w:t xml:space="preserve">, nor that (b) vendors may be</w:t>
      </w:r>
      <w:r>
        <w:t xml:space="preserve"> </w:t>
      </w:r>
      <w:r>
        <w:rPr>
          <w:b/>
          <w:bCs/>
        </w:rPr>
        <w:t xml:space="preserve">automatically scored and suspended</w:t>
      </w:r>
      <w:r>
        <w:t xml:space="preserve">. RA 10173’s § 16 right-to-be-informed and the transparency limb of § 12(f) require this to be disclosed.</w:t>
      </w:r>
      <w:r>
        <w:t xml:space="preserve"> </w:t>
      </w:r>
      <w:r>
        <w:rPr>
          <w:b/>
          <w:bCs/>
        </w:rPr>
        <w:t xml:space="preserve">This is the single most important gap.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documented legitimate-interest balancing (LIA)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formal automated-decision rights path.</w:t>
      </w:r>
      <w:r>
        <w:t xml:space="preserve"> </w:t>
      </w:r>
      <w:r>
        <w:t xml:space="preserve">§ 12(f) requires the PIC’s interest to be weighed against data-subject rights and freedoms, recorded. And because auto-suspension is a decision producing a</w:t>
      </w:r>
      <w:r>
        <w:t xml:space="preserve"> </w:t>
      </w:r>
      <w:r>
        <w:rPr>
          <w:b/>
          <w:bCs/>
        </w:rPr>
        <w:t xml:space="preserve">significant effect</w:t>
      </w:r>
      <w:r>
        <w:t xml:space="preserve"> </w:t>
      </w:r>
      <w:r>
        <w:t xml:space="preserve">on a vendor, the § 16(c) right to object and § 34 provisions on automated processing should be reflected in a documented</w:t>
      </w:r>
      <w:r>
        <w:t xml:space="preserve"> </w:t>
      </w:r>
      <w:r>
        <w:rPr>
          <w:b/>
          <w:bCs/>
        </w:rPr>
        <w:t xml:space="preserve">contest/appeal</w:t>
      </w:r>
      <w:r>
        <w:t xml:space="preserve"> </w:t>
      </w:r>
      <w:r>
        <w:t xml:space="preserve">path (the ticket stub exists; the formal process does not).</w:t>
      </w:r>
    </w:p>
    <w:p>
      <w:pPr>
        <w:pStyle w:val="FirstParagraph"/>
      </w:pPr>
      <w:r>
        <w:rPr>
          <w:b/>
          <w:bCs/>
        </w:rPr>
        <w:t xml:space="preserve">Recommendation (the headline recommendation of this DPIA).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MUST — publish an Anti-Fraud disclosure</w:t>
      </w:r>
      <w:r>
        <w:t xml:space="preserve"> </w:t>
      </w:r>
      <w:r>
        <w:t xml:space="preserve">in the Privacy Policy (a new amendment, mirroring the Person-Graph amendment pattern): state plainly that device/address/payment data may be used to detect and prevent fraudulent trust manipulation, that vendors may be subject to automated integrity checks and (reversible) suspension with a human-reviewed, appealable path to any permanent action, and the legitimate-interest basis + how to object. Present it to couples and vendors.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MUST — record a legitimate-interest balancing test (LIA)</w:t>
      </w:r>
      <w:r>
        <w:t xml:space="preserve"> </w:t>
      </w:r>
      <w:r>
        <w:t xml:space="preserve">for the clustering + scoring, and a</w:t>
      </w:r>
      <w:r>
        <w:t xml:space="preserve"> </w:t>
      </w:r>
      <w:r>
        <w:rPr>
          <w:b/>
          <w:bCs/>
        </w:rPr>
        <w:t xml:space="preserve">formal vendor contest/appeal procedure</w:t>
      </w:r>
      <w:r>
        <w:t xml:space="preserve"> </w:t>
      </w:r>
      <w:r>
        <w:t xml:space="preserve">for automated suspensions (elevate the ticket stub to a documented § 16(c)/§ 34 path).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MUST — obtain the outstanding counsel review</w:t>
      </w:r>
      <w:r>
        <w:t xml:space="preserve"> </w:t>
      </w:r>
      <w:r>
        <w:t xml:space="preserve">(register R-08 is counsel-first; the processing shipped ahead of it — status banner). Counsel to confirm § 12(f) mapping, the automated-decision provisions, and whether an NPC consultation is advisable.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SHOULD — define a retention rule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fraud_signals</w:t>
      </w:r>
      <w:r>
        <w:t xml:space="preserve"> </w:t>
      </w:r>
      <w:r>
        <w:t xml:space="preserve">and justify</w:t>
      </w:r>
      <w:r>
        <w:t xml:space="preserve"> </w:t>
      </w:r>
      <w:r>
        <w:rPr>
          <w:rStyle w:val="VerbatimChar"/>
        </w:rPr>
        <w:t xml:space="preserve">fraud_enforcement_audit</w:t>
      </w:r>
      <w:r>
        <w:t xml:space="preserve"> </w:t>
      </w:r>
      <w:r>
        <w:t xml:space="preserve">retention (AF-8).</w:t>
      </w:r>
    </w:p>
    <w:p>
      <w:pPr>
        <w:pStyle w:val="FirstParagraph"/>
      </w:pPr>
      <w:r>
        <w:t xml:space="preserve">Until the disclosure (item 1) lands, the residual risk of AF-1 stays</w:t>
      </w:r>
      <w:r>
        <w:t xml:space="preserve"> </w:t>
      </w:r>
      <w:r>
        <w:rPr>
          <w:b/>
          <w:bCs/>
        </w:rPr>
        <w:t xml:space="preserve">Med–High</w:t>
      </w:r>
      <w:r>
        <w:t xml:space="preserve"> </w:t>
      </w:r>
      <w:r>
        <w:t xml:space="preserve">and the processing, while operational, is</w:t>
      </w:r>
      <w:r>
        <w:t xml:space="preserve"> </w:t>
      </w:r>
      <w:r>
        <w:rPr>
          <w:b/>
          <w:bCs/>
        </w:rPr>
        <w:t xml:space="preserve">not fully compliant</w:t>
      </w:r>
      <w:r>
        <w:t xml:space="preserve"> </w:t>
      </w:r>
      <w:r>
        <w:t xml:space="preserve">on the transparency limb.</w:t>
      </w:r>
    </w:p>
    <w:p>
      <w:r>
        <w:pict>
          <v:rect style="width:0;height:1.5pt" o:hralign="center" o:hrstd="t" o:hr="t"/>
        </w:pict>
      </w:r>
    </w:p>
    <w:bookmarkEnd w:id="25"/>
    <w:bookmarkStart w:id="26" w:name="residual-risk-conclusion"/>
    <w:p>
      <w:pPr>
        <w:pStyle w:val="Heading2"/>
      </w:pPr>
      <w:r>
        <w:t xml:space="preserve">7. Residual-risk conclusion</w:t>
      </w:r>
    </w:p>
    <w:p>
      <w:pPr>
        <w:pStyle w:val="FirstParagraph"/>
      </w:pPr>
      <w:r>
        <w:t xml:space="preserve">With the controls in §5 — above all</w:t>
      </w:r>
      <w:r>
        <w:t xml:space="preserve"> </w:t>
      </w:r>
      <w:r>
        <w:rPr>
          <w:b/>
          <w:bCs/>
        </w:rPr>
        <w:t xml:space="preserve">service-role-only access</w:t>
      </w:r>
      <w:r>
        <w:t xml:space="preserve">,</w:t>
      </w:r>
      <w:r>
        <w:t xml:space="preserve"> </w:t>
      </w:r>
      <w:r>
        <w:rPr>
          <w:b/>
          <w:bCs/>
        </w:rPr>
        <w:t xml:space="preserve">no new collection</w:t>
      </w:r>
      <w:r>
        <w:t xml:space="preserve">,</w:t>
      </w:r>
      <w:r>
        <w:t xml:space="preserve"> </w:t>
      </w:r>
      <w:r>
        <w:rPr>
          <w:b/>
          <w:bCs/>
        </w:rPr>
        <w:t xml:space="preserve">non-PII evidence</w:t>
      </w:r>
      <w:r>
        <w:t xml:space="preserve">,</w:t>
      </w:r>
      <w:r>
        <w:t xml:space="preserve"> </w:t>
      </w:r>
      <w:r>
        <w:rPr>
          <w:b/>
          <w:bCs/>
        </w:rPr>
        <w:t xml:space="preserve">reversible-only automation at a high threshold</w:t>
      </w:r>
      <w:r>
        <w:t xml:space="preserve">, and the</w:t>
      </w:r>
      <w:r>
        <w:t xml:space="preserve"> </w:t>
      </w:r>
      <w:r>
        <w:rPr>
          <w:b/>
          <w:bCs/>
        </w:rPr>
        <w:t xml:space="preserve">four-eyes gate on the one irreversible action</w:t>
      </w:r>
      <w:r>
        <w:t xml:space="preserve"> </w:t>
      </w:r>
      <w:r>
        <w:t xml:space="preserve">— most risks reduce to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(AF-6, AF-7) or</w:t>
      </w:r>
      <w:r>
        <w:t xml:space="preserve"> </w:t>
      </w:r>
      <w:r>
        <w:rPr>
          <w:b/>
          <w:bCs/>
        </w:rPr>
        <w:t xml:space="preserve">Low–Med</w:t>
      </w:r>
      <w:r>
        <w:t xml:space="preserve"> </w:t>
      </w:r>
      <w:r>
        <w:t xml:space="preserve">(AF-2, AF-3, AF-4).</w:t>
      </w:r>
    </w:p>
    <w:p>
      <w:pPr>
        <w:pStyle w:val="BodyText"/>
      </w:pPr>
      <w:r>
        <w:rPr>
          <w:b/>
          <w:bCs/>
        </w:rPr>
        <w:t xml:space="preserve">However, overall residual risk is CONDITIONAL and cannot be declared Low–Medium until the §6 transparency items land</w:t>
      </w:r>
      <w:r>
        <w:t xml:space="preserve">, and the processing is currently</w:t>
      </w:r>
      <w:r>
        <w:t xml:space="preserve"> </w:t>
      </w:r>
      <w:r>
        <w:rPr>
          <w:b/>
          <w:bCs/>
        </w:rPr>
        <w:t xml:space="preserve">live ahead of counsel review</w:t>
      </w:r>
      <w:r>
        <w:t xml:space="preserve">. Before this can be treated as adopted/cleared: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MUST — publish the Anti-Fraud Privacy Policy disclosure + notice</w:t>
      </w:r>
      <w:r>
        <w:t xml:space="preserve"> </w:t>
      </w:r>
      <w:r>
        <w:t xml:space="preserve">(AF-1 / §6).</w:t>
      </w:r>
      <w:r>
        <w:t xml:space="preserve"> </w:t>
      </w:r>
      <w:r>
        <w:rPr>
          <w:i/>
          <w:iCs/>
        </w:rPr>
        <w:t xml:space="preserve">Gating item.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MUST — record the legitimate-interest balancing (LIA) + a formal automated-decision contest path</w:t>
      </w:r>
      <w:r>
        <w:t xml:space="preserve"> </w:t>
      </w:r>
      <w:r>
        <w:t xml:space="preserve">(AF-5 / §6).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MUST — complete the outstanding PH counsel review</w:t>
      </w:r>
      <w:r>
        <w:t xml:space="preserve"> </w:t>
      </w:r>
      <w:r>
        <w:t xml:space="preserve">(R-08 counsel-first).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SHOULD — set a retention rule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fraud_signals</w:t>
      </w:r>
      <w:r>
        <w:rPr>
          <w:b/>
          <w:bCs/>
        </w:rPr>
        <w:t xml:space="preserve"> </w:t>
      </w:r>
      <w:r>
        <w:rPr>
          <w:b/>
          <w:bCs/>
        </w:rPr>
        <w:t xml:space="preserve">+ justify audit retention</w:t>
      </w:r>
      <w:r>
        <w:t xml:space="preserve"> </w:t>
      </w:r>
      <w:r>
        <w:t xml:space="preserve">(AF-8).</w:t>
      </w:r>
    </w:p>
    <w:p>
      <w:pPr>
        <w:pStyle w:val="FirstParagraph"/>
      </w:pPr>
      <w:r>
        <w:rPr>
          <w:b/>
          <w:bCs/>
        </w:rPr>
        <w:t xml:space="preserve">With items 1–3 done, residual risk across the processing is Low–Medium.</w:t>
      </w:r>
      <w:r>
        <w:t xml:space="preserve"> </w:t>
      </w:r>
      <w:r>
        <w:t xml:space="preserve">Until then it should be treated as</w:t>
      </w:r>
      <w:r>
        <w:t xml:space="preserve"> </w:t>
      </w:r>
      <w:r>
        <w:rPr>
          <w:b/>
          <w:bCs/>
        </w:rPr>
        <w:t xml:space="preserve">operational-but-not-yet-cleared / counsel-first</w:t>
      </w:r>
      <w:r>
        <w:t xml:space="preserve">, consistent with register R-08. The design itself is sound; the gap is</w:t>
      </w:r>
      <w:r>
        <w:t xml:space="preserve"> </w:t>
      </w:r>
      <w:r>
        <w:rPr>
          <w:b/>
          <w:bCs/>
        </w:rPr>
        <w:t xml:space="preserve">paperwork + disclosure</w:t>
      </w:r>
      <w:r>
        <w:t xml:space="preserve">, not architecture.</w:t>
      </w:r>
    </w:p>
    <w:p>
      <w:r>
        <w:pict>
          <v:rect style="width:0;height:1.5pt" o:hralign="center" o:hrstd="t" o:hr="t"/>
        </w:pict>
      </w:r>
    </w:p>
    <w:bookmarkEnd w:id="26"/>
    <w:bookmarkStart w:id="27" w:name="sign-off"/>
    <w:p>
      <w:pPr>
        <w:pStyle w:val="Heading2"/>
      </w:pPr>
      <w:r>
        <w:t xml:space="preserve">8.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(for SETNAYAN SOFTWARE DEVELOPMENT SERVICE)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 review date:</w:t>
      </w:r>
      <w:r>
        <w:t xml:space="preserve"> </w:t>
      </w:r>
      <w:r>
        <w:rPr>
          <w:rStyle w:val="VerbatimChar"/>
        </w:rPr>
        <w:t xml:space="preserve">[TO CONFIRM date]</w:t>
      </w:r>
      <w:r>
        <w:t xml:space="preserve"> </w:t>
      </w:r>
      <w:r>
        <w:t xml:space="preserve">(recommend: on publication of the Anti-Fraud Privacy Policy disclosure, at any material change to the clustering signals / scoring thresholds / enforcement model, or 12 months from adoption, whichever is sooner).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compliant baseline prepared ahead of counsel; it is not a substitute for legal review. To be finalized with Indalecio Sacdalan Casasola II (DPO) and PH counsel. The processing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live in production as of 2026-07-07 ahead of counsel sign-off</w:t>
      </w:r>
      <w:r>
        <w:rPr>
          <w:i/>
          <w:iCs/>
        </w:rPr>
        <w:t xml:space="preserve"> </w:t>
      </w:r>
      <w:r>
        <w:rPr>
          <w:i/>
          <w:iCs/>
        </w:rPr>
        <w:t xml:space="preserve">(owner-elected); the transparency/disclosure upgrade (§6) and the outstanding counsel review are the gating items to bring it fully into compliance.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2026-07-07T15:46:13Z</dcterms:created>
  <dcterms:modified xsi:type="dcterms:W3CDTF">2026-07-07T15:46:13Z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