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629fcb36a0ab0e9351158cb16897c4aac24e53"/>
    <w:p>
      <w:pPr>
        <w:pStyle w:val="Heading1"/>
      </w:pPr>
      <w:r>
        <w:t xml:space="preserve">External Counsel Review Packet — NPC Privacy Filing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External Philippine data-privacy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Setnayan — Data Protection Officer (Indalecio S. Casasola II · dpo@setnayan.com)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2026-07-13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Pre-filing legal sign-off on Setnayan’s NPC registration + privacy-compliance dossier</w:t>
      </w:r>
    </w:p>
    <w:p>
      <w:r>
        <w:pict>
          <v:rect style="width:0;height:1.5pt" o:hralign="center" o:hrstd="t" o:hr="t"/>
        </w:pict>
      </w:r>
    </w:p>
    <w:bookmarkStart w:id="9" w:name="what-were-asking-for"/>
    <w:p>
      <w:pPr>
        <w:pStyle w:val="Heading2"/>
      </w:pPr>
      <w:r>
        <w:t xml:space="preserve">1. What we’re asking for</w:t>
      </w:r>
    </w:p>
    <w:p>
      <w:pPr>
        <w:pStyle w:val="FirstParagraph"/>
      </w:pPr>
      <w:r>
        <w:t xml:space="preserve">We have prepared a DPO-level privacy-compliance dossier and want your</w:t>
      </w:r>
      <w:r>
        <w:t xml:space="preserve"> </w:t>
      </w:r>
      <w:r>
        <w:rPr>
          <w:b/>
          <w:bCs/>
        </w:rPr>
        <w:t xml:space="preserve">sign-off before we lodge it with the National Privacy Commission (NPC)</w:t>
      </w:r>
      <w:r>
        <w:t xml:space="preserve">. This is not a request to draft from scratch — the documents are complete and reconciled to the as-built product. We need a lawyer to</w:t>
      </w:r>
      <w:r>
        <w:t xml:space="preserve"> </w:t>
      </w:r>
      <w:r>
        <w:rPr>
          <w:b/>
          <w:bCs/>
        </w:rPr>
        <w:t xml:space="preserve">confirm the legal bases, ratify the retention periods, resolve four specific questions below, and flag anything that must change before filing.</w:t>
      </w:r>
    </w:p>
    <w:p>
      <w:pPr>
        <w:pStyle w:val="BodyText"/>
      </w:pPr>
      <w:r>
        <w:t xml:space="preserve">Setnayan is a Philippines-first event-planning platform operated by</w:t>
      </w:r>
      <w:r>
        <w:t xml:space="preserve"> </w:t>
      </w:r>
      <w:r>
        <w:rPr>
          <w:b/>
          <w:bCs/>
        </w:rPr>
        <w:t xml:space="preserve">SETNAYAN SOFTWARE DEVELOPMENT SERVICE</w:t>
      </w:r>
      <w:r>
        <w:t xml:space="preserve">, a DTI-registered sole proprietorship (the proprietor is both the Personal Information Controller and the DPO). Governing law:</w:t>
      </w:r>
      <w:r>
        <w:t xml:space="preserve"> </w:t>
      </w:r>
      <w:r>
        <w:rPr>
          <w:b/>
          <w:bCs/>
        </w:rPr>
        <w:t xml:space="preserve">RA 10173 (Data Privacy Act of 2012)</w:t>
      </w:r>
      <w:r>
        <w:t xml:space="preserve">, its IRR, and NPC issuances.</w:t>
      </w:r>
    </w:p>
    <w:bookmarkEnd w:id="9"/>
    <w:bookmarkStart w:id="10" w:name="documents-attached-review-set"/>
    <w:p>
      <w:pPr>
        <w:pStyle w:val="Heading2"/>
      </w:pPr>
      <w:r>
        <w:t xml:space="preserve">2. Documents attached (review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NPC_Privacy_Compliance_Dossier_2026-07-12.md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v2.0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master dossier — full ROPA (18 processing activities), device-fingerprint PIA, sensitive-PI declaration, subprocessors, security measures.</w:t>
            </w:r>
            <w:r>
              <w:t xml:space="preserve"> </w:t>
            </w:r>
            <w:r>
              <w:rPr>
                <w:b/>
                <w:bCs/>
              </w:rPr>
              <w:t xml:space="preserve">Start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Data_Retention_Schedule_2026-07-11.md</w:t>
            </w:r>
          </w:p>
        </w:tc>
        <w:tc>
          <w:tcPr/>
          <w:p>
            <w:pPr>
              <w:pStyle w:val="Compact"/>
            </w:pPr>
            <w:r>
              <w:t xml:space="preserve">Per-class retention schedule; periods marked</w:t>
            </w:r>
            <w:r>
              <w:t xml:space="preserve"> </w:t>
            </w:r>
            <w:r>
              <w:rPr>
                <w:i/>
                <w:iCs/>
              </w:rPr>
              <w:t xml:space="preserve">(counsel)</w:t>
            </w:r>
            <w:r>
              <w:t xml:space="preserve"> </w:t>
            </w:r>
            <w:r>
              <w:t xml:space="preserve">await your ratification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01_Contracts/Setnayan_Privacy_and_Security_Policy.md</w:t>
            </w:r>
          </w:p>
        </w:tc>
        <w:tc>
          <w:tcPr/>
          <w:p>
            <w:pPr>
              <w:pStyle w:val="Compact"/>
            </w:pPr>
            <w:r>
              <w:t xml:space="preserve">The binding public policy (amended 2026-07-13)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NPC_Compliance/</w:t>
            </w:r>
            <w:r>
              <w:t xml:space="preserve"> </w:t>
            </w:r>
            <w: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Deeper filing set — Privacy Manual, full RoPA, DPO Designation + NPCRS data sheet, Breach Policy, DPIA register, Face-Vector DPIA, Anti-Fraud DPIA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Device_Fingerprint_Data_Use_DPO_Review_2026-07-12.md</w:t>
            </w:r>
          </w:p>
        </w:tc>
        <w:tc>
          <w:tcPr/>
          <w:p>
            <w:pPr>
              <w:pStyle w:val="Compact"/>
            </w:pPr>
            <w:r>
              <w:t xml:space="preserve">DPO one-pager for the (dormant) fraud device-hash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Privacy_Reconciliation_Home_and_Data_Flows_2026-07-13.md</w:t>
            </w:r>
          </w:p>
        </w:tc>
        <w:tc>
          <w:tcPr/>
          <w:p>
            <w:pPr>
              <w:pStyle w:val="Compact"/>
            </w:pPr>
            <w:r>
              <w:t xml:space="preserve">Background: how the dossier was reconciled to the shipped product (context, not for sign-off)</w:t>
            </w:r>
          </w:p>
        </w:tc>
      </w:tr>
    </w:tbl>
    <w:bookmarkEnd w:id="10"/>
    <w:bookmarkStart w:id="15" w:name="the-four-sign-off-items"/>
    <w:p>
      <w:pPr>
        <w:pStyle w:val="Heading2"/>
      </w:pPr>
      <w:r>
        <w:t xml:space="preserve">3. The four sign-off items</w:t>
      </w:r>
    </w:p>
    <w:bookmarkStart w:id="11" w:name="X8f113ae535f2ab9ff5103a410bacd20b3864436"/>
    <w:p>
      <w:pPr>
        <w:pStyle w:val="Heading3"/>
      </w:pPr>
      <w:r>
        <w:t xml:space="preserve">Item 1 — Minors’ data &amp; sensitive personal information (the priority question)</w:t>
      </w:r>
    </w:p>
    <w:p>
      <w:pPr>
        <w:pStyle w:val="FirstParagraph"/>
      </w:pPr>
      <w:r>
        <w:rPr>
          <w:b/>
          <w:bCs/>
        </w:rPr>
        <w:t xml:space="preserve">Facts.</w:t>
      </w:r>
      <w:r>
        <w:t xml:space="preserve"> </w:t>
      </w:r>
      <w:r>
        <w:t xml:space="preserve">The product processes, in production, the following sensitive/§ 3(l)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Self-profile (adults):</w:t>
      </w:r>
      <w:r>
        <w:t xml:space="preserve"> </w:t>
      </w:r>
      <w:r>
        <w:t xml:space="preserve">religion, civil status, gender — optional, opt-in, per-field consent timestamp.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Dependents (a generic list — person, pet, or anything):</w:t>
      </w:r>
      <w:r>
        <w:t xml:space="preserve"> </w:t>
      </w:r>
      <w:r>
        <w:t xml:space="preserve">the feature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minors registry; a</w:t>
      </w:r>
      <w:r>
        <w:t xml:space="preserve"> </w:t>
      </w:r>
      <w:r>
        <w:rPr>
          <w:rStyle w:val="VerbatimChar"/>
        </w:rPr>
        <w:t xml:space="preserve">dependent_kind</w:t>
      </w:r>
      <w:r>
        <w:t xml:space="preserve"> </w:t>
      </w:r>
      <w:r>
        <w:t xml:space="preserve">(person / pet / other) discriminates it. Only a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dependent may carry</w:t>
      </w:r>
      <w:r>
        <w:t xml:space="preserve"> </w:t>
      </w:r>
      <w:r>
        <w:rPr>
          <w:b/>
          <w:bCs/>
        </w:rPr>
        <w:t xml:space="preserve">name, birth date, sex, religion</w:t>
      </w:r>
      <w:r>
        <w:t xml:space="preserve"> </w:t>
      </w:r>
      <w:r>
        <w:t xml:space="preserve">(guardian-consent timestamps); pets/other carry no sensitive data. When a person-dependent is a</w:t>
      </w:r>
      <w:r>
        <w:t xml:space="preserve"> </w:t>
      </w:r>
      <w:r>
        <w:rPr>
          <w:b/>
          <w:bCs/>
        </w:rPr>
        <w:t xml:space="preserve">child</w:t>
      </w:r>
      <w:r>
        <w:t xml:space="preserve">, a household model lets a</w:t>
      </w:r>
      <w:r>
        <w:t xml:space="preserve"> </w:t>
      </w:r>
      <w:r>
        <w:rPr>
          <w:b/>
          <w:bCs/>
        </w:rPr>
        <w:t xml:space="preserve">spouse account read a shared child’s record</w:t>
      </w:r>
      <w:r>
        <w:t xml:space="preserve">, retained after separation/annulment for co-parenting. So minors’ SPI is a</w:t>
      </w:r>
      <w:r>
        <w:t xml:space="preserve"> </w:t>
      </w:r>
      <w:r>
        <w:rPr>
          <w:b/>
          <w:bCs/>
        </w:rPr>
        <w:t xml:space="preserve">conditional sub-case of the person kind</w:t>
      </w:r>
      <w:r>
        <w:t xml:space="preserve">, not the table’s purpose — but it can occur.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honoree data (christening / gender reveal):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child’s birth date + gender</w:t>
      </w:r>
      <w:r>
        <w:t xml:space="preserve">, and a</w:t>
      </w:r>
      <w:r>
        <w:t xml:space="preserve"> </w:t>
      </w:r>
      <w:r>
        <w:rPr>
          <w:b/>
          <w:bCs/>
        </w:rPr>
        <w:t xml:space="preserve">pregnancy expected due-date</w:t>
      </w:r>
      <w:r>
        <w:t xml:space="preserve"> </w:t>
      </w:r>
      <w:r>
        <w:t xml:space="preserve">(health-adjacent) — entered by the account holder into the event record, currently</w:t>
      </w:r>
      <w:r>
        <w:t xml:space="preserve"> </w:t>
      </w:r>
      <w:r>
        <w:rPr>
          <w:b/>
          <w:bCs/>
        </w:rPr>
        <w:t xml:space="preserve">without a separate per-field consent timestamp</w:t>
      </w:r>
      <w:r>
        <w:t xml:space="preserve"> </w:t>
      </w:r>
      <w:r>
        <w:t xml:space="preserve">(documented as-is; see dossier § 3 row 4 and § 11 item 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Godparents:</w:t>
      </w:r>
      <w:r>
        <w:t xml:space="preserve"> </w:t>
      </w:r>
      <w:r>
        <w:t xml:space="preserve">name +</w:t>
      </w:r>
      <w:r>
        <w:t xml:space="preserve"> </w:t>
      </w:r>
      <w:r>
        <w:rPr>
          <w:b/>
          <w:bCs/>
        </w:rPr>
        <w:t xml:space="preserve">email of a third party</w:t>
      </w:r>
      <w:r>
        <w:t xml:space="preserve">, who may receive godchild-birthday reminders.</w:t>
      </w:r>
    </w:p>
    <w:p>
      <w:pPr>
        <w:pStyle w:val="BodyText"/>
      </w:pPr>
      <w:r>
        <w:rPr>
          <w:b/>
          <w:bCs/>
        </w:rPr>
        <w:t xml:space="preserve">Current position.</w:t>
      </w:r>
      <w:r>
        <w:t xml:space="preserve"> </w:t>
      </w:r>
      <w:r>
        <w:t xml:space="preserve">We rely on</w:t>
      </w:r>
      <w:r>
        <w:t xml:space="preserve"> </w:t>
      </w:r>
      <w:r>
        <w:rPr>
          <w:b/>
          <w:bCs/>
        </w:rPr>
        <w:t xml:space="preserve">§ 13(a) consent</w:t>
      </w:r>
      <w:r>
        <w:t xml:space="preserve"> </w:t>
      </w:r>
      <w:r>
        <w:t xml:space="preserve">— self-consent for adults,</w:t>
      </w:r>
      <w:r>
        <w:t xml:space="preserve"> </w:t>
      </w:r>
      <w:r>
        <w:rPr>
          <w:b/>
          <w:bCs/>
        </w:rPr>
        <w:t xml:space="preserve">guardian consent</w:t>
      </w:r>
      <w:r>
        <w:t xml:space="preserve"> </w:t>
      </w:r>
      <w:r>
        <w:t xml:space="preserve">for a minor’s attributes — plus § 12(b) contract for event delivery.</w:t>
      </w:r>
    </w:p>
    <w:p>
      <w:pPr>
        <w:pStyle w:val="BodyText"/>
      </w:pPr>
      <w:r>
        <w:rPr>
          <w:b/>
          <w:bCs/>
        </w:rPr>
        <w:t xml:space="preserve">We need you to confirm / advise:</w:t>
      </w:r>
      <w:r>
        <w:t xml:space="preserve"> </w:t>
      </w:r>
      <w:r>
        <w:t xml:space="preserve">1. Is</w:t>
      </w:r>
      <w:r>
        <w:t xml:space="preserve"> </w:t>
      </w:r>
      <w:r>
        <w:rPr>
          <w:b/>
          <w:bCs/>
        </w:rPr>
        <w:t xml:space="preserve">guardian consent</w:t>
      </w:r>
      <w:r>
        <w:t xml:space="preserve"> </w:t>
      </w:r>
      <w:r>
        <w:t xml:space="preserve">a sufficient and valid basis under RA 10173 § 13 for processing a minor’s SPI (birth date, sex, religion) in this consumer product, and are any additional safeguards or a DPIA required?</w:t>
      </w:r>
      <w:r>
        <w:t xml:space="preserve"> </w:t>
      </w:r>
      <w:r>
        <w:t xml:space="preserve">2. Is the</w:t>
      </w:r>
      <w:r>
        <w:t xml:space="preserve"> </w:t>
      </w:r>
      <w:r>
        <w:rPr>
          <w:b/>
          <w:bCs/>
        </w:rPr>
        <w:t xml:space="preserve">honoree path acceptable without a per-field consent timestamp</w:t>
      </w:r>
      <w:r>
        <w:t xml:space="preserve">, or must those fields be gated/instrumented before filing?</w:t>
      </w:r>
      <w:r>
        <w:t xml:space="preserve"> </w:t>
      </w:r>
      <w:r>
        <w:t xml:space="preserve">3. Are the</w:t>
      </w:r>
      <w:r>
        <w:t xml:space="preserve"> </w:t>
      </w:r>
      <w:r>
        <w:rPr>
          <w:b/>
          <w:bCs/>
        </w:rPr>
        <w:t xml:space="preserve">household spouse-share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post-separation retention</w:t>
      </w:r>
      <w:r>
        <w:t xml:space="preserve"> </w:t>
      </w:r>
      <w:r>
        <w:t xml:space="preserve">of a child’s record defensible, and how should they be disclosed?</w:t>
      </w:r>
      <w:r>
        <w:t xml:space="preserve"> </w:t>
      </w:r>
      <w:r>
        <w:t xml:space="preserve">4. Please approve the corrected wording for the binding policy’s</w:t>
      </w:r>
      <w:r>
        <w:t xml:space="preserve"> </w:t>
      </w:r>
      <w:r>
        <w:rPr>
          <w:b/>
          <w:bCs/>
        </w:rPr>
        <w:t xml:space="preserve">§ A.5</w:t>
      </w:r>
      <w:r>
        <w:t xml:space="preserve">, which currently still reads</w:t>
      </w:r>
      <w:r>
        <w:t xml:space="preserve"> </w:t>
      </w:r>
      <w:r>
        <w:rPr>
          <w:i/>
          <w:iCs/>
        </w:rPr>
        <w:t xml:space="preserve">“data about minors is not processed”</w:t>
      </w:r>
      <w:r>
        <w:t xml:space="preserve"> </w:t>
      </w:r>
      <w:r>
        <w:t xml:space="preserve">(now inaccurate — flagged, not yet rewritten).</w:t>
      </w:r>
    </w:p>
    <w:bookmarkEnd w:id="11"/>
    <w:bookmarkStart w:id="12" w:name="X3ae98289fac7330fabb3a1d4d7218c7476cb53a"/>
    <w:p>
      <w:pPr>
        <w:pStyle w:val="Heading3"/>
      </w:pPr>
      <w:r>
        <w:t xml:space="preserve">Item 2 — Vendor identity &amp; AML/sanctions screening</w:t>
      </w:r>
    </w:p>
    <w:p>
      <w:pPr>
        <w:pStyle w:val="FirstParagraph"/>
      </w:pPr>
      <w:r>
        <w:rPr>
          <w:b/>
          <w:bCs/>
        </w:rPr>
        <w:t xml:space="preserve">Facts.</w:t>
      </w:r>
      <w:r>
        <w:t xml:space="preserve"> </w:t>
      </w:r>
      <w:r>
        <w:t xml:space="preserve">Vendor onboarding collects</w:t>
      </w:r>
      <w:r>
        <w:t xml:space="preserve"> </w:t>
      </w:r>
      <w:r>
        <w:rPr>
          <w:b/>
          <w:bCs/>
        </w:rPr>
        <w:t xml:space="preserve">government ID, business permits (DTI / BIR 2303 / Mayor’s Permit), a liveness selfie, and an AMLC / PEP sanctions-screening result.</w:t>
      </w:r>
      <w:r>
        <w:t xml:space="preserve"> </w:t>
      </w:r>
      <w:r>
        <w:t xml:space="preserve">Verification-audit records are retained</w:t>
      </w:r>
      <w:r>
        <w:t xml:space="preserve"> </w:t>
      </w:r>
      <w:r>
        <w:rPr>
          <w:b/>
          <w:bCs/>
        </w:rPr>
        <w:t xml:space="preserve">7 years cold</w:t>
      </w:r>
      <w:r>
        <w:t xml:space="preserve">. Automated verification (Persona) is</w:t>
      </w:r>
      <w:r>
        <w:t xml:space="preserve"> </w:t>
      </w:r>
      <w:r>
        <w:rPr>
          <w:b/>
          <w:bCs/>
        </w:rPr>
        <w:t xml:space="preserve">staged, not yet live</w:t>
      </w:r>
      <w:r>
        <w:t xml:space="preserve"> </w:t>
      </w:r>
      <w:r>
        <w:t xml:space="preserve">— documents are currently reviewed by our team.</w:t>
      </w:r>
    </w:p>
    <w:p>
      <w:pPr>
        <w:pStyle w:val="BodyText"/>
      </w:pPr>
      <w:r>
        <w:rPr>
          <w:b/>
          <w:bCs/>
        </w:rPr>
        <w:t xml:space="preserve">We need you to confirm / advise:</w:t>
      </w:r>
      <w:r>
        <w:t xml:space="preserve"> </w:t>
      </w:r>
      <w:r>
        <w:t xml:space="preserve">the correct legal basis for the gov-ID + sanctions/PEP screening (we currently cite § 12(b)/(c)/(f) and § 13(d) AMLA compliance), the</w:t>
      </w:r>
      <w:r>
        <w:t xml:space="preserve"> </w:t>
      </w:r>
      <w:r>
        <w:rPr>
          <w:b/>
          <w:bCs/>
        </w:rPr>
        <w:t xml:space="preserve">7-year retention</w:t>
      </w:r>
      <w:r>
        <w:t xml:space="preserve"> </w:t>
      </w:r>
      <w:r>
        <w:t xml:space="preserve">adequacy, and whether the AMLC/PEP screening triggers any additional AMLA / registration obligation for a marketplace platform of our type.</w:t>
      </w:r>
    </w:p>
    <w:bookmarkEnd w:id="12"/>
    <w:bookmarkStart w:id="13" w:name="X0eae7d778a4e02d57f9a9b2fe0a95907176ed46"/>
    <w:p>
      <w:pPr>
        <w:pStyle w:val="Heading3"/>
      </w:pPr>
      <w:r>
        <w:t xml:space="preserve">Item 3 — Retention periods + one known deletion gap</w:t>
      </w:r>
    </w:p>
    <w:p>
      <w:pPr>
        <w:pStyle w:val="FirstParagraph"/>
      </w:pPr>
      <w:r>
        <w:rPr>
          <w:b/>
          <w:bCs/>
        </w:rPr>
        <w:t xml:space="preserve">Facts.</w:t>
      </w:r>
      <w:r>
        <w:t xml:space="preserve"> </w:t>
      </w:r>
      <w:r>
        <w:t xml:space="preserve">Retention (schedule B) sets a</w:t>
      </w:r>
      <w:r>
        <w:t xml:space="preserve"> </w:t>
      </w:r>
      <w:r>
        <w:rPr>
          <w:b/>
          <w:bCs/>
        </w:rPr>
        <w:t xml:space="preserve">5-year</w:t>
      </w:r>
      <w:r>
        <w:t xml:space="preserve"> </w:t>
      </w:r>
      <w:r>
        <w:t xml:space="preserve">default (event data, chat, media) and a</w:t>
      </w:r>
      <w:r>
        <w:t xml:space="preserve"> </w:t>
      </w:r>
      <w:r>
        <w:rPr>
          <w:b/>
          <w:bCs/>
        </w:rPr>
        <w:t xml:space="preserve">10-year statutory floor</w:t>
      </w:r>
      <w:r>
        <w:t xml:space="preserve"> </w:t>
      </w:r>
      <w:r>
        <w:t xml:space="preserve">(payment records / Official Receipts under BIR RR 17-2013; contracts under Civil Code Art. 1144).</w:t>
      </w:r>
      <w:r>
        <w:t xml:space="preserve"> </w:t>
      </w:r>
      <w:r>
        <w:rPr>
          <w:b/>
          <w:bCs/>
        </w:rPr>
        <w:t xml:space="preserve">Known gap:</w:t>
      </w:r>
      <w:r>
        <w:t xml:space="preserve"> </w:t>
      </w:r>
      <w:r>
        <w:t xml:space="preserve">an account</w:t>
      </w:r>
      <w:r>
        <w:t xml:space="preserve"> </w:t>
      </w:r>
      <w:r>
        <w:rPr>
          <w:b/>
          <w:bCs/>
        </w:rPr>
        <w:t xml:space="preserve">hard-delete does not yet purge chat-message PII</w:t>
      </w:r>
      <w:r>
        <w:t xml:space="preserve"> </w:t>
      </w:r>
      <w:r>
        <w:t xml:space="preserve">(schedule B § 4; dossier § 3 note).</w:t>
      </w:r>
    </w:p>
    <w:p>
      <w:pPr>
        <w:pStyle w:val="BodyText"/>
      </w:pPr>
      <w:r>
        <w:rPr>
          <w:b/>
          <w:bCs/>
        </w:rPr>
        <w:t xml:space="preserve">We need you to confirm / advise:</w:t>
      </w:r>
      <w:r>
        <w:t xml:space="preserve"> </w:t>
      </w:r>
      <w:r>
        <w:t xml:space="preserve">ratify the</w:t>
      </w:r>
      <w:r>
        <w:t xml:space="preserve"> </w:t>
      </w:r>
      <w:r>
        <w:rPr>
          <w:i/>
          <w:iCs/>
        </w:rPr>
        <w:t xml:space="preserve">(counsel)</w:t>
      </w:r>
      <w:r>
        <w:t xml:space="preserve">-marked periods, and advise whether the</w:t>
      </w:r>
      <w:r>
        <w:t xml:space="preserve"> </w:t>
      </w:r>
      <w:r>
        <w:rPr>
          <w:b/>
          <w:bCs/>
        </w:rPr>
        <w:t xml:space="preserve">chat-PII-on-deletion gap is a compliance defect that must be remediated before filing</w:t>
      </w:r>
      <w:r>
        <w:t xml:space="preserve"> </w:t>
      </w:r>
      <w:r>
        <w:t xml:space="preserve">(we can prioritize the fix) or a tracked remediation acceptable to disclose.</w:t>
      </w:r>
    </w:p>
    <w:bookmarkEnd w:id="13"/>
    <w:bookmarkStart w:id="14" w:name="X40bceaf6b56f8e47d85060ca768586110ab5450"/>
    <w:p>
      <w:pPr>
        <w:pStyle w:val="Heading3"/>
      </w:pPr>
      <w:r>
        <w:t xml:space="preserve">Item 4 — NPC registration threshold + overall attestation</w:t>
      </w:r>
    </w:p>
    <w:p>
      <w:pPr>
        <w:pStyle w:val="FirstParagraph"/>
      </w:pPr>
      <w:r>
        <w:rPr>
          <w:b/>
          <w:bCs/>
        </w:rPr>
        <w:t xml:space="preserve">We need you to confirm / advise:</w:t>
      </w:r>
      <w:r>
        <w:t xml:space="preserve"> </w:t>
      </w:r>
      <w:r>
        <w:t xml:space="preserve">whether Setnayan meets the</w:t>
      </w:r>
      <w:r>
        <w:t xml:space="preserve"> </w:t>
      </w:r>
      <w:r>
        <w:rPr>
          <w:b/>
          <w:bCs/>
        </w:rPr>
        <w:t xml:space="preserve">NPC registration threshold</w:t>
      </w:r>
      <w:r>
        <w:t xml:space="preserve"> </w:t>
      </w:r>
      <w:r>
        <w:t xml:space="preserve">(sensitive PI is processed — biometric, religion, minors’ data, gov-ID — which we believe triggers registration), any conditions specific to a</w:t>
      </w:r>
      <w:r>
        <w:t xml:space="preserve"> </w:t>
      </w:r>
      <w:r>
        <w:rPr>
          <w:b/>
          <w:bCs/>
        </w:rPr>
        <w:t xml:space="preserve">sole proprietorship</w:t>
      </w:r>
      <w:r>
        <w:t xml:space="preserve"> </w:t>
      </w:r>
      <w:r>
        <w:t xml:space="preserve">registrant, and provide your</w:t>
      </w:r>
      <w:r>
        <w:t xml:space="preserve"> </w:t>
      </w:r>
      <w:r>
        <w:rPr>
          <w:b/>
          <w:bCs/>
        </w:rPr>
        <w:t xml:space="preserve">overall attestation</w:t>
      </w:r>
      <w:r>
        <w:t xml:space="preserve"> </w:t>
      </w:r>
      <w:r>
        <w:t xml:space="preserve">that the dossier (A) and binding policy (C) are fit to file, subject to the changes you direct.</w:t>
      </w:r>
    </w:p>
    <w:bookmarkEnd w:id="14"/>
    <w:bookmarkEnd w:id="15"/>
    <w:bookmarkStart w:id="16" w:name="Xbcc92d5e23141447b0990b396f4aca6b96a6315"/>
    <w:p>
      <w:pPr>
        <w:pStyle w:val="Heading2"/>
      </w:pPr>
      <w:r>
        <w:t xml:space="preserve">4. What is already settled (context, so you don’t re-open 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privacy notice</w:t>
      </w:r>
      <w:r>
        <w:t xml:space="preserve"> </w:t>
      </w:r>
      <w:r>
        <w:t xml:space="preserve">— updated 2026-07-13 to disclose faith/family/honoree/e-gift processing; already carried opt-in biometric + device-identifier sections. Wording refinements welcome but coverage is 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fingerprint</w:t>
      </w:r>
      <w:r>
        <w:t xml:space="preserve"> </w:t>
      </w:r>
      <w:r>
        <w:t xml:space="preserve">— built but</w:t>
      </w:r>
      <w:r>
        <w:t xml:space="preserve"> </w:t>
      </w:r>
      <w:r>
        <w:rPr>
          <w:b/>
          <w:bCs/>
        </w:rPr>
        <w:t xml:space="preserve">flag-OFF / dormant</w:t>
      </w:r>
      <w:r>
        <w:t xml:space="preserve"> </w:t>
      </w:r>
      <w:r>
        <w:t xml:space="preserve">(collects nothing); activation is DPO-gated and pre-disclosed.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DPO contact + SLA</w:t>
      </w:r>
      <w:r>
        <w:t xml:space="preserve"> </w:t>
      </w:r>
      <w:r>
        <w:t xml:space="preserve">— standardized to</w:t>
      </w:r>
      <w:r>
        <w:t xml:space="preserve"> </w:t>
      </w:r>
      <w:r>
        <w:rPr>
          <w:rStyle w:val="VerbatimChar"/>
        </w:rPr>
        <w:t xml:space="preserve">dpo@setnayan.com</w:t>
      </w:r>
      <w:r>
        <w:t xml:space="preserve"> </w:t>
      </w:r>
      <w:r>
        <w:t xml:space="preserve">· 15 business days across all surfaces.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— Setnayan holds/moves</w:t>
      </w:r>
      <w:r>
        <w:t xml:space="preserve"> </w:t>
      </w:r>
      <w:r>
        <w:rPr>
          <w:b/>
          <w:bCs/>
        </w:rPr>
        <w:t xml:space="preserve">no money</w:t>
      </w:r>
      <w:r>
        <w:t xml:space="preserve">; e-gift stores display-only receiving handles with no amount or ledger.</w:t>
      </w:r>
    </w:p>
    <w:bookmarkEnd w:id="16"/>
    <w:bookmarkStart w:id="17" w:name="how-to-return-this"/>
    <w:p>
      <w:pPr>
        <w:pStyle w:val="Heading2"/>
      </w:pPr>
      <w:r>
        <w:t xml:space="preserve">5. How to return this</w:t>
      </w:r>
    </w:p>
    <w:p>
      <w:pPr>
        <w:pStyle w:val="FirstParagraph"/>
      </w:pPr>
      <w:r>
        <w:t xml:space="preserve">Please return your review as (a) a</w:t>
      </w:r>
      <w:r>
        <w:t xml:space="preserve"> </w:t>
      </w:r>
      <w:r>
        <w:rPr>
          <w:b/>
          <w:bCs/>
        </w:rPr>
        <w:t xml:space="preserve">go / no-go</w:t>
      </w:r>
      <w:r>
        <w:t xml:space="preserve"> </w:t>
      </w:r>
      <w:r>
        <w:t xml:space="preserve">on filing, (b)</w:t>
      </w:r>
      <w:r>
        <w:t xml:space="preserve"> </w:t>
      </w:r>
      <w:r>
        <w:rPr>
          <w:b/>
          <w:bCs/>
        </w:rPr>
        <w:t xml:space="preserve">required changes</w:t>
      </w:r>
      <w:r>
        <w:t xml:space="preserve"> </w:t>
      </w:r>
      <w:r>
        <w:t xml:space="preserve">keyed to the item numbers above, and (c) any</w:t>
      </w:r>
      <w:r>
        <w:t xml:space="preserve"> </w:t>
      </w:r>
      <w:r>
        <w:rPr>
          <w:b/>
          <w:bCs/>
        </w:rPr>
        <w:t xml:space="preserve">retention periods</w:t>
      </w:r>
      <w:r>
        <w:t xml:space="preserve"> </w:t>
      </w:r>
      <w:r>
        <w:t xml:space="preserve">you cannot ratify as written. We will apply changes to documents A–C and re-issue for a final short confirmation before lodging with the NPC.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 (DPO):</w:t>
      </w:r>
      <w:r>
        <w:t xml:space="preserve"> </w:t>
      </w:r>
      <w:r>
        <w:t xml:space="preserve">_______________________ (Indalecio S. Casasola II) — dpo@setnayan.com · 2026-07-13</w:t>
      </w:r>
      <w:r>
        <w:t xml:space="preserve"> </w:t>
      </w:r>
      <w:r>
        <w:rPr>
          <w:b/>
          <w:bCs/>
        </w:rPr>
        <w:t xml:space="preserve">Counsel sign-off:</w:t>
      </w:r>
      <w:r>
        <w:t xml:space="preserve"> </w:t>
      </w:r>
      <w:r>
        <w:t xml:space="preserve">_______________________ Date: __________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2026-07-13T01:24:53Z</dcterms:created>
  <dcterms:modified xsi:type="dcterms:W3CDTF">2026-07-13T01:24:53Z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