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etnayan-privacy-compliance-dossier"/>
    <w:p>
      <w:pPr>
        <w:pStyle w:val="Heading1"/>
      </w:pPr>
      <w:r>
        <w:t xml:space="preserve">Setnayan — Privacy Compliance Dossier</w:t>
      </w:r>
    </w:p>
    <w:bookmarkStart w:id="9" w:name="X9cbbd740f4ac7491d786d56ae5fae0ffcb46ee8"/>
    <w:p>
      <w:pPr>
        <w:pStyle w:val="Heading3"/>
      </w:pPr>
      <w:r>
        <w:t xml:space="preserve">For submission to the National Privacy Commission (NPC), Republic of the Philippines</w:t>
      </w:r>
    </w:p>
    <w:p>
      <w:pPr>
        <w:pStyle w:val="BlockText"/>
      </w:pPr>
      <w:r>
        <w:rPr>
          <w:b/>
          <w:bCs/>
        </w:rPr>
        <w:t xml:space="preserve">Status: DPO-prepared submission draft — pending final external legal review before filing.</w:t>
      </w:r>
      <w:r>
        <w:t xml:space="preserve"> </w:t>
      </w:r>
      <w:r>
        <w:t xml:space="preserve">This dossier is prepared by the Data Protection Officer to support NPC registration and to serve as Setnayan’s Records of Processing Activities (ROPA) and Privacy Impact Assessment (PIA). It is reasoned from RA 10173 (Data Privacy Act of 2012), its IRR, and NPC issuances. It is</w:t>
      </w:r>
      <w:r>
        <w:t xml:space="preserve"> </w:t>
      </w:r>
      <w:r>
        <w:rPr>
          <w:b/>
          <w:bCs/>
        </w:rPr>
        <w:t xml:space="preserve">not legal advice</w:t>
      </w:r>
      <w:r>
        <w:t xml:space="preserve">; the Personal Information Controller should have it reviewed by external counsel before submission.</w:t>
      </w:r>
    </w:p>
    <w:p>
      <w:pPr>
        <w:pStyle w:val="BlockText"/>
      </w:pPr>
      <w:r>
        <w:rPr>
          <w:b/>
          <w:bCs/>
        </w:rPr>
        <w:t xml:space="preserve">Prepared:</w:t>
      </w:r>
      <w:r>
        <w:t xml:space="preserve"> </w:t>
      </w:r>
      <w:r>
        <w:t xml:space="preserve">2026-07-12.</w:t>
      </w:r>
      <w:r>
        <w:t xml:space="preserve"> </w:t>
      </w:r>
      <w:r>
        <w:rPr>
          <w:b/>
          <w:bCs/>
        </w:rPr>
        <w:t xml:space="preserve">Version:</w:t>
      </w:r>
      <w:r>
        <w:t xml:space="preserve"> </w:t>
      </w:r>
      <w:r>
        <w:t xml:space="preserve">2.0 (last updated</w:t>
      </w:r>
      <w:r>
        <w:t xml:space="preserve"> </w:t>
      </w:r>
      <w:r>
        <w:rPr>
          <w:b/>
          <w:bCs/>
        </w:rPr>
        <w:t xml:space="preserve">2026-07-13</w:t>
      </w:r>
      <w:r>
        <w:t xml:space="preserve">).</w:t>
      </w:r>
      <w:r>
        <w:t xml:space="preserve"> </w:t>
      </w:r>
      <w:r>
        <w:rPr>
          <w:b/>
          <w:bCs/>
        </w:rPr>
        <w:t xml:space="preserve">Governing law:</w:t>
      </w:r>
      <w:r>
        <w:t xml:space="preserve"> </w:t>
      </w:r>
      <w:r>
        <w:t xml:space="preserve">RA 10173 + IRR + NPC Circulars.</w:t>
      </w:r>
    </w:p>
    <w:p>
      <w:pPr>
        <w:pStyle w:val="BlockText"/>
      </w:pPr>
      <w:r>
        <w:rPr>
          <w:b/>
          <w:bCs/>
        </w:rPr>
        <w:t xml:space="preserve">What changed in v2.0 (2026-07-13):</w:t>
      </w:r>
      <w:r>
        <w:t xml:space="preserve"> </w:t>
      </w:r>
      <w:r>
        <w:t xml:space="preserve">the ROPA (§3) and the sensitive-personal-information declaration (§5) were expanded from a customer-centric, biometric-only scope to cover</w:t>
      </w:r>
      <w:r>
        <w:t xml:space="preserve"> </w:t>
      </w:r>
      <w:r>
        <w:rPr>
          <w:b/>
          <w:bCs/>
        </w:rPr>
        <w:t xml:space="preserve">every category the platform actually processes</w:t>
      </w:r>
      <w:r>
        <w:t xml:space="preserve"> </w:t>
      </w:r>
      <w:r>
        <w:t xml:space="preserve">— self-profile religion / civil status / gender, the dependents &amp; godparents family graph (minors’ data), event honoree / specialty data (incl. christening child data and gender-reveal due-date), e-gift receiving handles, and the vendor-verification identity surface. The subprocessor list (§7) was completed (Persona, TikTok, Suno added). Retention (§3, §8a) was aligned to the</w:t>
      </w:r>
      <w:r>
        <w:t xml:space="preserve"> </w:t>
      </w:r>
      <w:r>
        <w:rPr>
          <w:b/>
          <w:bCs/>
        </w:rPr>
        <w:t xml:space="preserve">Data Retention Schedule (2026-07-11)</w:t>
      </w:r>
      <w:r>
        <w:t xml:space="preserve"> </w:t>
      </w:r>
      <w:r>
        <w:t xml:space="preserve">with its statutory floors. Driven by the reconciliation in</w:t>
      </w:r>
      <w:r>
        <w:t xml:space="preserve"> </w:t>
      </w:r>
      <w:r>
        <w:rPr>
          <w:rStyle w:val="VerbatimChar"/>
        </w:rPr>
        <w:t xml:space="preserve">Privacy_Reconciliation_Home_and_Data_Flows_2026-07-13.md</w:t>
      </w:r>
      <w:r>
        <w:t xml:space="preserve">. Items still requiring owner/counsel action are consolidated in §11.</w:t>
      </w:r>
    </w:p>
    <w:p>
      <w:r>
        <w:pict>
          <v:rect style="width:0;height:1.5pt" o:hralign="center" o:hrstd="t" o:hr="t"/>
        </w:pict>
      </w:r>
    </w:p>
    <w:bookmarkEnd w:id="9"/>
    <w:bookmarkStart w:id="10" w:name="Xeef51d41190b5875745a43f99e136be286b7342"/>
    <w:p>
      <w:pPr>
        <w:pStyle w:val="Heading2"/>
      </w:pPr>
      <w:r>
        <w:t xml:space="preserve">1. Personal Information Controller (PIC) and Data Protection Officer (DPO)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Registered business name</w:t>
            </w:r>
          </w:p>
        </w:tc>
        <w:tc>
          <w:tcPr/>
          <w:p>
            <w:pPr>
              <w:pStyle w:val="Compact"/>
            </w:pPr>
            <w:r>
              <w:t xml:space="preserve">SETNAYAN SOFTWARE DEVELOPMENT SERVICE</w:t>
            </w:r>
          </w:p>
        </w:tc>
      </w:tr>
      <w:tr>
        <w:tc>
          <w:tcPr/>
          <w:p>
            <w:pPr>
              <w:pStyle w:val="Compact"/>
            </w:pPr>
            <w:r>
              <w:rPr>
                <w:b/>
                <w:bCs/>
              </w:rPr>
              <w:t xml:space="preserve">Legal form</w:t>
            </w:r>
          </w:p>
        </w:tc>
        <w:tc>
          <w:tcPr/>
          <w:p>
            <w:pPr>
              <w:pStyle w:val="Compact"/>
            </w:pPr>
            <w:r>
              <w:t xml:space="preserve">Sole proprietorship (DTI-registered 2026-06-25, national scope)</w:t>
            </w:r>
          </w:p>
        </w:tc>
      </w:tr>
      <w:tr>
        <w:tc>
          <w:tcPr/>
          <w:p>
            <w:pPr>
              <w:pStyle w:val="Compact"/>
            </w:pPr>
            <w:r>
              <w:rPr>
                <w:b/>
                <w:bCs/>
              </w:rPr>
              <w:t xml:space="preserve">PIC under RA 10173</w:t>
            </w:r>
          </w:p>
        </w:tc>
        <w:tc>
          <w:tcPr/>
          <w:p>
            <w:pPr>
              <w:pStyle w:val="Compact"/>
            </w:pPr>
            <w:r>
              <w:t xml:space="preserve">The proprietor. A sole proprietorship has no legal personality separate from its proprietor, so the proprietor is the Personal Information Controller.</w:t>
            </w:r>
          </w:p>
        </w:tc>
      </w:tr>
      <w:tr>
        <w:tc>
          <w:tcPr/>
          <w:p>
            <w:pPr>
              <w:pStyle w:val="Compact"/>
            </w:pPr>
            <w:r>
              <w:rPr>
                <w:b/>
                <w:bCs/>
              </w:rPr>
              <w:t xml:space="preserve">Data Protection Officer</w:t>
            </w:r>
          </w:p>
        </w:tc>
        <w:tc>
          <w:tcPr/>
          <w:p>
            <w:pPr>
              <w:pStyle w:val="Compact"/>
            </w:pPr>
            <w:r>
              <w:t xml:space="preserve">The proprietor (Indalecio S. Casasola II), serving the DPO function directly</w:t>
            </w:r>
          </w:p>
        </w:tc>
      </w:tr>
      <w:tr>
        <w:tc>
          <w:tcPr/>
          <w:p>
            <w:pPr>
              <w:pStyle w:val="Compact"/>
            </w:pPr>
            <w:r>
              <w:rPr>
                <w:b/>
                <w:bCs/>
              </w:rPr>
              <w:t xml:space="preserve">DPO contact</w:t>
            </w:r>
          </w:p>
        </w:tc>
        <w:tc>
          <w:tcPr/>
          <w:p>
            <w:pPr>
              <w:pStyle w:val="Compact"/>
            </w:pPr>
            <w:r>
              <w:t xml:space="preserve">dpo@setnayan.com</w:t>
            </w:r>
            <w:r>
              <w:t xml:space="preserve"> </w:t>
            </w:r>
            <w:r>
              <w:rPr>
                <w:i/>
                <w:iCs/>
              </w:rPr>
              <w:t xml:space="preserve">(the contact published on every public surface — privacy notice, cookie policy, acceptable-use, site footer, and schema.org metadata. Older internal/corpus documents that still list</w:t>
            </w:r>
            <w:r>
              <w:rPr>
                <w:i/>
                <w:iCs/>
              </w:rPr>
              <w:t xml:space="preserve"> </w:t>
            </w:r>
            <w:r>
              <w:rPr>
                <w:rStyle w:val="VerbatimChar"/>
                <w:i/>
                <w:iCs/>
              </w:rPr>
              <w:t xml:space="preserve">iscasasolaii@gmail.com</w:t>
            </w:r>
            <w:r>
              <w:rPr>
                <w:i/>
                <w:iCs/>
              </w:rPr>
              <w:t xml:space="preserve"> </w:t>
            </w:r>
            <w:r>
              <w:rPr>
                <w:i/>
                <w:iCs/>
              </w:rPr>
              <w:t xml:space="preserve">are to be aligned to this address — see §11.)</w:t>
            </w:r>
          </w:p>
        </w:tc>
      </w:tr>
      <w:tr>
        <w:tc>
          <w:tcPr/>
          <w:p>
            <w:pPr>
              <w:pStyle w:val="Compact"/>
            </w:pPr>
            <w:r>
              <w:rPr>
                <w:b/>
                <w:bCs/>
              </w:rPr>
              <w:t xml:space="preserve">Data subject response SLA</w:t>
            </w:r>
          </w:p>
        </w:tc>
        <w:tc>
          <w:tcPr/>
          <w:p>
            <w:pPr>
              <w:pStyle w:val="Compact"/>
            </w:pPr>
            <w:r>
              <w:t xml:space="preserve">15 business days</w:t>
            </w:r>
            <w:r>
              <w:t xml:space="preserve"> </w:t>
            </w:r>
            <w:r>
              <w:rPr>
                <w:i/>
                <w:iCs/>
              </w:rPr>
              <w:t xml:space="preserve">(the period published in the live privacy notice. The older binding Privacy &amp; Security Policy §9 states 7 business days and is to be reconciled up to 15 — see §11.)</w:t>
            </w:r>
          </w:p>
        </w:tc>
      </w:tr>
      <w:tr>
        <w:tc>
          <w:tcPr/>
          <w:p>
            <w:pPr>
              <w:pStyle w:val="Compact"/>
            </w:pPr>
            <w:r>
              <w:rPr>
                <w:b/>
                <w:bCs/>
              </w:rPr>
              <w:t xml:space="preserve">BIR registration</w:t>
            </w:r>
          </w:p>
        </w:tc>
        <w:tc>
          <w:tcPr/>
          <w:p>
            <w:pPr>
              <w:pStyle w:val="Compact"/>
            </w:pPr>
            <w:r>
              <w:t xml:space="preserve">Under the proprietor’s existing TIN</w:t>
            </w:r>
          </w:p>
        </w:tc>
      </w:tr>
      <w:tr>
        <w:tc>
          <w:tcPr/>
          <w:p>
            <w:pPr>
              <w:pStyle w:val="Compact"/>
            </w:pPr>
            <w:r>
              <w:rPr>
                <w:b/>
                <w:bCs/>
              </w:rPr>
              <w:t xml:space="preserve">NPC registration</w:t>
            </w:r>
          </w:p>
        </w:tc>
        <w:tc>
          <w:tcPr/>
          <w:p>
            <w:pPr>
              <w:pStyle w:val="Compact"/>
            </w:pPr>
            <w:r>
              <w:t xml:space="preserve">To be filed under the registered business name</w:t>
            </w:r>
          </w:p>
        </w:tc>
      </w:tr>
      <w:tr>
        <w:tc>
          <w:tcPr/>
          <w:p>
            <w:pPr>
              <w:pStyle w:val="Compact"/>
            </w:pPr>
            <w:r>
              <w:rPr>
                <w:b/>
                <w:bCs/>
              </w:rPr>
              <w:t xml:space="preserve">Public privacy notice</w:t>
            </w:r>
          </w:p>
        </w:tc>
        <w:tc>
          <w:tcPr/>
          <w:p>
            <w:pPr>
              <w:pStyle w:val="Compact"/>
            </w:pPr>
            <w:r>
              <w:t xml:space="preserve">Published at</w:t>
            </w:r>
            <w:r>
              <w:t xml:space="preserve"> </w:t>
            </w:r>
            <w:r>
              <w:rPr>
                <w:rStyle w:val="VerbatimChar"/>
              </w:rPr>
              <w:t xml:space="preserve">setnayan.com/privacy</w:t>
            </w:r>
            <w:r>
              <w:t xml:space="preserve"> </w:t>
            </w:r>
            <w:r>
              <w:t xml:space="preserve">(effective 2026-05-13;</w:t>
            </w:r>
            <w:r>
              <w:t xml:space="preserve"> </w:t>
            </w:r>
            <w:r>
              <w:rPr>
                <w:b/>
                <w:bCs/>
              </w:rPr>
              <w:t xml:space="preserve">last updated 2026-07-13</w:t>
            </w:r>
            <w:r>
              <w:t xml:space="preserve"> </w:t>
            </w:r>
            <w:r>
              <w:t xml:space="preserve">via app PR #3215, adding the faith / family / honoree / e-gift disclosures + Anthropic/Suno subprocessors). The opt-in</w:t>
            </w:r>
            <w:r>
              <w:t xml:space="preserve"> </w:t>
            </w:r>
            <w:r>
              <w:rPr>
                <w:b/>
                <w:bCs/>
              </w:rPr>
              <w:t xml:space="preserve">biometric</w:t>
            </w:r>
            <w:r>
              <w:t xml:space="preserve"> </w:t>
            </w:r>
            <w:r>
              <w:t xml:space="preserve">and</w:t>
            </w:r>
            <w:r>
              <w:t xml:space="preserve"> </w:t>
            </w:r>
            <w:r>
              <w:rPr>
                <w:b/>
                <w:bCs/>
              </w:rPr>
              <w:t xml:space="preserve">device-identifier</w:t>
            </w:r>
            <w:r>
              <w:t xml:space="preserve"> </w:t>
            </w:r>
            <w:r>
              <w:t xml:space="preserve">sections were already present on</w:t>
            </w:r>
            <w:r>
              <w:t xml:space="preserve"> </w:t>
            </w:r>
            <w:r>
              <w:rPr>
                <w:rStyle w:val="VerbatimChar"/>
              </w:rPr>
              <w:t xml:space="preserve">origin/main</w:t>
            </w:r>
            <w:r>
              <w:t xml:space="preserve">.</w:t>
            </w:r>
          </w:p>
        </w:tc>
      </w:tr>
    </w:tbl>
    <w:p>
      <w:r>
        <w:pict>
          <v:rect style="width:0;height:1.5pt" o:hralign="center" o:hrstd="t" o:hr="t"/>
        </w:pict>
      </w:r>
    </w:p>
    <w:bookmarkEnd w:id="10"/>
    <w:bookmarkStart w:id="11" w:name="X5dbc909b8e2b5bef82e37d2899cc2daeb9382ec"/>
    <w:p>
      <w:pPr>
        <w:pStyle w:val="Heading2"/>
      </w:pPr>
      <w:r>
        <w:t xml:space="preserve">2. Description of the Data Processing System</w:t>
      </w:r>
    </w:p>
    <w:p>
      <w:pPr>
        <w:pStyle w:val="FirstParagraph"/>
      </w:pPr>
      <w:r>
        <w:rPr>
          <w:b/>
          <w:bCs/>
        </w:rPr>
        <w:t xml:space="preserve">Setnayan</w:t>
      </w:r>
      <w:r>
        <w:t xml:space="preserve"> </w:t>
      </w:r>
      <w:r>
        <w:t xml:space="preserve">is a Philippines-first life-events platform (V1 surface: weddings, with additional event types — birthday, debut, christening, gender reveal, anniversary, reunion, corporate and others — progressively enabled). It provides three role-routed doorways:</w:t>
      </w:r>
    </w:p>
    <w:p>
      <w:pPr>
        <w:pStyle w:val="Compact"/>
        <w:numPr>
          <w:ilvl w:val="0"/>
          <w:numId w:val="1001"/>
        </w:numPr>
      </w:pPr>
      <w:r>
        <w:rPr>
          <w:b/>
          <w:bCs/>
        </w:rPr>
        <w:t xml:space="preserve">Couples / customers</w:t>
      </w:r>
      <w:r>
        <w:t xml:space="preserve"> </w:t>
      </w:r>
      <w:r>
        <w:t xml:space="preserve">plan an event end-to-end (guest lists, vendors, budget, schedule, invitations, media galleries) and optionally record personalization and family-milestone details.</w:t>
      </w:r>
    </w:p>
    <w:p>
      <w:pPr>
        <w:pStyle w:val="Compact"/>
        <w:numPr>
          <w:ilvl w:val="0"/>
          <w:numId w:val="1001"/>
        </w:numPr>
      </w:pPr>
      <w:r>
        <w:rPr>
          <w:b/>
          <w:bCs/>
        </w:rPr>
        <w:t xml:space="preserve">Vendors</w:t>
      </w:r>
      <w:r>
        <w:t xml:space="preserve"> </w:t>
      </w:r>
      <w:r>
        <w:t xml:space="preserve">run a business profile, submit verification documents, and receive inquiries.</w:t>
      </w:r>
    </w:p>
    <w:p>
      <w:pPr>
        <w:pStyle w:val="Compact"/>
        <w:numPr>
          <w:ilvl w:val="0"/>
          <w:numId w:val="1001"/>
        </w:numPr>
      </w:pPr>
      <w:r>
        <w:rPr>
          <w:b/>
          <w:bCs/>
        </w:rPr>
        <w:t xml:space="preserve">Administrators</w:t>
      </w:r>
      <w:r>
        <w:t xml:space="preserve"> </w:t>
      </w:r>
      <w:r>
        <w:t xml:space="preserve">(the Setnayan team) run operations, payment reconciliation, and integrity / fraud review.</w:t>
      </w:r>
    </w:p>
    <w:p>
      <w:pPr>
        <w:pStyle w:val="FirstParagraph"/>
      </w:pPr>
      <w:r>
        <w:t xml:space="preserve">Personal data is processed to deliver the planning service, to enable couple↔vendor communication, to process in-app payments, to verify vendor legitimacy, and to protect the marketplace from fraud. Processing is web-based; data resides with the subprocessors in §7.</w:t>
      </w:r>
    </w:p>
    <w:p>
      <w:r>
        <w:pict>
          <v:rect style="width:0;height:1.5pt" o:hralign="center" o:hrstd="t" o:hr="t"/>
        </w:pict>
      </w:r>
    </w:p>
    <w:bookmarkEnd w:id="11"/>
    <w:bookmarkStart w:id="12" w:name="records-of-processing-activities-ropa"/>
    <w:p>
      <w:pPr>
        <w:pStyle w:val="Heading2"/>
      </w:pPr>
      <w:r>
        <w:t xml:space="preserve">3. Records of Processing Activities (ROPA)</w:t>
      </w:r>
    </w:p>
    <w:p>
      <w:pPr>
        <w:pStyle w:val="FirstParagraph"/>
      </w:pPr>
      <w:r>
        <w:t xml:space="preserve">Personal-data categories, purposes, legal bases, and retention. Retention detail is maintained in the companion</w:t>
      </w:r>
      <w:r>
        <w:t xml:space="preserve"> </w:t>
      </w:r>
      <w:r>
        <w:rPr>
          <w:b/>
          <w:bCs/>
        </w:rPr>
        <w:t xml:space="preserve">Data Retention Schedule (2026-07-11)</w:t>
      </w:r>
      <w:r>
        <w:t xml:space="preserve">; periods marked</w:t>
      </w:r>
      <w:r>
        <w:t xml:space="preserve"> </w:t>
      </w:r>
      <w:r>
        <w:rPr>
          <w:i/>
          <w:iCs/>
        </w:rPr>
        <w:t xml:space="preserve">(counsel)</w:t>
      </w:r>
      <w:r>
        <w:t xml:space="preserve"> </w:t>
      </w:r>
      <w:r>
        <w:t xml:space="preserve">await external ratification.</w:t>
      </w:r>
      <w:r>
        <w:t xml:space="preserve"> </w:t>
      </w:r>
      <w:r>
        <w:rPr>
          <w:b/>
          <w:bCs/>
        </w:rPr>
        <w:t xml:space="preserve">Build-state</w:t>
      </w:r>
      <w:r>
        <w:t xml:space="preserve"> </w:t>
      </w:r>
      <w:r>
        <w:t xml:space="preserve">column:</w:t>
      </w:r>
      <w:r>
        <w:t xml:space="preserve"> </w:t>
      </w:r>
      <w:r>
        <w:rPr>
          <w:i/>
          <w:iCs/>
        </w:rPr>
        <w:t xml:space="preserve">Active</w:t>
      </w:r>
      <w:r>
        <w:t xml:space="preserve"> </w:t>
      </w:r>
      <w:r>
        <w:t xml:space="preserve">= collected in production now;</w:t>
      </w:r>
      <w:r>
        <w:t xml:space="preserve"> </w:t>
      </w:r>
      <w:r>
        <w:rPr>
          <w:i/>
          <w:iCs/>
        </w:rPr>
        <w:t xml:space="preserve">Gated</w:t>
      </w:r>
      <w:r>
        <w:t xml:space="preserve"> </w:t>
      </w:r>
      <w:r>
        <w:t xml:space="preserve">= shipped behind a feature flag;</w:t>
      </w:r>
      <w:r>
        <w:t xml:space="preserve"> </w:t>
      </w:r>
      <w:r>
        <w:rPr>
          <w:i/>
          <w:iCs/>
        </w:rPr>
        <w:t xml:space="preserve">Dormant</w:t>
      </w:r>
      <w:r>
        <w:t xml:space="preserve"> </w:t>
      </w:r>
      <w:r>
        <w:t xml:space="preserve">= built but not yet collecting.</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w:t>
            </w:r>
          </w:p>
        </w:tc>
        <w:tc>
          <w:tcPr/>
          <w:p>
            <w:pPr>
              <w:pStyle w:val="Compact"/>
            </w:pPr>
            <w:r>
              <w:t xml:space="preserve">Data category</w:t>
            </w:r>
          </w:p>
        </w:tc>
        <w:tc>
          <w:tcPr/>
          <w:p>
            <w:pPr>
              <w:pStyle w:val="Compact"/>
            </w:pPr>
            <w:r>
              <w:t xml:space="preserve">Data subjects</w:t>
            </w:r>
          </w:p>
        </w:tc>
        <w:tc>
          <w:tcPr/>
          <w:p>
            <w:pPr>
              <w:pStyle w:val="Compact"/>
            </w:pPr>
            <w:r>
              <w:t xml:space="preserve">Purpose</w:t>
            </w:r>
          </w:p>
        </w:tc>
        <w:tc>
          <w:tcPr/>
          <w:p>
            <w:pPr>
              <w:pStyle w:val="Compact"/>
            </w:pPr>
            <w:r>
              <w:t xml:space="preserve">Legal basis (RA 10173)</w:t>
            </w:r>
          </w:p>
        </w:tc>
        <w:tc>
          <w:tcPr/>
          <w:p>
            <w:pPr>
              <w:pStyle w:val="Compact"/>
            </w:pPr>
            <w:r>
              <w:t xml:space="preserve">Retention</w:t>
            </w:r>
          </w:p>
        </w:tc>
        <w:tc>
          <w:tcPr/>
          <w:p>
            <w:pPr>
              <w:pStyle w:val="Compact"/>
            </w:pPr>
            <w:r>
              <w:t xml:space="preserve">Build-state</w:t>
            </w:r>
          </w:p>
        </w:tc>
      </w:tr>
      <w:tr>
        <w:tc>
          <w:tcPr/>
          <w:p>
            <w:pPr>
              <w:pStyle w:val="Compact"/>
            </w:pPr>
            <w:r>
              <w:t xml:space="preserve">1</w:t>
            </w:r>
          </w:p>
        </w:tc>
        <w:tc>
          <w:tcPr/>
          <w:p>
            <w:pPr>
              <w:pStyle w:val="Compact"/>
            </w:pPr>
            <w:r>
              <w:rPr>
                <w:b/>
                <w:bCs/>
              </w:rPr>
              <w:t xml:space="preserve">Account / profile</w:t>
            </w:r>
            <w:r>
              <w:t xml:space="preserve"> </w:t>
            </w:r>
            <w:r>
              <w:t xml:space="preserve">— email, hashed password, display name, optional phone, profile photo</w:t>
            </w:r>
          </w:p>
        </w:tc>
        <w:tc>
          <w:tcPr/>
          <w:p>
            <w:pPr>
              <w:pStyle w:val="Compact"/>
            </w:pPr>
            <w:r>
              <w:t xml:space="preserve">Couples, vendors, admins</w:t>
            </w:r>
          </w:p>
        </w:tc>
        <w:tc>
          <w:tcPr/>
          <w:p>
            <w:pPr>
              <w:pStyle w:val="Compact"/>
            </w:pPr>
            <w:r>
              <w:t xml:space="preserve">Account creation + authentication; deliver the service</w:t>
            </w:r>
          </w:p>
        </w:tc>
        <w:tc>
          <w:tcPr/>
          <w:p>
            <w:pPr>
              <w:pStyle w:val="Compact"/>
            </w:pPr>
            <w:r>
              <w:t xml:space="preserve">§ 12(a) consent; § 12(b) contract</w:t>
            </w:r>
          </w:p>
        </w:tc>
        <w:tc>
          <w:tcPr/>
          <w:p>
            <w:pPr>
              <w:pStyle w:val="Compact"/>
            </w:pPr>
            <w:r>
              <w:t xml:space="preserve">Life of account + 30-day soft-delete tail, then purge</w:t>
            </w:r>
          </w:p>
        </w:tc>
        <w:tc>
          <w:tcPr/>
          <w:p>
            <w:pPr>
              <w:pStyle w:val="Compact"/>
            </w:pPr>
            <w:r>
              <w:t xml:space="preserve">Active</w:t>
            </w:r>
          </w:p>
        </w:tc>
      </w:tr>
      <w:tr>
        <w:tc>
          <w:tcPr/>
          <w:p>
            <w:pPr>
              <w:pStyle w:val="Compact"/>
            </w:pPr>
            <w:r>
              <w:t xml:space="preserve">2</w:t>
            </w:r>
          </w:p>
        </w:tc>
        <w:tc>
          <w:tcPr/>
          <w:p>
            <w:pPr>
              <w:pStyle w:val="Compact"/>
            </w:pPr>
            <w:r>
              <w:rPr>
                <w:b/>
                <w:bCs/>
              </w:rPr>
              <w:t xml:space="preserve">Self-profile personalization — religion, civil status, gender/sex</w:t>
            </w:r>
            <w:r>
              <w:t xml:space="preserve"> </w:t>
            </w:r>
            <w:r>
              <w:rPr>
                <w:i/>
                <w:iCs/>
              </w:rPr>
              <w:t xml:space="preserve">(sensitive PI)</w:t>
            </w:r>
            <w:r>
              <w:t xml:space="preserve"> </w:t>
            </w:r>
            <w:r>
              <w:t xml:space="preserve">+ per-field consent timestamps (</w:t>
            </w:r>
            <w:r>
              <w:rPr>
                <w:rStyle w:val="VerbatimChar"/>
              </w:rPr>
              <w:t xml:space="preserve">religion_consent_at</w:t>
            </w:r>
            <w:r>
              <w:t xml:space="preserve">,</w:t>
            </w:r>
            <w:r>
              <w:t xml:space="preserve"> </w:t>
            </w:r>
            <w:r>
              <w:rPr>
                <w:rStyle w:val="VerbatimChar"/>
              </w:rPr>
              <w:t xml:space="preserve">civil_status_consent_at</w:t>
            </w:r>
            <w:r>
              <w:t xml:space="preserve">,</w:t>
            </w:r>
            <w:r>
              <w:t xml:space="preserve"> </w:t>
            </w:r>
            <w:r>
              <w:rPr>
                <w:rStyle w:val="VerbatimChar"/>
              </w:rPr>
              <w:t xml:space="preserve">sex_consent_at</w:t>
            </w:r>
            <w:r>
              <w:t xml:space="preserve">)</w:t>
            </w:r>
          </w:p>
        </w:tc>
        <w:tc>
          <w:tcPr/>
          <w:p>
            <w:pPr>
              <w:pStyle w:val="Compact"/>
            </w:pPr>
            <w:r>
              <w:t xml:space="preserve">Account holders (adults)</w:t>
            </w:r>
          </w:p>
        </w:tc>
        <w:tc>
          <w:tcPr/>
          <w:p>
            <w:pPr>
              <w:pStyle w:val="Compact"/>
            </w:pPr>
            <w:r>
              <w:t xml:space="preserve">Optional personalization — faith-appropriate suggestions, event-type relevance, salutation. Reference-only; not required to use the service</w:t>
            </w:r>
          </w:p>
        </w:tc>
        <w:tc>
          <w:tcPr/>
          <w:p>
            <w:pPr>
              <w:pStyle w:val="Compact"/>
            </w:pPr>
            <w:r>
              <w:t xml:space="preserve">§ 13(a)</w:t>
            </w:r>
            <w:r>
              <w:t xml:space="preserve"> </w:t>
            </w:r>
            <w:r>
              <w:rPr>
                <w:b/>
                <w:bCs/>
              </w:rPr>
              <w:t xml:space="preserve">explicit consent</w:t>
            </w:r>
            <w:r>
              <w:t xml:space="preserve"> </w:t>
            </w:r>
            <w:r>
              <w:t xml:space="preserve">(self-provided, timestamped; withdrawable)</w:t>
            </w:r>
          </w:p>
        </w:tc>
        <w:tc>
          <w:tcPr/>
          <w:p>
            <w:pPr>
              <w:pStyle w:val="Compact"/>
            </w:pPr>
            <w:r>
              <w:t xml:space="preserve">Life of account; cleared on withdrawal or account deletion</w:t>
            </w:r>
          </w:p>
        </w:tc>
        <w:tc>
          <w:tcPr/>
          <w:p>
            <w:pPr>
              <w:pStyle w:val="Compact"/>
            </w:pPr>
            <w:r>
              <w:rPr>
                <w:b/>
                <w:bCs/>
              </w:rPr>
              <w:t xml:space="preserve">Active</w:t>
            </w:r>
            <w:r>
              <w:t xml:space="preserve"> </w:t>
            </w:r>
            <w:r>
              <w:t xml:space="preserve">(self opt-in; no feature flag)</w:t>
            </w:r>
          </w:p>
        </w:tc>
      </w:tr>
      <w:tr>
        <w:tc>
          <w:tcPr/>
          <w:p>
            <w:pPr>
              <w:pStyle w:val="Compact"/>
            </w:pPr>
            <w:r>
              <w:t xml:space="preserve">3</w:t>
            </w:r>
          </w:p>
        </w:tc>
        <w:tc>
          <w:tcPr/>
          <w:p>
            <w:pPr>
              <w:pStyle w:val="Compact"/>
            </w:pPr>
            <w:r>
              <w:rPr>
                <w:b/>
                <w:bCs/>
              </w:rPr>
              <w:t xml:space="preserve">Event data</w:t>
            </w:r>
            <w:r>
              <w:t xml:space="preserve"> </w:t>
            </w:r>
            <w:r>
              <w:t xml:space="preserve">— guest lists, vendor records, budget items, schedule, mood-board palettes</w:t>
            </w:r>
          </w:p>
        </w:tc>
        <w:tc>
          <w:tcPr/>
          <w:p>
            <w:pPr>
              <w:pStyle w:val="Compact"/>
            </w:pPr>
            <w:r>
              <w:t xml:space="preserve">Couples (and guests they enter)</w:t>
            </w:r>
          </w:p>
        </w:tc>
        <w:tc>
          <w:tcPr/>
          <w:p>
            <w:pPr>
              <w:pStyle w:val="Compact"/>
            </w:pPr>
            <w:r>
              <w:t xml:space="preserve">Deliver event-planning features the user is paying for</w:t>
            </w:r>
          </w:p>
        </w:tc>
        <w:tc>
          <w:tcPr/>
          <w:p>
            <w:pPr>
              <w:pStyle w:val="Compact"/>
            </w:pPr>
            <w:r>
              <w:t xml:space="preserve">§ 12(b) contract</w:t>
            </w:r>
          </w:p>
        </w:tc>
        <w:tc>
          <w:tcPr/>
          <w:p>
            <w:pPr>
              <w:pStyle w:val="Compact"/>
            </w:pPr>
            <w:r>
              <w:t xml:space="preserve">5 years from event date</w:t>
            </w:r>
            <w:r>
              <w:t xml:space="preserve"> </w:t>
            </w:r>
            <w:r>
              <w:rPr>
                <w:i/>
                <w:iCs/>
              </w:rPr>
              <w:t xml:space="preserve">(counsel)</w:t>
            </w:r>
          </w:p>
        </w:tc>
        <w:tc>
          <w:tcPr/>
          <w:p>
            <w:pPr>
              <w:pStyle w:val="Compact"/>
            </w:pPr>
            <w:r>
              <w:t xml:space="preserve">Active</w:t>
            </w:r>
          </w:p>
        </w:tc>
      </w:tr>
      <w:tr>
        <w:tc>
          <w:tcPr/>
          <w:p>
            <w:pPr>
              <w:pStyle w:val="Compact"/>
            </w:pPr>
            <w:r>
              <w:t xml:space="preserve">4</w:t>
            </w:r>
          </w:p>
        </w:tc>
        <w:tc>
          <w:tcPr/>
          <w:p>
            <w:pPr>
              <w:pStyle w:val="Compact"/>
            </w:pPr>
            <w:r>
              <w:rPr>
                <w:b/>
                <w:bCs/>
              </w:rPr>
              <w:t xml:space="preserve">Event honoree / specialty details</w:t>
            </w:r>
            <w:r>
              <w:t xml:space="preserve"> </w:t>
            </w:r>
            <w:r>
              <w:t xml:space="preserve">— e.g. christening</w:t>
            </w:r>
            <w:r>
              <w:t xml:space="preserve"> </w:t>
            </w:r>
            <w:r>
              <w:rPr>
                <w:b/>
                <w:bCs/>
              </w:rPr>
              <w:t xml:space="preserve">child name, birth date, gender</w:t>
            </w:r>
            <w:r>
              <w:t xml:space="preserve"> </w:t>
            </w:r>
            <w:r>
              <w:t xml:space="preserve">+ rite; gender-reveal</w:t>
            </w:r>
            <w:r>
              <w:t xml:space="preserve"> </w:t>
            </w:r>
            <w:r>
              <w:rPr>
                <w:b/>
                <w:bCs/>
              </w:rPr>
              <w:t xml:space="preserve">parents’ names + expected due-date</w:t>
            </w:r>
            <w:r>
              <w:t xml:space="preserve">; birthday celebrant name + age; debut celebrant; wedding</w:t>
            </w:r>
            <w:r>
              <w:t xml:space="preserve"> </w:t>
            </w:r>
            <w:r>
              <w:rPr>
                <w:b/>
                <w:bCs/>
              </w:rPr>
              <w:t xml:space="preserve">ceremony rite</w:t>
            </w:r>
            <w:r>
              <w:t xml:space="preserve"> </w:t>
            </w:r>
            <w:r>
              <w:rPr>
                <w:i/>
                <w:iCs/>
              </w:rPr>
              <w:t xml:space="preserve">(contains sensitive PI + minors’ data — see §5)</w:t>
            </w:r>
          </w:p>
        </w:tc>
        <w:tc>
          <w:tcPr/>
          <w:p>
            <w:pPr>
              <w:pStyle w:val="Compact"/>
            </w:pPr>
            <w:r>
              <w:t xml:space="preserve">Couples; the named honoree (may be a minor or a non-account third party)</w:t>
            </w:r>
          </w:p>
        </w:tc>
        <w:tc>
          <w:tcPr/>
          <w:p>
            <w:pPr>
              <w:pStyle w:val="Compact"/>
            </w:pPr>
            <w:r>
              <w:t xml:space="preserve">Configure the specific event the couple is planning</w:t>
            </w:r>
          </w:p>
        </w:tc>
        <w:tc>
          <w:tcPr/>
          <w:p>
            <w:pPr>
              <w:pStyle w:val="Compact"/>
            </w:pPr>
            <w:r>
              <w:t xml:space="preserve">§ 12(b) contract; § 13(a) consent of the enrolling account holder / guardian for the honoree’s sensitive attributes</w:t>
            </w:r>
          </w:p>
        </w:tc>
        <w:tc>
          <w:tcPr/>
          <w:p>
            <w:pPr>
              <w:pStyle w:val="Compact"/>
            </w:pPr>
            <w:r>
              <w:t xml:space="preserve">With the event record, 5 years from event date</w:t>
            </w:r>
            <w:r>
              <w:t xml:space="preserve"> </w:t>
            </w:r>
            <w:r>
              <w:rPr>
                <w:i/>
                <w:iCs/>
              </w:rPr>
              <w:t xml:space="preserve">(counsel)</w:t>
            </w:r>
          </w:p>
        </w:tc>
        <w:tc>
          <w:tcPr/>
          <w:p>
            <w:pPr>
              <w:pStyle w:val="Compact"/>
            </w:pPr>
            <w:r>
              <w:rPr>
                <w:b/>
                <w:bCs/>
              </w:rPr>
              <w:t xml:space="preserve">Active</w:t>
            </w:r>
            <w:r>
              <w:t xml:space="preserve"> </w:t>
            </w:r>
            <w:r>
              <w:t xml:space="preserve">(in</w:t>
            </w:r>
            <w:r>
              <w:t xml:space="preserve"> </w:t>
            </w:r>
            <w:r>
              <w:rPr>
                <w:rStyle w:val="VerbatimChar"/>
              </w:rPr>
              <w:t xml:space="preserve">events.signature_details</w:t>
            </w:r>
            <w:r>
              <w:t xml:space="preserve">; no feature flag, no separate consent timestamp — documented as-is; see §11)</w:t>
            </w:r>
          </w:p>
        </w:tc>
      </w:tr>
      <w:tr>
        <w:tc>
          <w:tcPr/>
          <w:p>
            <w:pPr>
              <w:pStyle w:val="Compact"/>
            </w:pPr>
            <w:r>
              <w:t xml:space="preserve">5</w:t>
            </w:r>
          </w:p>
        </w:tc>
        <w:tc>
          <w:tcPr/>
          <w:p>
            <w:pPr>
              <w:pStyle w:val="Compact"/>
            </w:pPr>
            <w:r>
              <w:rPr>
                <w:b/>
                <w:bCs/>
              </w:rPr>
              <w:t xml:space="preserve">Family graph — dependents &amp; godparents.</w:t>
            </w:r>
            <w:r>
              <w:t xml:space="preserve"> </w:t>
            </w:r>
            <w:r>
              <w:t xml:space="preserve">A dependent is a</w:t>
            </w:r>
            <w:r>
              <w:t xml:space="preserve"> </w:t>
            </w:r>
            <w:r>
              <w:rPr>
                <w:b/>
                <w:bCs/>
              </w:rPr>
              <w:t xml:space="preserve">person, a pet, or anything the user cares for</w:t>
            </w:r>
            <w:r>
              <w:t xml:space="preserve"> </w:t>
            </w:r>
            <w:r>
              <w:t xml:space="preserve">(</w:t>
            </w:r>
            <w:r>
              <w:rPr>
                <w:rStyle w:val="VerbatimChar"/>
              </w:rPr>
              <w:t xml:space="preserve">dependent_kind</w:t>
            </w:r>
            <w:r>
              <w:t xml:space="preserve">). Only the</w:t>
            </w:r>
            <w:r>
              <w:t xml:space="preserve"> </w:t>
            </w:r>
            <w:r>
              <w:rPr>
                <w:b/>
                <w:bCs/>
              </w:rPr>
              <w:t xml:space="preserve">person</w:t>
            </w:r>
            <w:r>
              <w:t xml:space="preserve"> </w:t>
            </w:r>
            <w:r>
              <w:t xml:space="preserve">kind may carry name +</w:t>
            </w:r>
            <w:r>
              <w:t xml:space="preserve"> </w:t>
            </w:r>
            <w:r>
              <w:rPr>
                <w:b/>
                <w:bCs/>
              </w:rPr>
              <w:t xml:space="preserve">birth date, sex, religion</w:t>
            </w:r>
            <w:r>
              <w:t xml:space="preserve"> </w:t>
            </w:r>
            <w:r>
              <w:t xml:space="preserve">(+ guardian-consent timestamps) under the age fence;</w:t>
            </w:r>
            <w:r>
              <w:t xml:space="preserve"> </w:t>
            </w:r>
            <w:r>
              <w:rPr>
                <w:b/>
                <w:bCs/>
              </w:rPr>
              <w:t xml:space="preserve">pet / other carry only a name + optional birthday — no sensitive data.</w:t>
            </w:r>
            <w:r>
              <w:t xml:space="preserve"> </w:t>
            </w:r>
            <w:r>
              <w:t xml:space="preserve">Godparent: name,</w:t>
            </w:r>
            <w:r>
              <w:t xml:space="preserve"> </w:t>
            </w:r>
            <w:r>
              <w:rPr>
                <w:b/>
                <w:bCs/>
              </w:rPr>
              <w:t xml:space="preserve">email</w:t>
            </w:r>
            <w:r>
              <w:t xml:space="preserve"> </w:t>
            </w:r>
            <w:r>
              <w:t xml:space="preserve">(a third party), role, reminder preference</w:t>
            </w:r>
          </w:p>
        </w:tc>
        <w:tc>
          <w:tcPr/>
          <w:p>
            <w:pPr>
              <w:pStyle w:val="Compact"/>
            </w:pPr>
            <w:r>
              <w:t xml:space="preserve">Account holder; their</w:t>
            </w:r>
            <w:r>
              <w:t xml:space="preserve"> </w:t>
            </w:r>
            <w:r>
              <w:rPr>
                <w:b/>
                <w:bCs/>
              </w:rPr>
              <w:t xml:space="preserve">person-dependents (which may be a minor or an elder)</w:t>
            </w:r>
            <w:r>
              <w:t xml:space="preserve">; godparents (third parties)</w:t>
            </w:r>
          </w:p>
        </w:tc>
        <w:tc>
          <w:tcPr/>
          <w:p>
            <w:pPr>
              <w:pStyle w:val="Compact"/>
            </w:pPr>
            <w:r>
              <w:t xml:space="preserve">Optional milestone tracking (upcoming faith rites, godchild-birthday reminders)</w:t>
            </w:r>
          </w:p>
        </w:tc>
        <w:tc>
          <w:tcPr/>
          <w:p>
            <w:pPr>
              <w:pStyle w:val="Compact"/>
            </w:pPr>
            <w:r>
              <w:t xml:space="preserve">§ 12(b) contract; § 13(a)</w:t>
            </w:r>
            <w:r>
              <w:t xml:space="preserve"> </w:t>
            </w:r>
            <w:r>
              <w:rPr>
                <w:b/>
                <w:bCs/>
              </w:rPr>
              <w:t xml:space="preserve">guardian consent</w:t>
            </w:r>
            <w:r>
              <w:t xml:space="preserve"> </w:t>
            </w:r>
            <w:r>
              <w:t xml:space="preserve">(timestamped) for a person-dependent’s sensitive attributes; § 12(f) legitimate interest for godparent reminders</w:t>
            </w:r>
          </w:p>
        </w:tc>
        <w:tc>
          <w:tcPr/>
          <w:p>
            <w:pPr>
              <w:pStyle w:val="Compact"/>
            </w:pPr>
            <w:r>
              <w:t xml:space="preserve">Life of account; deleted on withdrawal / account deletion. A</w:t>
            </w:r>
            <w:r>
              <w:t xml:space="preserve"> </w:t>
            </w:r>
            <w:r>
              <w:rPr>
                <w:b/>
                <w:bCs/>
              </w:rPr>
              <w:t xml:space="preserve">person-child</w:t>
            </w:r>
            <w:r>
              <w:t xml:space="preserve"> </w:t>
            </w:r>
            <w:r>
              <w:t xml:space="preserve">shared record is readable by a spouse account under a household model and</w:t>
            </w:r>
            <w:r>
              <w:t xml:space="preserve"> </w:t>
            </w:r>
            <w:r>
              <w:rPr>
                <w:b/>
                <w:bCs/>
              </w:rPr>
              <w:t xml:space="preserve">retained after separation</w:t>
            </w:r>
            <w:r>
              <w:t xml:space="preserve"> </w:t>
            </w:r>
            <w:r>
              <w:t xml:space="preserve">for continued co-parenting access (owner-defined)</w:t>
            </w:r>
          </w:p>
        </w:tc>
        <w:tc>
          <w:tcPr/>
          <w:p>
            <w:pPr>
              <w:pStyle w:val="Compact"/>
            </w:pPr>
            <w:r>
              <w:rPr>
                <w:b/>
                <w:bCs/>
              </w:rPr>
              <w:t xml:space="preserve">Gated</w:t>
            </w:r>
            <w:r>
              <w:t xml:space="preserve"> </w:t>
            </w:r>
            <w:r>
              <w:t xml:space="preserve">by</w:t>
            </w:r>
            <w:r>
              <w:t xml:space="preserve"> </w:t>
            </w:r>
            <w:r>
              <w:rPr>
                <w:rStyle w:val="VerbatimChar"/>
              </w:rPr>
              <w:t xml:space="preserve">NEXT_PUBLIC_DEPENDENT_PEOPLE</w:t>
            </w:r>
            <w:r>
              <w:t xml:space="preserve">; reported enabled in production (2026-07-13)</w:t>
            </w:r>
          </w:p>
        </w:tc>
      </w:tr>
      <w:tr>
        <w:tc>
          <w:tcPr/>
          <w:p>
            <w:pPr>
              <w:pStyle w:val="Compact"/>
            </w:pPr>
            <w:r>
              <w:t xml:space="preserve">6</w:t>
            </w:r>
          </w:p>
        </w:tc>
        <w:tc>
          <w:tcPr/>
          <w:p>
            <w:pPr>
              <w:pStyle w:val="Compact"/>
            </w:pPr>
            <w:r>
              <w:rPr>
                <w:b/>
                <w:bCs/>
              </w:rPr>
              <w:t xml:space="preserve">In-app messages</w:t>
            </w:r>
            <w:r>
              <w:t xml:space="preserve"> </w:t>
            </w:r>
            <w:r>
              <w:t xml:space="preserve">— couple↔vendor chat</w:t>
            </w:r>
          </w:p>
        </w:tc>
        <w:tc>
          <w:tcPr/>
          <w:p>
            <w:pPr>
              <w:pStyle w:val="Compact"/>
            </w:pPr>
            <w:r>
              <w:t xml:space="preserve">Couples, vendors</w:t>
            </w:r>
          </w:p>
        </w:tc>
        <w:tc>
          <w:tcPr/>
          <w:p>
            <w:pPr>
              <w:pStyle w:val="Compact"/>
            </w:pPr>
            <w:r>
              <w:t xml:space="preserve">Enable coordination between parties</w:t>
            </w:r>
          </w:p>
        </w:tc>
        <w:tc>
          <w:tcPr/>
          <w:p>
            <w:pPr>
              <w:pStyle w:val="Compact"/>
            </w:pPr>
            <w:r>
              <w:t xml:space="preserve">§ 12(b) contract</w:t>
            </w:r>
          </w:p>
        </w:tc>
        <w:tc>
          <w:tcPr/>
          <w:p>
            <w:pPr>
              <w:pStyle w:val="Compact"/>
            </w:pPr>
            <w:r>
              <w:t xml:space="preserve">5 years from event date</w:t>
            </w:r>
            <w:r>
              <w:t xml:space="preserve"> </w:t>
            </w:r>
            <w:r>
              <w:rPr>
                <w:i/>
                <w:iCs/>
              </w:rPr>
              <w:t xml:space="preserve">(counsel)</w:t>
            </w:r>
          </w:p>
        </w:tc>
        <w:tc>
          <w:tcPr/>
          <w:p>
            <w:pPr>
              <w:pStyle w:val="Compact"/>
            </w:pPr>
            <w:r>
              <w:t xml:space="preserve">Active</w:t>
            </w:r>
          </w:p>
        </w:tc>
      </w:tr>
      <w:tr>
        <w:tc>
          <w:tcPr/>
          <w:p>
            <w:pPr>
              <w:pStyle w:val="Compact"/>
            </w:pPr>
            <w:r>
              <w:t xml:space="preserve">7</w:t>
            </w:r>
          </w:p>
        </w:tc>
        <w:tc>
          <w:tcPr/>
          <w:p>
            <w:pPr>
              <w:pStyle w:val="Compact"/>
            </w:pPr>
            <w:r>
              <w:rPr>
                <w:b/>
                <w:bCs/>
              </w:rPr>
              <w:t xml:space="preserve">Payment metadata</w:t>
            </w:r>
            <w:r>
              <w:t xml:space="preserve"> </w:t>
            </w:r>
            <w:r>
              <w:t xml:space="preserve">— order amounts, reference codes, channel, payment-proof screenshots</w:t>
            </w:r>
          </w:p>
        </w:tc>
        <w:tc>
          <w:tcPr/>
          <w:p>
            <w:pPr>
              <w:pStyle w:val="Compact"/>
            </w:pPr>
            <w:r>
              <w:t xml:space="preserve">Paying users</w:t>
            </w:r>
          </w:p>
        </w:tc>
        <w:tc>
          <w:tcPr/>
          <w:p>
            <w:pPr>
              <w:pStyle w:val="Compact"/>
            </w:pPr>
            <w:r>
              <w:t xml:space="preserve">Process + reconcile in-app payments; issue Official Receipts</w:t>
            </w:r>
          </w:p>
        </w:tc>
        <w:tc>
          <w:tcPr/>
          <w:p>
            <w:pPr>
              <w:pStyle w:val="Compact"/>
            </w:pPr>
            <w:r>
              <w:t xml:space="preserve">§ 12(c) legal obligation (NIRC / BIR)</w:t>
            </w:r>
          </w:p>
        </w:tc>
        <w:tc>
          <w:tcPr/>
          <w:p>
            <w:pPr>
              <w:pStyle w:val="Compact"/>
            </w:pPr>
            <w:r>
              <w:rPr>
                <w:b/>
                <w:bCs/>
              </w:rPr>
              <w:t xml:space="preserve">10 years</w:t>
            </w:r>
            <w:r>
              <w:t xml:space="preserve"> </w:t>
            </w:r>
            <w:r>
              <w:t xml:space="preserve">— legal floor (BIR RR 17-2013)</w:t>
            </w:r>
          </w:p>
        </w:tc>
        <w:tc>
          <w:tcPr/>
          <w:p>
            <w:pPr>
              <w:pStyle w:val="Compact"/>
            </w:pPr>
            <w:r>
              <w:t xml:space="preserve">Active</w:t>
            </w:r>
          </w:p>
        </w:tc>
      </w:tr>
      <w:tr>
        <w:tc>
          <w:tcPr/>
          <w:p>
            <w:pPr>
              <w:pStyle w:val="Compact"/>
            </w:pPr>
            <w:r>
              <w:t xml:space="preserve">8</w:t>
            </w:r>
          </w:p>
        </w:tc>
        <w:tc>
          <w:tcPr/>
          <w:p>
            <w:pPr>
              <w:pStyle w:val="Compact"/>
            </w:pPr>
            <w:r>
              <w:rPr>
                <w:b/>
                <w:bCs/>
              </w:rPr>
              <w:t xml:space="preserve">E-gift receiving methods (Pabuya)</w:t>
            </w:r>
            <w:r>
              <w:t xml:space="preserve"> </w:t>
            </w:r>
            <w:r>
              <w:t xml:space="preserve">— the couple’s own GCash / Maya / bank / PayPal handle, account name, and uploaded receiving-QR image</w:t>
            </w:r>
          </w:p>
        </w:tc>
        <w:tc>
          <w:tcPr/>
          <w:p>
            <w:pPr>
              <w:pStyle w:val="Compact"/>
            </w:pPr>
            <w:r>
              <w:t xml:space="preserve">Couples</w:t>
            </w:r>
          </w:p>
        </w:tc>
        <w:tc>
          <w:tcPr/>
          <w:p>
            <w:pPr>
              <w:pStyle w:val="Compact"/>
            </w:pPr>
            <w:r>
              <w:t xml:space="preserve">Display the couple’s own gift-receiving details to their guests.</w:t>
            </w:r>
            <w:r>
              <w:t xml:space="preserve"> </w:t>
            </w:r>
            <w:r>
              <w:rPr>
                <w:b/>
                <w:bCs/>
              </w:rPr>
              <w:t xml:space="preserve">Setnayan never holds, routes, or records the movement of money</w:t>
            </w:r>
            <w:r>
              <w:t xml:space="preserve"> </w:t>
            </w:r>
            <w:r>
              <w:t xml:space="preserve">— the schema stores no amount, ledger, or settlement state</w:t>
            </w:r>
          </w:p>
        </w:tc>
        <w:tc>
          <w:tcPr/>
          <w:p>
            <w:pPr>
              <w:pStyle w:val="Compact"/>
            </w:pPr>
            <w:r>
              <w:t xml:space="preserve">§ 12(b) contract (couple’s own display data)</w:t>
            </w:r>
          </w:p>
        </w:tc>
        <w:tc>
          <w:tcPr/>
          <w:p>
            <w:pPr>
              <w:pStyle w:val="Compact"/>
            </w:pPr>
            <w:r>
              <w:t xml:space="preserve">With the event record; deletable by the couple anytime</w:t>
            </w:r>
          </w:p>
        </w:tc>
        <w:tc>
          <w:tcPr/>
          <w:p>
            <w:pPr>
              <w:pStyle w:val="Compact"/>
            </w:pPr>
            <w:r>
              <w:rPr>
                <w:b/>
                <w:bCs/>
              </w:rPr>
              <w:t xml:space="preserve">Active</w:t>
            </w:r>
            <w:r>
              <w:t xml:space="preserve"> </w:t>
            </w:r>
            <w:r>
              <w:t xml:space="preserve">(public guest route reported enabled in production 2026-07-13)</w:t>
            </w:r>
          </w:p>
        </w:tc>
      </w:tr>
      <w:tr>
        <w:tc>
          <w:tcPr/>
          <w:p>
            <w:pPr>
              <w:pStyle w:val="Compact"/>
            </w:pPr>
            <w:r>
              <w:t xml:space="preserve">9</w:t>
            </w:r>
          </w:p>
        </w:tc>
        <w:tc>
          <w:tcPr/>
          <w:p>
            <w:pPr>
              <w:pStyle w:val="Compact"/>
            </w:pPr>
            <w:r>
              <w:rPr>
                <w:b/>
                <w:bCs/>
              </w:rPr>
              <w:t xml:space="preserve">Contracts + e-signatures</w:t>
            </w:r>
          </w:p>
        </w:tc>
        <w:tc>
          <w:tcPr/>
          <w:p>
            <w:pPr>
              <w:pStyle w:val="Compact"/>
            </w:pPr>
            <w:r>
              <w:t xml:space="preserve">Couples, vendors</w:t>
            </w:r>
          </w:p>
        </w:tc>
        <w:tc>
          <w:tcPr/>
          <w:p>
            <w:pPr>
              <w:pStyle w:val="Compact"/>
            </w:pPr>
            <w:r>
              <w:t xml:space="preserve">Vendor engagement records</w:t>
            </w:r>
          </w:p>
        </w:tc>
        <w:tc>
          <w:tcPr/>
          <w:p>
            <w:pPr>
              <w:pStyle w:val="Compact"/>
            </w:pPr>
            <w:r>
              <w:t xml:space="preserve">§ 12(c) legal obligation; Civil Code Art. 1144</w:t>
            </w:r>
          </w:p>
        </w:tc>
        <w:tc>
          <w:tcPr/>
          <w:p>
            <w:pPr>
              <w:pStyle w:val="Compact"/>
            </w:pPr>
            <w:r>
              <w:rPr>
                <w:b/>
                <w:bCs/>
              </w:rPr>
              <w:t xml:space="preserve">10 years</w:t>
            </w:r>
            <w:r>
              <w:t xml:space="preserve"> </w:t>
            </w:r>
            <w:r>
              <w:t xml:space="preserve">— legal floor</w:t>
            </w:r>
          </w:p>
        </w:tc>
        <w:tc>
          <w:tcPr/>
          <w:p>
            <w:pPr>
              <w:pStyle w:val="Compact"/>
            </w:pPr>
            <w:r>
              <w:t xml:space="preserve">Active</w:t>
            </w:r>
          </w:p>
        </w:tc>
      </w:tr>
      <w:tr>
        <w:tc>
          <w:tcPr/>
          <w:p>
            <w:pPr>
              <w:pStyle w:val="Compact"/>
            </w:pPr>
            <w:r>
              <w:t xml:space="preserve">10</w:t>
            </w:r>
          </w:p>
        </w:tc>
        <w:tc>
          <w:tcPr/>
          <w:p>
            <w:pPr>
              <w:pStyle w:val="Compact"/>
            </w:pPr>
            <w:r>
              <w:rPr>
                <w:b/>
                <w:bCs/>
              </w:rPr>
              <w:t xml:space="preserve">Vendor-verification identity data</w:t>
            </w:r>
            <w:r>
              <w:t xml:space="preserve"> </w:t>
            </w:r>
            <w:r>
              <w:t xml:space="preserve">— government ID, business permits / registrations, and (where applicable) liveness selfie and sanctions / PEP screening result</w:t>
            </w:r>
            <w:r>
              <w:t xml:space="preserve"> </w:t>
            </w:r>
            <w:r>
              <w:rPr>
                <w:i/>
                <w:iCs/>
              </w:rPr>
              <w:t xml:space="preserve">(sensitive PI — see §5)</w:t>
            </w:r>
          </w:p>
        </w:tc>
        <w:tc>
          <w:tcPr/>
          <w:p>
            <w:pPr>
              <w:pStyle w:val="Compact"/>
            </w:pPr>
            <w:r>
              <w:t xml:space="preserve">Vendors (business owners)</w:t>
            </w:r>
          </w:p>
        </w:tc>
        <w:tc>
          <w:tcPr/>
          <w:p>
            <w:pPr>
              <w:pStyle w:val="Compact"/>
            </w:pPr>
            <w:r>
              <w:t xml:space="preserve">Verify vendor legitimacy before a profile is trusted; marketplace safety</w:t>
            </w:r>
          </w:p>
        </w:tc>
        <w:tc>
          <w:tcPr/>
          <w:p>
            <w:pPr>
              <w:pStyle w:val="Compact"/>
            </w:pPr>
            <w:r>
              <w:t xml:space="preserve">§ 12(b) contract; § 12(c)/(f) (fraud + AMLA-adjacent diligence)</w:t>
            </w:r>
          </w:p>
        </w:tc>
        <w:tc>
          <w:tcPr/>
          <w:p>
            <w:pPr>
              <w:pStyle w:val="Compact"/>
            </w:pPr>
            <w:r>
              <w:t xml:space="preserve">Verification documents 90 days hot → cold retention to the statutory floor</w:t>
            </w:r>
            <w:r>
              <w:t xml:space="preserve"> </w:t>
            </w:r>
            <w:r>
              <w:rPr>
                <w:i/>
                <w:iCs/>
              </w:rPr>
              <w:t xml:space="preserve">(counsel)</w:t>
            </w:r>
          </w:p>
        </w:tc>
        <w:tc>
          <w:tcPr/>
          <w:p>
            <w:pPr>
              <w:pStyle w:val="Compact"/>
            </w:pPr>
            <w:r>
              <w:rPr>
                <w:b/>
                <w:bCs/>
              </w:rPr>
              <w:t xml:space="preserve">Active</w:t>
            </w:r>
            <w:r>
              <w:t xml:space="preserve"> </w:t>
            </w:r>
            <w:r>
              <w:t xml:space="preserve">(documents collected; automated verification via Persona is staged — see §7)</w:t>
            </w:r>
          </w:p>
        </w:tc>
      </w:tr>
      <w:tr>
        <w:tc>
          <w:tcPr/>
          <w:p>
            <w:pPr>
              <w:pStyle w:val="Compact"/>
            </w:pPr>
            <w:r>
              <w:t xml:space="preserve">11</w:t>
            </w:r>
          </w:p>
        </w:tc>
        <w:tc>
          <w:tcPr/>
          <w:p>
            <w:pPr>
              <w:pStyle w:val="Compact"/>
            </w:pPr>
            <w:r>
              <w:rPr>
                <w:b/>
                <w:bCs/>
              </w:rPr>
              <w:t xml:space="preserve">Biometric — facial-geometry vectors</w:t>
            </w:r>
            <w:r>
              <w:t xml:space="preserve"> </w:t>
            </w:r>
            <w:r>
              <w:rPr>
                <w:i/>
                <w:iCs/>
              </w:rPr>
              <w:t xml:space="preserve">(sensitive PI)</w:t>
            </w:r>
          </w:p>
        </w:tc>
        <w:tc>
          <w:tcPr/>
          <w:p>
            <w:pPr>
              <w:pStyle w:val="Compact"/>
            </w:pPr>
            <w:r>
              <w:t xml:space="preserve">Guests/users who opt in (adults 18+)</w:t>
            </w:r>
          </w:p>
        </w:tc>
        <w:tc>
          <w:tcPr/>
          <w:p>
            <w:pPr>
              <w:pStyle w:val="Compact"/>
            </w:pPr>
            <w:r>
              <w:t xml:space="preserve">Optional automatic photo-matching within a single event</w:t>
            </w:r>
          </w:p>
        </w:tc>
        <w:tc>
          <w:tcPr/>
          <w:p>
            <w:pPr>
              <w:pStyle w:val="Compact"/>
            </w:pPr>
            <w:r>
              <w:t xml:space="preserve">§ 13(a)</w:t>
            </w:r>
            <w:r>
              <w:t xml:space="preserve"> </w:t>
            </w:r>
            <w:r>
              <w:rPr>
                <w:b/>
                <w:bCs/>
              </w:rPr>
              <w:t xml:space="preserve">explicit opt-in consent</w:t>
            </w:r>
            <w:r>
              <w:t xml:space="preserve">, timestamped at enrolment</w:t>
            </w:r>
          </w:p>
        </w:tc>
        <w:tc>
          <w:tcPr/>
          <w:p>
            <w:pPr>
              <w:pStyle w:val="Compact"/>
            </w:pPr>
            <w:r>
              <w:t xml:space="preserve">Per-event only; revocable on request; purged with media (≤5y)</w:t>
            </w:r>
          </w:p>
        </w:tc>
        <w:tc>
          <w:tcPr/>
          <w:p>
            <w:pPr>
              <w:pStyle w:val="Compact"/>
            </w:pPr>
            <w:r>
              <w:rPr>
                <w:b/>
                <w:bCs/>
              </w:rPr>
              <w:t xml:space="preserve">Built; vector storage Dormant</w:t>
            </w:r>
            <w:r>
              <w:t xml:space="preserve"> </w:t>
            </w:r>
            <w:r>
              <w:t xml:space="preserve">(enrolment currently image-only until the matching model is activated) — see §5</w:t>
            </w:r>
          </w:p>
        </w:tc>
      </w:tr>
      <w:tr>
        <w:tc>
          <w:tcPr/>
          <w:p>
            <w:pPr>
              <w:pStyle w:val="Compact"/>
            </w:pPr>
            <w:r>
              <w:t xml:space="preserve">12</w:t>
            </w:r>
          </w:p>
        </w:tc>
        <w:tc>
          <w:tcPr/>
          <w:p>
            <w:pPr>
              <w:pStyle w:val="Compact"/>
            </w:pPr>
            <w:r>
              <w:rPr>
                <w:b/>
                <w:bCs/>
              </w:rPr>
              <w:t xml:space="preserve">Device identifier</w:t>
            </w:r>
            <w:r>
              <w:t xml:space="preserve"> </w:t>
            </w:r>
            <w:r>
              <w:t xml:space="preserve">— one-way hashed, first-party per-browser id</w:t>
            </w:r>
          </w:p>
        </w:tc>
        <w:tc>
          <w:tcPr/>
          <w:p>
            <w:pPr>
              <w:pStyle w:val="Compact"/>
            </w:pPr>
            <w:r>
              <w:t xml:space="preserve">Signed-in users</w:t>
            </w:r>
          </w:p>
        </w:tc>
        <w:tc>
          <w:tcPr/>
          <w:p>
            <w:pPr>
              <w:pStyle w:val="Compact"/>
            </w:pPr>
            <w:r>
              <w:rPr>
                <w:b/>
                <w:bCs/>
              </w:rPr>
              <w:t xml:space="preserve">Fraud prevention</w:t>
            </w:r>
            <w:r>
              <w:t xml:space="preserve"> </w:t>
            </w:r>
            <w:r>
              <w:t xml:space="preserve">— detect fake / duplicate / sock-puppet accounts</w:t>
            </w:r>
          </w:p>
        </w:tc>
        <w:tc>
          <w:tcPr/>
          <w:p>
            <w:pPr>
              <w:pStyle w:val="Compact"/>
            </w:pPr>
            <w:r>
              <w:t xml:space="preserve">§ 12(f)</w:t>
            </w:r>
            <w:r>
              <w:t xml:space="preserve"> </w:t>
            </w:r>
            <w:r>
              <w:rPr>
                <w:b/>
                <w:bCs/>
              </w:rPr>
              <w:t xml:space="preserve">legitimate interest</w:t>
            </w:r>
            <w:r>
              <w:t xml:space="preserve"> </w:t>
            </w:r>
            <w:r>
              <w:t xml:space="preserve">(fraud prevention + protecting vendors)</w:t>
            </w:r>
          </w:p>
        </w:tc>
        <w:tc>
          <w:tcPr/>
          <w:p>
            <w:pPr>
              <w:pStyle w:val="Compact"/>
            </w:pPr>
            <w:r>
              <w:t xml:space="preserve">Life of account; rolling-prune device rows unused &gt; 24 months</w:t>
            </w:r>
            <w:r>
              <w:t xml:space="preserve"> </w:t>
            </w:r>
            <w:r>
              <w:rPr>
                <w:i/>
                <w:iCs/>
              </w:rPr>
              <w:t xml:space="preserve">(counsel)</w:t>
            </w:r>
          </w:p>
        </w:tc>
        <w:tc>
          <w:tcPr/>
          <w:p>
            <w:pPr>
              <w:pStyle w:val="Compact"/>
            </w:pPr>
            <w:r>
              <w:rPr>
                <w:b/>
                <w:bCs/>
              </w:rPr>
              <w:t xml:space="preserve">Dormant</w:t>
            </w:r>
            <w:r>
              <w:t xml:space="preserve"> </w:t>
            </w:r>
            <w:r>
              <w:t xml:space="preserve">— flag</w:t>
            </w:r>
            <w:r>
              <w:t xml:space="preserve"> </w:t>
            </w:r>
            <w:r>
              <w:rPr>
                <w:rStyle w:val="VerbatimChar"/>
              </w:rPr>
              <w:t xml:space="preserve">NEXT_PUBLIC_DEVICE_FINGERPRINT_ENABLED</w:t>
            </w:r>
            <w:r>
              <w:t xml:space="preserve"> </w:t>
            </w:r>
            <w:r>
              <w:t xml:space="preserve">OFF in production; collects nothing pending DPO activation (§4)</w:t>
            </w:r>
          </w:p>
        </w:tc>
      </w:tr>
      <w:tr>
        <w:tc>
          <w:tcPr/>
          <w:p>
            <w:pPr>
              <w:pStyle w:val="Compact"/>
            </w:pPr>
            <w:r>
              <w:t xml:space="preserve">13</w:t>
            </w:r>
          </w:p>
        </w:tc>
        <w:tc>
          <w:tcPr/>
          <w:p>
            <w:pPr>
              <w:pStyle w:val="Compact"/>
            </w:pPr>
            <w:r>
              <w:rPr>
                <w:b/>
                <w:bCs/>
              </w:rPr>
              <w:t xml:space="preserve">Guest RSVP details</w:t>
            </w:r>
            <w:r>
              <w:t xml:space="preserve"> </w:t>
            </w:r>
            <w:r>
              <w:t xml:space="preserve">— name, contact,</w:t>
            </w:r>
            <w:r>
              <w:t xml:space="preserve"> </w:t>
            </w:r>
            <w:r>
              <w:rPr>
                <w:b/>
                <w:bCs/>
              </w:rPr>
              <w:t xml:space="preserve">meal preference / dietary restrictions</w:t>
            </w:r>
            <w:r>
              <w:t xml:space="preserve"> </w:t>
            </w:r>
            <w:r>
              <w:rPr>
                <w:i/>
                <w:iCs/>
              </w:rPr>
              <w:t xml:space="preserve">(health-adjacent)</w:t>
            </w:r>
            <w:r>
              <w:t xml:space="preserve">, plus-one, photo/face-recognition preferences</w:t>
            </w:r>
          </w:p>
        </w:tc>
        <w:tc>
          <w:tcPr/>
          <w:p>
            <w:pPr>
              <w:pStyle w:val="Compact"/>
            </w:pPr>
            <w:r>
              <w:t xml:space="preserve">Guests entered/invited by the couple</w:t>
            </w:r>
          </w:p>
        </w:tc>
        <w:tc>
          <w:tcPr/>
          <w:p>
            <w:pPr>
              <w:pStyle w:val="Compact"/>
            </w:pPr>
            <w:r>
              <w:t xml:space="preserve">Deliver RSVP, seating, catering counts, and media-tagging preferences</w:t>
            </w:r>
          </w:p>
        </w:tc>
        <w:tc>
          <w:tcPr/>
          <w:p>
            <w:pPr>
              <w:pStyle w:val="Compact"/>
            </w:pPr>
            <w:r>
              <w:t xml:space="preserve">§ 12(b) contract; § 13(a) consent for dietary/health-adjacent + face-recognition preferences</w:t>
            </w:r>
          </w:p>
        </w:tc>
        <w:tc>
          <w:tcPr/>
          <w:p>
            <w:pPr>
              <w:pStyle w:val="Compact"/>
            </w:pPr>
            <w:r>
              <w:t xml:space="preserve">With the event record, ≤5 years</w:t>
            </w:r>
            <w:r>
              <w:t xml:space="preserve"> </w:t>
            </w:r>
            <w:r>
              <w:rPr>
                <w:i/>
                <w:iCs/>
              </w:rPr>
              <w:t xml:space="preserve">(counsel)</w:t>
            </w:r>
          </w:p>
        </w:tc>
        <w:tc>
          <w:tcPr/>
          <w:p>
            <w:pPr>
              <w:pStyle w:val="Compact"/>
            </w:pPr>
            <w:r>
              <w:t xml:space="preserve">Active</w:t>
            </w:r>
          </w:p>
        </w:tc>
      </w:tr>
      <w:tr>
        <w:tc>
          <w:tcPr/>
          <w:p>
            <w:pPr>
              <w:pStyle w:val="Compact"/>
            </w:pPr>
            <w:r>
              <w:t xml:space="preserve">14</w:t>
            </w:r>
          </w:p>
        </w:tc>
        <w:tc>
          <w:tcPr/>
          <w:p>
            <w:pPr>
              <w:pStyle w:val="Compact"/>
            </w:pPr>
            <w:r>
              <w:rPr>
                <w:b/>
                <w:bCs/>
              </w:rPr>
              <w:t xml:space="preserve">Automatic technical data</w:t>
            </w:r>
            <w:r>
              <w:t xml:space="preserve"> </w:t>
            </w:r>
            <w:r>
              <w:t xml:space="preserve">— IP address (truncated to first 3 octets for QR-scan events), browser user-agent, timestamps</w:t>
            </w:r>
          </w:p>
        </w:tc>
        <w:tc>
          <w:tcPr/>
          <w:p>
            <w:pPr>
              <w:pStyle w:val="Compact"/>
            </w:pPr>
            <w:r>
              <w:t xml:space="preserve">Site visitors</w:t>
            </w:r>
          </w:p>
        </w:tc>
        <w:tc>
          <w:tcPr/>
          <w:p>
            <w:pPr>
              <w:pStyle w:val="Compact"/>
            </w:pPr>
            <w:r>
              <w:t xml:space="preserve">Security, abuse-prevention, service operation</w:t>
            </w:r>
          </w:p>
        </w:tc>
        <w:tc>
          <w:tcPr/>
          <w:p>
            <w:pPr>
              <w:pStyle w:val="Compact"/>
            </w:pPr>
            <w:r>
              <w:t xml:space="preserve">§ 12(f) legitimate interest</w:t>
            </w:r>
          </w:p>
        </w:tc>
        <w:tc>
          <w:tcPr/>
          <w:p>
            <w:pPr>
              <w:pStyle w:val="Compact"/>
            </w:pPr>
            <w:r>
              <w:t xml:space="preserve">Provider default / with related record</w:t>
            </w:r>
          </w:p>
        </w:tc>
        <w:tc>
          <w:tcPr/>
          <w:p>
            <w:pPr>
              <w:pStyle w:val="Compact"/>
            </w:pPr>
            <w:r>
              <w:t xml:space="preserve">Active</w:t>
            </w:r>
          </w:p>
        </w:tc>
      </w:tr>
      <w:tr>
        <w:tc>
          <w:tcPr/>
          <w:p>
            <w:pPr>
              <w:pStyle w:val="Compact"/>
            </w:pPr>
            <w:r>
              <w:t xml:space="preserve">15</w:t>
            </w:r>
          </w:p>
        </w:tc>
        <w:tc>
          <w:tcPr/>
          <w:p>
            <w:pPr>
              <w:pStyle w:val="Compact"/>
            </w:pPr>
            <w:r>
              <w:rPr>
                <w:b/>
                <w:bCs/>
              </w:rPr>
              <w:t xml:space="preserve">Product analytics</w:t>
            </w:r>
            <w:r>
              <w:t xml:space="preserve"> </w:t>
            </w:r>
            <w:r>
              <w:t xml:space="preserve">— page views, clicks, funnel events (PostHog; no personal identifiers;</w:t>
            </w:r>
            <w:r>
              <w:t xml:space="preserve"> </w:t>
            </w:r>
            <w:r>
              <w:rPr>
                <w:b/>
                <w:bCs/>
              </w:rPr>
              <w:t xml:space="preserve">opt-in via cookie consent</w:t>
            </w:r>
            <w:r>
              <w:t xml:space="preserve">)</w:t>
            </w:r>
          </w:p>
        </w:tc>
        <w:tc>
          <w:tcPr/>
          <w:p>
            <w:pPr>
              <w:pStyle w:val="Compact"/>
            </w:pPr>
            <w:r>
              <w:t xml:space="preserve">Site visitors</w:t>
            </w:r>
          </w:p>
        </w:tc>
        <w:tc>
          <w:tcPr/>
          <w:p>
            <w:pPr>
              <w:pStyle w:val="Compact"/>
            </w:pPr>
            <w:r>
              <w:t xml:space="preserve">Product improvement</w:t>
            </w:r>
          </w:p>
        </w:tc>
        <w:tc>
          <w:tcPr/>
          <w:p>
            <w:pPr>
              <w:pStyle w:val="Compact"/>
            </w:pPr>
            <w:r>
              <w:t xml:space="preserve">§ 12(a) consent (cookie-consent gated; opt-out in profile)</w:t>
            </w:r>
          </w:p>
        </w:tc>
        <w:tc>
          <w:tcPr/>
          <w:p>
            <w:pPr>
              <w:pStyle w:val="Compact"/>
            </w:pPr>
            <w:r>
              <w:t xml:space="preserve">Provider default</w:t>
            </w:r>
          </w:p>
        </w:tc>
        <w:tc>
          <w:tcPr/>
          <w:p>
            <w:pPr>
              <w:pStyle w:val="Compact"/>
            </w:pPr>
            <w:r>
              <w:t xml:space="preserve">Active</w:t>
            </w:r>
          </w:p>
        </w:tc>
      </w:tr>
      <w:tr>
        <w:tc>
          <w:tcPr/>
          <w:p>
            <w:pPr>
              <w:pStyle w:val="Compact"/>
            </w:pPr>
            <w:r>
              <w:t xml:space="preserve">16</w:t>
            </w:r>
          </w:p>
        </w:tc>
        <w:tc>
          <w:tcPr/>
          <w:p>
            <w:pPr>
              <w:pStyle w:val="Compact"/>
            </w:pPr>
            <w:r>
              <w:rPr>
                <w:b/>
                <w:bCs/>
              </w:rPr>
              <w:t xml:space="preserve">Error/diagnostic logs</w:t>
            </w:r>
            <w:r>
              <w:t xml:space="preserve"> </w:t>
            </w:r>
            <w:r>
              <w:t xml:space="preserve">— stack traces (Sentry; no message bodies, payment details, or guest data)</w:t>
            </w:r>
          </w:p>
        </w:tc>
        <w:tc>
          <w:tcPr/>
          <w:p>
            <w:pPr>
              <w:pStyle w:val="Compact"/>
            </w:pPr>
            <w:r>
              <w:t xml:space="preserve">N/A (no PII by design)</w:t>
            </w:r>
          </w:p>
        </w:tc>
        <w:tc>
          <w:tcPr/>
          <w:p>
            <w:pPr>
              <w:pStyle w:val="Compact"/>
            </w:pPr>
            <w:r>
              <w:t xml:space="preserve">Bug diagnosis + reliability</w:t>
            </w:r>
          </w:p>
        </w:tc>
        <w:tc>
          <w:tcPr/>
          <w:p>
            <w:pPr>
              <w:pStyle w:val="Compact"/>
            </w:pPr>
            <w:r>
              <w:t xml:space="preserve">§ 12(f) legitimate interest; data-minimization</w:t>
            </w:r>
          </w:p>
        </w:tc>
        <w:tc>
          <w:tcPr/>
          <w:p>
            <w:pPr>
              <w:pStyle w:val="Compact"/>
            </w:pPr>
            <w:r>
              <w:t xml:space="preserve">≤ 90 days</w:t>
            </w:r>
          </w:p>
        </w:tc>
        <w:tc>
          <w:tcPr/>
          <w:p>
            <w:pPr>
              <w:pStyle w:val="Compact"/>
            </w:pPr>
            <w:r>
              <w:t xml:space="preserve">Active</w:t>
            </w:r>
          </w:p>
        </w:tc>
      </w:tr>
      <w:tr>
        <w:tc>
          <w:tcPr/>
          <w:p>
            <w:pPr>
              <w:pStyle w:val="Compact"/>
            </w:pPr>
            <w:r>
              <w:t xml:space="preserve">17</w:t>
            </w:r>
          </w:p>
        </w:tc>
        <w:tc>
          <w:tcPr/>
          <w:p>
            <w:pPr>
              <w:pStyle w:val="Compact"/>
            </w:pPr>
            <w:r>
              <w:rPr>
                <w:b/>
                <w:bCs/>
              </w:rPr>
              <w:t xml:space="preserve">Marketing consent / communication preferences</w:t>
            </w:r>
            <w:r>
              <w:t xml:space="preserve"> </w:t>
            </w:r>
            <w:r>
              <w:t xml:space="preserve">(+</w:t>
            </w:r>
            <w:r>
              <w:t xml:space="preserve"> </w:t>
            </w:r>
            <w:r>
              <w:rPr>
                <w:rStyle w:val="VerbatimChar"/>
              </w:rPr>
              <w:t xml:space="preserve">marketing_consent_at</w:t>
            </w:r>
            <w:r>
              <w:t xml:space="preserve">)</w:t>
            </w:r>
          </w:p>
        </w:tc>
        <w:tc>
          <w:tcPr/>
          <w:p>
            <w:pPr>
              <w:pStyle w:val="Compact"/>
            </w:pPr>
            <w:r>
              <w:t xml:space="preserve">Couples, vendors</w:t>
            </w:r>
          </w:p>
        </w:tc>
        <w:tc>
          <w:tcPr/>
          <w:p>
            <w:pPr>
              <w:pStyle w:val="Compact"/>
            </w:pPr>
            <w:r>
              <w:t xml:space="preserve">Proof of consent; honor preferences</w:t>
            </w:r>
          </w:p>
        </w:tc>
        <w:tc>
          <w:tcPr/>
          <w:p>
            <w:pPr>
              <w:pStyle w:val="Compact"/>
            </w:pPr>
            <w:r>
              <w:t xml:space="preserve">§ 12(a) consent</w:t>
            </w:r>
          </w:p>
        </w:tc>
        <w:tc>
          <w:tcPr/>
          <w:p>
            <w:pPr>
              <w:pStyle w:val="Compact"/>
            </w:pPr>
            <w:r>
              <w:t xml:space="preserve">Life of account + audit tail</w:t>
            </w:r>
          </w:p>
        </w:tc>
        <w:tc>
          <w:tcPr/>
          <w:p>
            <w:pPr>
              <w:pStyle w:val="Compact"/>
            </w:pPr>
            <w:r>
              <w:t xml:space="preserve">Active</w:t>
            </w:r>
          </w:p>
        </w:tc>
      </w:tr>
      <w:tr>
        <w:tc>
          <w:tcPr/>
          <w:p>
            <w:pPr>
              <w:pStyle w:val="Compact"/>
            </w:pPr>
            <w:r>
              <w:t xml:space="preserve">18</w:t>
            </w:r>
          </w:p>
        </w:tc>
        <w:tc>
          <w:tcPr/>
          <w:p>
            <w:pPr>
              <w:pStyle w:val="Compact"/>
            </w:pPr>
            <w:r>
              <w:rPr>
                <w:b/>
                <w:bCs/>
              </w:rPr>
              <w:t xml:space="preserve">Support tickets</w:t>
            </w:r>
          </w:p>
        </w:tc>
        <w:tc>
          <w:tcPr/>
          <w:p>
            <w:pPr>
              <w:pStyle w:val="Compact"/>
            </w:pPr>
            <w:r>
              <w:t xml:space="preserve">Users who contact support</w:t>
            </w:r>
          </w:p>
        </w:tc>
        <w:tc>
          <w:tcPr/>
          <w:p>
            <w:pPr>
              <w:pStyle w:val="Compact"/>
            </w:pPr>
            <w:r>
              <w:t xml:space="preserve">Handle support requests</w:t>
            </w:r>
          </w:p>
        </w:tc>
        <w:tc>
          <w:tcPr/>
          <w:p>
            <w:pPr>
              <w:pStyle w:val="Compact"/>
            </w:pPr>
            <w:r>
              <w:t xml:space="preserve">§ 12(b)/(f)</w:t>
            </w:r>
          </w:p>
        </w:tc>
        <w:tc>
          <w:tcPr/>
          <w:p>
            <w:pPr>
              <w:pStyle w:val="Compact"/>
            </w:pPr>
            <w:r>
              <w:t xml:space="preserve">2 years</w:t>
            </w:r>
          </w:p>
        </w:tc>
        <w:tc>
          <w:tcPr/>
          <w:p>
            <w:pPr>
              <w:pStyle w:val="Compact"/>
            </w:pPr>
            <w:r>
              <w:t xml:space="preserve">Active</w:t>
            </w:r>
          </w:p>
        </w:tc>
      </w:tr>
    </w:tbl>
    <w:p>
      <w:pPr>
        <w:pStyle w:val="BodyText"/>
      </w:pPr>
      <w:r>
        <w:rPr>
          <w:b/>
          <w:bCs/>
        </w:rPr>
        <w:t xml:space="preserve">Right-to-erasure interaction:</w:t>
      </w:r>
      <w:r>
        <w:t xml:space="preserve"> </w:t>
      </w:r>
      <w:r>
        <w:t xml:space="preserve">an account-deletion request deletes the subject’s personal data</w:t>
      </w:r>
      <w:r>
        <w:t xml:space="preserve"> </w:t>
      </w:r>
      <w:r>
        <w:rPr>
          <w:b/>
          <w:bCs/>
        </w:rPr>
        <w:t xml:space="preserve">except</w:t>
      </w:r>
      <w:r>
        <w:t xml:space="preserve"> </w:t>
      </w:r>
      <w:r>
        <w:t xml:space="preserve">records under a legal-hold floor (rows 7 &amp; 9 — payments and contracts), which are retained under the legal-obligation basis for the statutory period and then disposed of. This carve-out is disclosed in the privacy notice.</w:t>
      </w:r>
      <w:r>
        <w:t xml:space="preserve"> </w:t>
      </w:r>
      <w:r>
        <w:rPr>
          <w:i/>
          <w:iCs/>
        </w:rPr>
        <w:t xml:space="preserve">(Known remediation: account hard-delete does not yet purge chat-message PII — tracked in §11 and the Data Retention Schedule §4.)</w:t>
      </w:r>
    </w:p>
    <w:p>
      <w:r>
        <w:pict>
          <v:rect style="width:0;height:1.5pt" o:hralign="center" o:hrstd="t" o:hr="t"/>
        </w:pict>
      </w:r>
    </w:p>
    <w:bookmarkEnd w:id="12"/>
    <w:bookmarkStart w:id="18" w:name="X081cca796187cd32619189dcc1ed538b3997df5"/>
    <w:p>
      <w:pPr>
        <w:pStyle w:val="Heading2"/>
      </w:pPr>
      <w:r>
        <w:t xml:space="preserve">4. Privacy Impact Assessment — Device-Fingerprint Capture (fraud prevention)</w:t>
      </w:r>
    </w:p>
    <w:p>
      <w:pPr>
        <w:pStyle w:val="FirstParagraph"/>
      </w:pPr>
      <w:r>
        <w:t xml:space="preserve">A PIA of the</w:t>
      </w:r>
      <w:r>
        <w:t xml:space="preserve"> </w:t>
      </w:r>
      <w:r>
        <w:rPr>
          <w:b/>
          <w:bCs/>
        </w:rPr>
        <w:t xml:space="preserve">newest and most scrutiny-worthy</w:t>
      </w:r>
      <w:r>
        <w:t xml:space="preserve"> </w:t>
      </w:r>
      <w:r>
        <w:t xml:space="preserve">processing activity (ROPA row 12). Built into the platform but</w:t>
      </w:r>
      <w:r>
        <w:t xml:space="preserve"> </w:t>
      </w:r>
      <w:r>
        <w:rPr>
          <w:b/>
          <w:bCs/>
        </w:rPr>
        <w:t xml:space="preserve">switched OFF behind a feature flag</w:t>
      </w:r>
      <w:r>
        <w:t xml:space="preserve">; it collects nothing until the DPO authorizes activation.</w:t>
      </w:r>
      <w:r>
        <w:t xml:space="preserve"> </w:t>
      </w:r>
      <w:r>
        <w:rPr>
          <w:i/>
          <w:iCs/>
        </w:rPr>
        <w:t xml:space="preserve">(As of 2026-07-13 the flag</w:t>
      </w:r>
      <w:r>
        <w:rPr>
          <w:i/>
          <w:iCs/>
        </w:rPr>
        <w:t xml:space="preserve"> </w:t>
      </w:r>
      <w:r>
        <w:rPr>
          <w:rStyle w:val="VerbatimChar"/>
          <w:i/>
          <w:iCs/>
        </w:rPr>
        <w:t xml:space="preserve">NEXT_PUBLIC_DEVICE_FINGERPRINT_ENABLED</w:t>
      </w:r>
      <w:r>
        <w:rPr>
          <w:i/>
          <w:iCs/>
        </w:rPr>
        <w:t xml:space="preserve"> </w:t>
      </w:r>
      <w:r>
        <w:rPr>
          <w:i/>
          <w:iCs/>
        </w:rPr>
        <w:t xml:space="preserve">is confirmed OFF in production. A separate draft Anti-Fraud Policy amendment references this processing as active from 2026-07-07; that statement is ahead of the actual flag state and is being corrected — see §11.)</w:t>
      </w:r>
    </w:p>
    <w:bookmarkStart w:id="13" w:name="what-is-processed-and-why"/>
    <w:p>
      <w:pPr>
        <w:pStyle w:val="Heading3"/>
      </w:pPr>
      <w:r>
        <w:t xml:space="preserve">4.1 What is processed and why</w:t>
      </w:r>
    </w:p>
    <w:p>
      <w:pPr>
        <w:pStyle w:val="FirstParagraph"/>
      </w:pPr>
      <w:r>
        <w:t xml:space="preserve">To protect couples and vendors from coordinated fraud (a single bad actor — often a competing vendor — spinning up many fake couple accounts to spam a vendor’s inbox or drain the token a vendor spends to answer an inquiry), Setnayan must recognize when several</w:t>
      </w:r>
      <w:r>
        <w:t xml:space="preserve"> </w:t>
      </w:r>
      <w:r>
        <w:t xml:space="preserve">“different”</w:t>
      </w:r>
      <w:r>
        <w:t xml:space="preserve"> </w:t>
      </w:r>
      <w:r>
        <w:t xml:space="preserve">accounts are in fact the</w:t>
      </w:r>
      <w:r>
        <w:t xml:space="preserve"> </w:t>
      </w:r>
      <w:r>
        <w:rPr>
          <w:b/>
          <w:bCs/>
        </w:rPr>
        <w:t xml:space="preserve">same device</w:t>
      </w:r>
      <w:r>
        <w:t xml:space="preserve">. On a signed-in session, the browser generates a</w:t>
      </w:r>
      <w:r>
        <w:t xml:space="preserve"> </w:t>
      </w:r>
      <w:r>
        <w:rPr>
          <w:b/>
          <w:bCs/>
        </w:rPr>
        <w:t xml:space="preserve">random identifier</w:t>
      </w:r>
      <w:r>
        <w:t xml:space="preserve"> </w:t>
      </w:r>
      <w:r>
        <w:t xml:space="preserve">stored in local storage; it is transmitted to Setnayan’s server and</w:t>
      </w:r>
      <w:r>
        <w:t xml:space="preserve"> </w:t>
      </w:r>
      <w:r>
        <w:rPr>
          <w:b/>
          <w:bCs/>
        </w:rPr>
        <w:t xml:space="preserve">one-way hashed (SHA-256 with a server-side salt)</w:t>
      </w:r>
      <w:r>
        <w:t xml:space="preserve">. Only the hash is stored, against the account. Two accounts sharing a device produce the same hash, which lets the existing fraud-clustering logic</w:t>
      </w:r>
      <w:r>
        <w:t xml:space="preserve"> </w:t>
      </w:r>
      <w:r>
        <w:rPr>
          <w:b/>
          <w:bCs/>
        </w:rPr>
        <w:t xml:space="preserve">flag them for human review</w:t>
      </w:r>
      <w:r>
        <w:t xml:space="preserve"> </w:t>
      </w:r>
      <w:r>
        <w:t xml:space="preserve">— it never auto-bans anyone.</w:t>
      </w:r>
    </w:p>
    <w:bookmarkEnd w:id="13"/>
    <w:bookmarkStart w:id="14" w:name="necessity-and-proportionality"/>
    <w:p>
      <w:pPr>
        <w:pStyle w:val="Heading3"/>
      </w:pPr>
      <w:r>
        <w:t xml:space="preserve">4.2 Necessity and proportionality</w:t>
      </w:r>
    </w:p>
    <w:p>
      <w:pPr>
        <w:pStyle w:val="Compact"/>
        <w:numPr>
          <w:ilvl w:val="0"/>
          <w:numId w:val="1002"/>
        </w:numPr>
      </w:pPr>
      <w:r>
        <w:rPr>
          <w:b/>
          <w:bCs/>
        </w:rPr>
        <w:t xml:space="preserve">Necessary:</w:t>
      </w:r>
      <w:r>
        <w:t xml:space="preserve"> </w:t>
      </w:r>
      <w:r>
        <w:t xml:space="preserve">vendors are charged per inquiry; fake inquiries are a direct, quantifiable financial harm, and account-level signals alone cannot detect one actor behind many accounts.</w:t>
      </w:r>
    </w:p>
    <w:p>
      <w:pPr>
        <w:pStyle w:val="Compact"/>
        <w:numPr>
          <w:ilvl w:val="0"/>
          <w:numId w:val="1002"/>
        </w:numPr>
      </w:pPr>
      <w:r>
        <w:rPr>
          <w:b/>
          <w:bCs/>
        </w:rPr>
        <w:t xml:space="preserve">Proportionate / least-intrusive:</w:t>
      </w:r>
      <w:r>
        <w:t xml:space="preserve"> </w:t>
      </w:r>
      <w:r>
        <w:t xml:space="preserve">the signal is a</w:t>
      </w:r>
      <w:r>
        <w:t xml:space="preserve"> </w:t>
      </w:r>
      <w:r>
        <w:rPr>
          <w:b/>
          <w:bCs/>
        </w:rPr>
        <w:t xml:space="preserve">random id</w:t>
      </w:r>
      <w:r>
        <w:t xml:space="preserve">, deliberately</w:t>
      </w:r>
      <w:r>
        <w:t xml:space="preserve"> </w:t>
      </w:r>
      <w:r>
        <w:rPr>
          <w:b/>
          <w:bCs/>
        </w:rPr>
        <w:t xml:space="preserve">not</w:t>
      </w:r>
      <w:r>
        <w:t xml:space="preserve"> </w:t>
      </w:r>
      <w:r>
        <w:t xml:space="preserve">a behavioral or biometric fingerprint (no canvas/font/WebGL probing) and uses</w:t>
      </w:r>
      <w:r>
        <w:t xml:space="preserve"> </w:t>
      </w:r>
      <w:r>
        <w:rPr>
          <w:b/>
          <w:bCs/>
        </w:rPr>
        <w:t xml:space="preserve">no third-party tracking SDK</w:t>
      </w:r>
      <w:r>
        <w:t xml:space="preserve">. It identifies a</w:t>
      </w:r>
      <w:r>
        <w:t xml:space="preserve"> </w:t>
      </w:r>
      <w:r>
        <w:rPr>
          <w:i/>
          <w:iCs/>
        </w:rPr>
        <w:t xml:space="preserve">browser</w:t>
      </w:r>
      <w:r>
        <w:t xml:space="preserve">, not a person’s activity, and is never used for advertising, personalization, or cross-site tracking.</w:t>
      </w:r>
    </w:p>
    <w:bookmarkEnd w:id="14"/>
    <w:bookmarkStart w:id="15" w:name="legal-basis"/>
    <w:p>
      <w:pPr>
        <w:pStyle w:val="Heading3"/>
      </w:pPr>
      <w:r>
        <w:t xml:space="preserve">4.3 Legal basis</w:t>
      </w:r>
    </w:p>
    <w:p>
      <w:pPr>
        <w:pStyle w:val="FirstParagraph"/>
      </w:pPr>
      <w:r>
        <w:rPr>
          <w:b/>
          <w:bCs/>
        </w:rPr>
        <w:t xml:space="preserve">Legitimate interest</w:t>
      </w:r>
      <w:r>
        <w:t xml:space="preserve"> </w:t>
      </w:r>
      <w:r>
        <w:t xml:space="preserve">under § 12(f): preventing fraud and protecting the marketplace and its vendors. Balancing test — the intrusion is minimal (a fraud-only pseudonymous hash), the interest is substantial, and the practice is disclosed. The data is</w:t>
      </w:r>
      <w:r>
        <w:t xml:space="preserve"> </w:t>
      </w:r>
      <w:r>
        <w:rPr>
          <w:b/>
          <w:bCs/>
        </w:rPr>
        <w:t xml:space="preserve">not</w:t>
      </w:r>
      <w:r>
        <w:t xml:space="preserve"> </w:t>
      </w:r>
      <w:r>
        <w:t xml:space="preserve">sensitive personal information.</w:t>
      </w:r>
    </w:p>
    <w:bookmarkEnd w:id="15"/>
    <w:bookmarkStart w:id="16" w:name="risks-and-mitigations"/>
    <w:p>
      <w:pPr>
        <w:pStyle w:val="Heading3"/>
      </w:pPr>
      <w:r>
        <w:t xml:space="preserve">4.4 Risks and mitigations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Re-identification of an individual</w:t>
            </w:r>
          </w:p>
        </w:tc>
        <w:tc>
          <w:tcPr/>
          <w:p>
            <w:pPr>
              <w:pStyle w:val="Compact"/>
            </w:pPr>
            <w:r>
              <w:t xml:space="preserve">Value is a</w:t>
            </w:r>
            <w:r>
              <w:t xml:space="preserve"> </w:t>
            </w:r>
            <w:r>
              <w:rPr>
                <w:b/>
                <w:bCs/>
              </w:rPr>
              <w:t xml:space="preserve">one-way hash of a random id</w:t>
            </w:r>
            <w:r>
              <w:t xml:space="preserve"> </w:t>
            </w:r>
            <w:r>
              <w:t xml:space="preserve">(raw value never stored); pseudonymous; no linkage to browsing behavior</w:t>
            </w:r>
          </w:p>
        </w:tc>
      </w:tr>
      <w:tr>
        <w:tc>
          <w:tcPr/>
          <w:p>
            <w:pPr>
              <w:pStyle w:val="Compact"/>
            </w:pPr>
            <w:r>
              <w:t xml:space="preserve">Function creep (used beyond fraud)</w:t>
            </w:r>
          </w:p>
        </w:tc>
        <w:tc>
          <w:tcPr/>
          <w:p>
            <w:pPr>
              <w:pStyle w:val="Compact"/>
            </w:pPr>
            <w:r>
              <w:rPr>
                <w:b/>
                <w:bCs/>
              </w:rPr>
              <w:t xml:space="preserve">Purpose limitation</w:t>
            </w:r>
            <w:r>
              <w:t xml:space="preserve"> </w:t>
            </w:r>
            <w:r>
              <w:t xml:space="preserve">enforced in code + policy; used only for identity-cluster fraud review; never sold or shared</w:t>
            </w:r>
          </w:p>
        </w:tc>
      </w:tr>
      <w:tr>
        <w:tc>
          <w:tcPr/>
          <w:p>
            <w:pPr>
              <w:pStyle w:val="Compact"/>
            </w:pPr>
            <w:r>
              <w:t xml:space="preserve">Over-collection</w:t>
            </w:r>
          </w:p>
        </w:tc>
        <w:tc>
          <w:tcPr/>
          <w:p>
            <w:pPr>
              <w:pStyle w:val="Compact"/>
            </w:pPr>
            <w:r>
              <w:rPr>
                <w:b/>
                <w:bCs/>
              </w:rPr>
              <w:t xml:space="preserve">Signed-in accounts only</w:t>
            </w:r>
            <w:r>
              <w:t xml:space="preserve">; one hash per (account, device) + a last-seen timestamp;</w:t>
            </w:r>
            <w:r>
              <w:t xml:space="preserve"> </w:t>
            </w:r>
            <w:r>
              <w:rPr>
                <w:b/>
                <w:bCs/>
              </w:rPr>
              <w:t xml:space="preserve">no IP stored</w:t>
            </w:r>
            <w:r>
              <w:t xml:space="preserve"> </w:t>
            </w:r>
            <w:r>
              <w:t xml:space="preserve">for this signal</w:t>
            </w:r>
          </w:p>
        </w:tc>
      </w:tr>
      <w:tr>
        <w:tc>
          <w:tcPr/>
          <w:p>
            <w:pPr>
              <w:pStyle w:val="Compact"/>
            </w:pPr>
            <w:r>
              <w:t xml:space="preserve">Data-subject unawareness</w:t>
            </w:r>
          </w:p>
        </w:tc>
        <w:tc>
          <w:tcPr/>
          <w:p>
            <w:pPr>
              <w:pStyle w:val="Compact"/>
            </w:pPr>
            <w:r>
              <w:rPr>
                <w:b/>
                <w:bCs/>
              </w:rPr>
              <w:t xml:space="preserve">Already disclosed</w:t>
            </w:r>
            <w:r>
              <w:t xml:space="preserve"> </w:t>
            </w:r>
            <w:r>
              <w:t xml:space="preserve">in the public privacy notice (the</w:t>
            </w:r>
            <w:r>
              <w:t xml:space="preserve"> </w:t>
            </w:r>
            <w:r>
              <w:t xml:space="preserve">“Device identifier (fraud prevention)”</w:t>
            </w:r>
            <w:r>
              <w:t xml:space="preserve"> </w:t>
            </w:r>
            <w:r>
              <w:t xml:space="preserve">section), ahead of activation</w:t>
            </w:r>
          </w:p>
        </w:tc>
      </w:tr>
      <w:tr>
        <w:tc>
          <w:tcPr/>
          <w:p>
            <w:pPr>
              <w:pStyle w:val="Compact"/>
            </w:pPr>
            <w:r>
              <w:t xml:space="preserve">Unlawful retention</w:t>
            </w:r>
          </w:p>
        </w:tc>
        <w:tc>
          <w:tcPr/>
          <w:p>
            <w:pPr>
              <w:pStyle w:val="Compact"/>
            </w:pPr>
            <w:r>
              <w:t xml:space="preserve">Retention clock (life of account; rolling-prune &gt; 24 months); included in data export; deleted on account deletion</w:t>
            </w:r>
          </w:p>
        </w:tc>
      </w:tr>
      <w:tr>
        <w:tc>
          <w:tcPr/>
          <w:p>
            <w:pPr>
              <w:pStyle w:val="Compact"/>
            </w:pPr>
            <w:r>
              <w:t xml:space="preserve">Activation without oversight</w:t>
            </w:r>
          </w:p>
        </w:tc>
        <w:tc>
          <w:tcPr/>
          <w:p>
            <w:pPr>
              <w:pStyle w:val="Compact"/>
            </w:pPr>
            <w:r>
              <w:rPr>
                <w:b/>
                <w:bCs/>
              </w:rPr>
              <w:t xml:space="preserve">Flag-gated OFF</w:t>
            </w:r>
            <w:r>
              <w:t xml:space="preserve">; activation requires DPO sign-off; fully reversible from a single toggle</w:t>
            </w:r>
          </w:p>
        </w:tc>
      </w:tr>
    </w:tbl>
    <w:bookmarkEnd w:id="16"/>
    <w:bookmarkStart w:id="17" w:name="residual-assessment"/>
    <w:p>
      <w:pPr>
        <w:pStyle w:val="Heading3"/>
      </w:pPr>
      <w:r>
        <w:t xml:space="preserve">4.5 Residual assessment</w:t>
      </w:r>
    </w:p>
    <w:p>
      <w:pPr>
        <w:pStyle w:val="FirstParagraph"/>
      </w:pPr>
      <w:r>
        <w:t xml:space="preserve">With the above controls, residual privacy risk is</w:t>
      </w:r>
      <w:r>
        <w:t xml:space="preserve"> </w:t>
      </w:r>
      <w:r>
        <w:rPr>
          <w:b/>
          <w:bCs/>
        </w:rPr>
        <w:t xml:space="preserve">LOW</w:t>
      </w:r>
      <w:r>
        <w:t xml:space="preserve">. The privacy-notice disclosure is already published; the remaining gate is the DPO’s activation decision.</w:t>
      </w:r>
    </w:p>
    <w:p>
      <w:r>
        <w:pict>
          <v:rect style="width:0;height:1.5pt" o:hralign="center" o:hrstd="t" o:hr="t"/>
        </w:pict>
      </w:r>
    </w:p>
    <w:bookmarkEnd w:id="17"/>
    <w:bookmarkEnd w:id="18"/>
    <w:bookmarkStart w:id="19" w:name="X613ce2497bb1e37aae656e0fc3bc23aac385e70"/>
    <w:p>
      <w:pPr>
        <w:pStyle w:val="Heading2"/>
      </w:pPr>
      <w:r>
        <w:t xml:space="preserve">5. Sensitive Personal Information (RA 10173 § 13)</w:t>
      </w:r>
    </w:p>
    <w:p>
      <w:pPr>
        <w:pStyle w:val="FirstParagraph"/>
      </w:pPr>
      <w:r>
        <w:t xml:space="preserve">RA 10173 § 3(l) / § 13 treats as</w:t>
      </w:r>
      <w:r>
        <w:t xml:space="preserve"> </w:t>
      </w:r>
      <w:r>
        <w:rPr>
          <w:b/>
          <w:bCs/>
        </w:rPr>
        <w:t xml:space="preserve">sensitive</w:t>
      </w:r>
      <w:r>
        <w:t xml:space="preserve"> </w:t>
      </w:r>
      <w:r>
        <w:t xml:space="preserve">an individual’s race/ethnic origin, marital status, age, religious/philosophical/political affiliations, health, education, genetic or sexual life, and government-issued identifiers, and gives biometric data special status. Setnayan processes the following sensitive categories, each on the noted basis: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Sensitive category</w:t>
            </w:r>
          </w:p>
        </w:tc>
        <w:tc>
          <w:tcPr/>
          <w:p>
            <w:pPr>
              <w:pStyle w:val="Compact"/>
            </w:pPr>
            <w:r>
              <w:t xml:space="preserve">Where it appears</w:t>
            </w:r>
          </w:p>
        </w:tc>
        <w:tc>
          <w:tcPr/>
          <w:p>
            <w:pPr>
              <w:pStyle w:val="Compact"/>
            </w:pPr>
            <w:r>
              <w:t xml:space="preserve">Basis</w:t>
            </w:r>
          </w:p>
        </w:tc>
        <w:tc>
          <w:tcPr/>
          <w:p>
            <w:pPr>
              <w:pStyle w:val="Compact"/>
            </w:pPr>
            <w:r>
              <w:t xml:space="preserve">Safeguards</w:t>
            </w:r>
          </w:p>
        </w:tc>
      </w:tr>
      <w:tr>
        <w:tc>
          <w:tcPr/>
          <w:p>
            <w:pPr>
              <w:pStyle w:val="Compact"/>
            </w:pPr>
            <w:r>
              <w:rPr>
                <w:b/>
                <w:bCs/>
              </w:rPr>
              <w:t xml:space="preserve">Religion / faith</w:t>
            </w:r>
          </w:p>
        </w:tc>
        <w:tc>
          <w:tcPr/>
          <w:p>
            <w:pPr>
              <w:pStyle w:val="Compact"/>
            </w:pPr>
            <w:r>
              <w:t xml:space="preserve">Self-profile</w:t>
            </w:r>
            <w:r>
              <w:t xml:space="preserve"> </w:t>
            </w:r>
            <w:r>
              <w:rPr>
                <w:rStyle w:val="VerbatimChar"/>
              </w:rPr>
              <w:t xml:space="preserve">religion</w:t>
            </w:r>
            <w:r>
              <w:t xml:space="preserve"> </w:t>
            </w:r>
            <w:r>
              <w:t xml:space="preserve">(ROPA 2); wedding</w:t>
            </w:r>
            <w:r>
              <w:t xml:space="preserve"> </w:t>
            </w:r>
            <w:r>
              <w:rPr>
                <w:b/>
                <w:bCs/>
              </w:rPr>
              <w:t xml:space="preserve">ceremony rite</w:t>
            </w:r>
            <w:r>
              <w:t xml:space="preserve"> </w:t>
            </w:r>
            <w:r>
              <w:t xml:space="preserve">and Islamic-rite fields (mahr, seating posture, wali/witness/imam roles) and Chinese/Tsinoy rite (ROPA 4); dependent’s religion (ROPA 5)</w:t>
            </w:r>
          </w:p>
        </w:tc>
        <w:tc>
          <w:tcPr/>
          <w:p>
            <w:pPr>
              <w:pStyle w:val="Compact"/>
            </w:pPr>
            <w:r>
              <w:t xml:space="preserve">§ 13(a) explicit consent (self / guardian), timestamped where captured at profile level</w:t>
            </w:r>
          </w:p>
        </w:tc>
        <w:tc>
          <w:tcPr/>
          <w:p>
            <w:pPr>
              <w:pStyle w:val="Compact"/>
            </w:pPr>
            <w:r>
              <w:t xml:space="preserve">Optional; withdrawable; never sold or used for advertising; faith surfaced only to the couple’s own event workspace</w:t>
            </w:r>
          </w:p>
        </w:tc>
      </w:tr>
      <w:tr>
        <w:tc>
          <w:tcPr/>
          <w:p>
            <w:pPr>
              <w:pStyle w:val="Compact"/>
            </w:pPr>
            <w:r>
              <w:rPr>
                <w:b/>
                <w:bCs/>
              </w:rPr>
              <w:t xml:space="preserve">Marital / civil status</w:t>
            </w:r>
          </w:p>
        </w:tc>
        <w:tc>
          <w:tcPr/>
          <w:p>
            <w:pPr>
              <w:pStyle w:val="Compact"/>
            </w:pPr>
            <w:r>
              <w:t xml:space="preserve">Self-profile</w:t>
            </w:r>
            <w:r>
              <w:t xml:space="preserve"> </w:t>
            </w:r>
            <w:r>
              <w:rPr>
                <w:rStyle w:val="VerbatimChar"/>
              </w:rPr>
              <w:t xml:space="preserve">civil_status</w:t>
            </w:r>
            <w:r>
              <w:t xml:space="preserve"> </w:t>
            </w:r>
            <w:r>
              <w:t xml:space="preserve">(ROPA 2)</w:t>
            </w:r>
          </w:p>
        </w:tc>
        <w:tc>
          <w:tcPr/>
          <w:p>
            <w:pPr>
              <w:pStyle w:val="Compact"/>
            </w:pPr>
            <w:r>
              <w:t xml:space="preserve">§ 13(a) explicit consent, timestamped</w:t>
            </w:r>
          </w:p>
        </w:tc>
        <w:tc>
          <w:tcPr/>
          <w:p>
            <w:pPr>
              <w:pStyle w:val="Compact"/>
            </w:pPr>
            <w:r>
              <w:t xml:space="preserve">Optional, reference-only</w:t>
            </w:r>
          </w:p>
        </w:tc>
      </w:tr>
      <w:tr>
        <w:tc>
          <w:tcPr/>
          <w:p>
            <w:pPr>
              <w:pStyle w:val="Compact"/>
            </w:pPr>
            <w:r>
              <w:rPr>
                <w:b/>
                <w:bCs/>
              </w:rPr>
              <w:t xml:space="preserve">Age / minors’ data</w:t>
            </w:r>
          </w:p>
        </w:tc>
        <w:tc>
          <w:tcPr/>
          <w:p>
            <w:pPr>
              <w:pStyle w:val="Compact"/>
            </w:pPr>
            <w:r>
              <w:t xml:space="preserve">A</w:t>
            </w:r>
            <w:r>
              <w:t xml:space="preserve"> </w:t>
            </w:r>
            <w:r>
              <w:rPr>
                <w:b/>
                <w:bCs/>
              </w:rPr>
              <w:t xml:space="preserve">person</w:t>
            </w:r>
            <w:r>
              <w:t xml:space="preserve">-dependent’s</w:t>
            </w:r>
            <w:r>
              <w:t xml:space="preserve"> </w:t>
            </w:r>
            <w:r>
              <w:rPr>
                <w:b/>
                <w:bCs/>
              </w:rPr>
              <w:t xml:space="preserve">birth date</w:t>
            </w:r>
            <w:r>
              <w:t xml:space="preserve"> </w:t>
            </w:r>
            <w:r>
              <w:t xml:space="preserve">— only</w:t>
            </w:r>
            <w:r>
              <w:t xml:space="preserve"> </w:t>
            </w:r>
            <w:r>
              <w:rPr>
                <w:rStyle w:val="VerbatimChar"/>
              </w:rPr>
              <w:t xml:space="preserve">kind=person</w:t>
            </w:r>
            <w:r>
              <w:t xml:space="preserve">, and only a child (&lt;18) or elder (&gt;50); pets/other excluded (ROPA 5); christening</w:t>
            </w:r>
            <w:r>
              <w:t xml:space="preserve"> </w:t>
            </w:r>
            <w:r>
              <w:rPr>
                <w:b/>
                <w:bCs/>
              </w:rPr>
              <w:t xml:space="preserve">child birth date + gender</w:t>
            </w:r>
            <w:r>
              <w:t xml:space="preserve">; birthday</w:t>
            </w:r>
            <w:r>
              <w:t xml:space="preserve"> </w:t>
            </w:r>
            <w:r>
              <w:rPr>
                <w:b/>
                <w:bCs/>
              </w:rPr>
              <w:t xml:space="preserve">celebrant age</w:t>
            </w:r>
            <w:r>
              <w:t xml:space="preserve"> </w:t>
            </w:r>
            <w:r>
              <w:t xml:space="preserve">(ROPA 4)</w:t>
            </w:r>
          </w:p>
        </w:tc>
        <w:tc>
          <w:tcPr/>
          <w:p>
            <w:pPr>
              <w:pStyle w:val="Compact"/>
            </w:pPr>
            <w:r>
              <w:t xml:space="preserve">§ 13(a) guardian consent; § 12(b) contract</w:t>
            </w:r>
          </w:p>
        </w:tc>
        <w:tc>
          <w:tcPr/>
          <w:p>
            <w:pPr>
              <w:pStyle w:val="Compact"/>
            </w:pPr>
            <w:r>
              <w:t xml:space="preserve">Minors’ data arises only where the responsible adult enters a child — it is</w:t>
            </w:r>
            <w:r>
              <w:t xml:space="preserve"> </w:t>
            </w:r>
            <w:r>
              <w:rPr>
                <w:b/>
                <w:bCs/>
              </w:rPr>
              <w:t xml:space="preserve">not the defining purpose</w:t>
            </w:r>
            <w:r>
              <w:t xml:space="preserve"> </w:t>
            </w:r>
            <w:r>
              <w:t xml:space="preserve">of the dependents table; heightened-care handling</w:t>
            </w:r>
          </w:p>
        </w:tc>
      </w:tr>
      <w:tr>
        <w:tc>
          <w:tcPr/>
          <w:p>
            <w:pPr>
              <w:pStyle w:val="Compact"/>
            </w:pPr>
            <w:r>
              <w:rPr>
                <w:b/>
                <w:bCs/>
              </w:rPr>
              <w:t xml:space="preserve">Health-adjacent</w:t>
            </w:r>
          </w:p>
        </w:tc>
        <w:tc>
          <w:tcPr/>
          <w:p>
            <w:pPr>
              <w:pStyle w:val="Compact"/>
            </w:pPr>
            <w:r>
              <w:t xml:space="preserve">Guest</w:t>
            </w:r>
            <w:r>
              <w:t xml:space="preserve"> </w:t>
            </w:r>
            <w:r>
              <w:rPr>
                <w:b/>
                <w:bCs/>
              </w:rPr>
              <w:t xml:space="preserve">dietary restrictions / meal preference</w:t>
            </w:r>
            <w:r>
              <w:t xml:space="preserve"> </w:t>
            </w:r>
            <w:r>
              <w:t xml:space="preserve">(ROPA 13); gender-reveal</w:t>
            </w:r>
            <w:r>
              <w:t xml:space="preserve"> </w:t>
            </w:r>
            <w:r>
              <w:rPr>
                <w:b/>
                <w:bCs/>
              </w:rPr>
              <w:t xml:space="preserve">expected due-date</w:t>
            </w:r>
            <w:r>
              <w:t xml:space="preserve"> </w:t>
            </w:r>
            <w:r>
              <w:t xml:space="preserve">(ROPA 4)</w:t>
            </w:r>
          </w:p>
        </w:tc>
        <w:tc>
          <w:tcPr/>
          <w:p>
            <w:pPr>
              <w:pStyle w:val="Compact"/>
            </w:pPr>
            <w:r>
              <w:t xml:space="preserve">§ 13(a) consent</w:t>
            </w:r>
          </w:p>
        </w:tc>
        <w:tc>
          <w:tcPr/>
          <w:p>
            <w:pPr>
              <w:pStyle w:val="Compact"/>
            </w:pPr>
            <w:r>
              <w:t xml:space="preserve">Collected only where the event requires it; not used beyond the event</w:t>
            </w:r>
          </w:p>
        </w:tc>
      </w:tr>
      <w:tr>
        <w:tc>
          <w:tcPr/>
          <w:p>
            <w:pPr>
              <w:pStyle w:val="Compact"/>
            </w:pPr>
            <w:r>
              <w:rPr>
                <w:b/>
                <w:bCs/>
              </w:rPr>
              <w:t xml:space="preserve">Gender / sex</w:t>
            </w:r>
          </w:p>
        </w:tc>
        <w:tc>
          <w:tcPr/>
          <w:p>
            <w:pPr>
              <w:pStyle w:val="Compact"/>
            </w:pPr>
            <w:r>
              <w:t xml:space="preserve">Self-profile</w:t>
            </w:r>
            <w:r>
              <w:t xml:space="preserve"> </w:t>
            </w:r>
            <w:r>
              <w:rPr>
                <w:rStyle w:val="VerbatimChar"/>
              </w:rPr>
              <w:t xml:space="preserve">sex</w:t>
            </w:r>
            <w:r>
              <w:t xml:space="preserve"> </w:t>
            </w:r>
            <w:r>
              <w:t xml:space="preserve">(ROPA 2); dependent / honoree sex (ROPA 4-5)</w:t>
            </w:r>
          </w:p>
        </w:tc>
        <w:tc>
          <w:tcPr/>
          <w:p>
            <w:pPr>
              <w:pStyle w:val="Compact"/>
            </w:pPr>
            <w:r>
              <w:t xml:space="preserve">§ 13(a) consent, timestamped at profile level</w:t>
            </w:r>
          </w:p>
        </w:tc>
        <w:tc>
          <w:tcPr/>
          <w:p>
            <w:pPr>
              <w:pStyle w:val="Compact"/>
            </w:pPr>
            <w:r>
              <w:t xml:space="preserve">Optional; reference-only</w:t>
            </w:r>
          </w:p>
        </w:tc>
      </w:tr>
      <w:tr>
        <w:tc>
          <w:tcPr/>
          <w:p>
            <w:pPr>
              <w:pStyle w:val="Compact"/>
            </w:pPr>
            <w:r>
              <w:rPr>
                <w:b/>
                <w:bCs/>
              </w:rPr>
              <w:t xml:space="preserve">Biometric — facial geometry</w:t>
            </w:r>
          </w:p>
        </w:tc>
        <w:tc>
          <w:tcPr/>
          <w:p>
            <w:pPr>
              <w:pStyle w:val="Compact"/>
            </w:pPr>
            <w:r>
              <w:t xml:space="preserve">Optional per-event photo-matching (ROPA 11)</w:t>
            </w:r>
          </w:p>
        </w:tc>
        <w:tc>
          <w:tcPr/>
          <w:p>
            <w:pPr>
              <w:pStyle w:val="Compact"/>
            </w:pPr>
            <w:r>
              <w:t xml:space="preserve">§ 13(a) explicit opt-in consent, timestamped</w:t>
            </w:r>
          </w:p>
        </w:tc>
        <w:tc>
          <w:tcPr/>
          <w:p>
            <w:pPr>
              <w:pStyle w:val="Compact"/>
            </w:pPr>
            <w:r>
              <w:t xml:space="preserve">Adults 18+;</w:t>
            </w:r>
            <w:r>
              <w:t xml:space="preserve"> </w:t>
            </w:r>
            <w:r>
              <w:rPr>
                <w:b/>
                <w:bCs/>
              </w:rPr>
              <w:t xml:space="preserve">scoped to a single event, never reused across events</w:t>
            </w:r>
            <w:r>
              <w:t xml:space="preserve">; consent withdrawal permanently deletes the vector + selfie;</w:t>
            </w:r>
            <w:r>
              <w:t xml:space="preserve"> </w:t>
            </w:r>
            <w:r>
              <w:rPr>
                <w:b/>
                <w:bCs/>
              </w:rPr>
              <w:t xml:space="preserve">vector storage currently dormant</w:t>
            </w:r>
            <w:r>
              <w:t xml:space="preserve"> </w:t>
            </w:r>
            <w:r>
              <w:t xml:space="preserve">(enrolment image-only until the model activates)</w:t>
            </w:r>
          </w:p>
        </w:tc>
      </w:tr>
      <w:tr>
        <w:tc>
          <w:tcPr/>
          <w:p>
            <w:pPr>
              <w:pStyle w:val="Compact"/>
            </w:pPr>
            <w:r>
              <w:rPr>
                <w:b/>
                <w:bCs/>
              </w:rPr>
              <w:t xml:space="preserve">Government ID + sanctions/PEP screening</w:t>
            </w:r>
          </w:p>
        </w:tc>
        <w:tc>
          <w:tcPr/>
          <w:p>
            <w:pPr>
              <w:pStyle w:val="Compact"/>
            </w:pPr>
            <w:r>
              <w:t xml:space="preserve">Vendor verification (ROPA 10)</w:t>
            </w:r>
          </w:p>
        </w:tc>
        <w:tc>
          <w:tcPr/>
          <w:p>
            <w:pPr>
              <w:pStyle w:val="Compact"/>
            </w:pPr>
            <w:r>
              <w:t xml:space="preserve">§ 12(b)/(c)/(f)</w:t>
            </w:r>
          </w:p>
        </w:tc>
        <w:tc>
          <w:tcPr/>
          <w:p>
            <w:pPr>
              <w:pStyle w:val="Compact"/>
            </w:pPr>
            <w:r>
              <w:t xml:space="preserve">Vendor business owners only; restricted-access; retained to the statutory floor then disposed</w:t>
            </w:r>
          </w:p>
        </w:tc>
      </w:tr>
    </w:tbl>
    <w:p>
      <w:pPr>
        <w:pStyle w:val="BodyText"/>
      </w:pPr>
      <w:r>
        <w:t xml:space="preserve">Users who provide none of the optional categories (religion, civil status, gender, biometric enrolment, dependents) supply no sensitive personal information beyond what a given event type strictly requires. The presence of these sensitive categories is a basis for</w:t>
      </w:r>
      <w:r>
        <w:t xml:space="preserve"> </w:t>
      </w:r>
      <w:r>
        <w:rPr>
          <w:b/>
          <w:bCs/>
        </w:rPr>
        <w:t xml:space="preserve">NPC registration</w:t>
      </w:r>
      <w:r>
        <w:t xml:space="preserve"> </w:t>
      </w:r>
      <w:r>
        <w:t xml:space="preserve">(§ 5 IRR registration triggers).</w:t>
      </w:r>
    </w:p>
    <w:p>
      <w:pPr>
        <w:pStyle w:val="BlockText"/>
      </w:pPr>
      <w:r>
        <w:rPr>
          <w:b/>
          <w:bCs/>
        </w:rPr>
        <w:t xml:space="preserve">Note (2026-07-13):</w:t>
      </w:r>
      <w:r>
        <w:t xml:space="preserve"> </w:t>
      </w:r>
      <w:r>
        <w:t xml:space="preserve">the public notice</w:t>
      </w:r>
      <w:r>
        <w:t xml:space="preserve"> </w:t>
      </w:r>
      <w:r>
        <w:rPr>
          <w:b/>
          <w:bCs/>
        </w:rPr>
        <w:t xml:space="preserve">already</w:t>
      </w:r>
      <w:r>
        <w:t xml:space="preserve"> </w:t>
      </w:r>
      <w:r>
        <w:t xml:space="preserve">carries an accurate opt-in</w:t>
      </w:r>
      <w:r>
        <w:t xml:space="preserve"> </w:t>
      </w:r>
      <w:r>
        <w:rPr>
          <w:b/>
          <w:bCs/>
        </w:rPr>
        <w:t xml:space="preserve">Biometric data (facial recognition)</w:t>
      </w:r>
      <w:r>
        <w:t xml:space="preserve"> </w:t>
      </w:r>
      <w:r>
        <w:t xml:space="preserve">section (explicit consent, adults 18+, per-event scope, withdrawal → permanent deletion) and a</w:t>
      </w:r>
      <w:r>
        <w:t xml:space="preserve"> </w:t>
      </w:r>
      <w:r>
        <w:rPr>
          <w:b/>
          <w:bCs/>
        </w:rPr>
        <w:t xml:space="preserve">Device identifier (fraud prevention)</w:t>
      </w:r>
      <w:r>
        <w:t xml:space="preserve"> </w:t>
      </w:r>
      <w:r>
        <w:t xml:space="preserve">section — the earlier</w:t>
      </w:r>
      <w:r>
        <w:t xml:space="preserve"> </w:t>
      </w:r>
      <w:r>
        <w:t xml:space="preserve">“notice denies biometrics / omits the device identifier”</w:t>
      </w:r>
      <w:r>
        <w:t xml:space="preserve"> </w:t>
      </w:r>
      <w:r>
        <w:t xml:space="preserve">concern came from a</w:t>
      </w:r>
      <w:r>
        <w:t xml:space="preserve"> </w:t>
      </w:r>
      <w:r>
        <w:rPr>
          <w:b/>
          <w:bCs/>
        </w:rPr>
        <w:t xml:space="preserve">stale local checkout</w:t>
      </w:r>
      <w:r>
        <w:t xml:space="preserve">, not the deployed</w:t>
      </w:r>
      <w:r>
        <w:t xml:space="preserve"> </w:t>
      </w:r>
      <w:r>
        <w:rPr>
          <w:rStyle w:val="VerbatimChar"/>
        </w:rPr>
        <w:t xml:space="preserve">origin/main</w:t>
      </w:r>
      <w:r>
        <w:t xml:space="preserve">. Face-vector storage is currently</w:t>
      </w:r>
      <w:r>
        <w:t xml:space="preserve"> </w:t>
      </w:r>
      <w:r>
        <w:rPr>
          <w:b/>
          <w:bCs/>
        </w:rPr>
        <w:t xml:space="preserve">dormant</w:t>
      </w:r>
      <w:r>
        <w:t xml:space="preserve"> </w:t>
      </w:r>
      <w:r>
        <w:t xml:space="preserve">(enrolment image-only until the matching model activates), which the section’s opt-in framing already accommodates.</w:t>
      </w:r>
    </w:p>
    <w:p>
      <w:r>
        <w:pict>
          <v:rect style="width:0;height:1.5pt" o:hralign="center" o:hrstd="t" o:hr="t"/>
        </w:pict>
      </w:r>
    </w:p>
    <w:bookmarkEnd w:id="19"/>
    <w:bookmarkStart w:id="20" w:name="data-subject-rights-ra-10173-16"/>
    <w:p>
      <w:pPr>
        <w:pStyle w:val="Heading2"/>
      </w:pPr>
      <w:r>
        <w:t xml:space="preserve">6. Data Subject Rights (RA 10173 § 16)</w:t>
      </w:r>
    </w:p>
    <w:p>
      <w:pPr>
        <w:pStyle w:val="FirstParagraph"/>
      </w:pPr>
      <w:r>
        <w:t xml:space="preserve">Setnayan honors the rights to be</w:t>
      </w:r>
      <w:r>
        <w:t xml:space="preserve"> </w:t>
      </w:r>
      <w:r>
        <w:rPr>
          <w:b/>
          <w:bCs/>
        </w:rPr>
        <w:t xml:space="preserve">informed, access, object, rectify/correct, erase or block, data portability, and to lodge a complaint / claim damages</w:t>
      </w:r>
      <w:r>
        <w:t xml:space="preserve">. Operationally:</w:t>
      </w:r>
    </w:p>
    <w:p>
      <w:pPr>
        <w:pStyle w:val="Compact"/>
        <w:numPr>
          <w:ilvl w:val="0"/>
          <w:numId w:val="1003"/>
        </w:numPr>
      </w:pPr>
      <w:r>
        <w:rPr>
          <w:b/>
          <w:bCs/>
        </w:rPr>
        <w:t xml:space="preserve">Access + portability:</w:t>
      </w:r>
      <w:r>
        <w:t xml:space="preserve"> </w:t>
      </w:r>
      <w:r>
        <w:t xml:space="preserve">a self-service</w:t>
      </w:r>
      <w:r>
        <w:t xml:space="preserve"> </w:t>
      </w:r>
      <w:r>
        <w:t xml:space="preserve">“download my data”</w:t>
      </w:r>
      <w:r>
        <w:t xml:space="preserve"> </w:t>
      </w:r>
      <w:r>
        <w:t xml:space="preserve">export (iteration 0025) that includes the sensitive-personalization and family-graph fields.</w:t>
      </w:r>
    </w:p>
    <w:p>
      <w:pPr>
        <w:pStyle w:val="Compact"/>
        <w:numPr>
          <w:ilvl w:val="0"/>
          <w:numId w:val="1003"/>
        </w:numPr>
      </w:pPr>
      <w:r>
        <w:rPr>
          <w:b/>
          <w:bCs/>
        </w:rPr>
        <w:t xml:space="preserve">Erasure/blocking:</w:t>
      </w:r>
      <w:r>
        <w:t xml:space="preserve"> </w:t>
      </w:r>
      <w:r>
        <w:t xml:space="preserve">soft-delete → hard-delete of account data, subject only to the legal-hold carve-out (§ 3). Withdrawing religion / civil status / gender / biometric / dependent consent deletes the corresponding data.</w:t>
      </w:r>
    </w:p>
    <w:p>
      <w:pPr>
        <w:pStyle w:val="Compact"/>
        <w:numPr>
          <w:ilvl w:val="0"/>
          <w:numId w:val="1003"/>
        </w:numPr>
      </w:pPr>
      <w:r>
        <w:rPr>
          <w:b/>
          <w:bCs/>
        </w:rPr>
        <w:t xml:space="preserve">Objection/withdrawal:</w:t>
      </w:r>
      <w:r>
        <w:t xml:space="preserve"> </w:t>
      </w:r>
      <w:r>
        <w:t xml:space="preserve">analytics opt-out (cookie consent + profile toggle); face-recognition consent revocation (deletes the vector); marketing-preference controls.</w:t>
      </w:r>
    </w:p>
    <w:p>
      <w:pPr>
        <w:pStyle w:val="Compact"/>
        <w:numPr>
          <w:ilvl w:val="0"/>
          <w:numId w:val="1003"/>
        </w:numPr>
      </w:pPr>
      <w:r>
        <w:rPr>
          <w:b/>
          <w:bCs/>
        </w:rPr>
        <w:t xml:space="preserve">Correction:</w:t>
      </w:r>
      <w:r>
        <w:t xml:space="preserve"> </w:t>
      </w:r>
      <w:r>
        <w:t xml:space="preserve">profile/settings self-edit.</w:t>
      </w:r>
    </w:p>
    <w:p>
      <w:pPr>
        <w:pStyle w:val="Compact"/>
        <w:numPr>
          <w:ilvl w:val="0"/>
          <w:numId w:val="1003"/>
        </w:numPr>
      </w:pPr>
      <w:r>
        <w:rPr>
          <w:b/>
          <w:bCs/>
        </w:rPr>
        <w:t xml:space="preserve">Complaints:</w:t>
      </w:r>
      <w:r>
        <w:t xml:space="preserve"> </w:t>
      </w:r>
      <w:r>
        <w:t xml:space="preserve">routed to the DPO at dpo@setnayan.com;</w:t>
      </w:r>
      <w:r>
        <w:t xml:space="preserve"> </w:t>
      </w:r>
      <w:r>
        <w:rPr>
          <w:b/>
          <w:bCs/>
        </w:rPr>
        <w:t xml:space="preserve">15-business-day</w:t>
      </w:r>
      <w:r>
        <w:t xml:space="preserve"> </w:t>
      </w:r>
      <w:r>
        <w:t xml:space="preserve">response SLA; the data subject retains the right to complain to the NPC.</w:t>
      </w:r>
    </w:p>
    <w:p>
      <w:r>
        <w:pict>
          <v:rect style="width:0;height:1.5pt" o:hralign="center" o:hrstd="t" o:hr="t"/>
        </w:pict>
      </w:r>
    </w:p>
    <w:bookmarkEnd w:id="20"/>
    <w:bookmarkStart w:id="21" w:name="Xca9228affc6a59c3df1e241bd094e3c78884ce1"/>
    <w:p>
      <w:pPr>
        <w:pStyle w:val="Heading2"/>
      </w:pPr>
      <w:r>
        <w:t xml:space="preserve">7. Subprocessors and Cross-Border Transfers (§ 21)</w:t>
      </w:r>
    </w:p>
    <w:p>
      <w:pPr>
        <w:pStyle w:val="FirstParagraph"/>
      </w:pPr>
      <w:r>
        <w:t xml:space="preserve">Setnayan uses the following subprocessors. Cross-border transfers rely on § 21 and each provider’s adequacy/contractual commitments.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Subprocessor</w:t>
            </w:r>
          </w:p>
        </w:tc>
        <w:tc>
          <w:tcPr/>
          <w:p>
            <w:pPr>
              <w:pStyle w:val="Compact"/>
            </w:pPr>
            <w:r>
              <w:t xml:space="preserve">Function</w:t>
            </w:r>
          </w:p>
        </w:tc>
        <w:tc>
          <w:tcPr/>
          <w:p>
            <w:pPr>
              <w:pStyle w:val="Compact"/>
            </w:pPr>
            <w:r>
              <w:t xml:space="preserve">Location</w:t>
            </w:r>
          </w:p>
        </w:tc>
        <w:tc>
          <w:tcPr/>
          <w:p>
            <w:pPr>
              <w:pStyle w:val="Compact"/>
            </w:pPr>
            <w:r>
              <w:t xml:space="preserve">Notes</w:t>
            </w:r>
          </w:p>
        </w:tc>
      </w:tr>
      <w:tr>
        <w:tc>
          <w:tcPr/>
          <w:p>
            <w:pPr>
              <w:pStyle w:val="Compact"/>
            </w:pPr>
            <w:r>
              <w:t xml:space="preserve">Supabase</w:t>
            </w:r>
          </w:p>
        </w:tc>
        <w:tc>
          <w:tcPr/>
          <w:p>
            <w:pPr>
              <w:pStyle w:val="Compact"/>
            </w:pPr>
            <w:r>
              <w:t xml:space="preserve">Database + authentication</w:t>
            </w:r>
          </w:p>
        </w:tc>
        <w:tc>
          <w:tcPr/>
          <w:p>
            <w:pPr>
              <w:pStyle w:val="Compact"/>
            </w:pPr>
            <w:r>
              <w:t xml:space="preserve">Singapore</w:t>
            </w:r>
          </w:p>
        </w:tc>
        <w:tc>
          <w:tcPr/>
          <w:p>
            <w:pPr>
              <w:pStyle w:val="Compact"/>
            </w:pPr>
            <w:r>
              <w:t xml:space="preserve">Primary data store; RLS enforced</w:t>
            </w:r>
          </w:p>
        </w:tc>
      </w:tr>
      <w:tr>
        <w:tc>
          <w:tcPr/>
          <w:p>
            <w:pPr>
              <w:pStyle w:val="Compact"/>
            </w:pPr>
            <w:r>
              <w:t xml:space="preserve">Vercel</w:t>
            </w:r>
          </w:p>
        </w:tc>
        <w:tc>
          <w:tcPr/>
          <w:p>
            <w:pPr>
              <w:pStyle w:val="Compact"/>
            </w:pPr>
            <w:r>
              <w:t xml:space="preserve">Web application hosting</w:t>
            </w:r>
          </w:p>
        </w:tc>
        <w:tc>
          <w:tcPr/>
          <w:p>
            <w:pPr>
              <w:pStyle w:val="Compact"/>
            </w:pPr>
            <w:r>
              <w:t xml:space="preserve">United States</w:t>
            </w:r>
          </w:p>
        </w:tc>
        <w:tc>
          <w:tcPr/>
          <w:p>
            <w:pPr>
              <w:pStyle w:val="Compact"/>
            </w:pPr>
          </w:p>
        </w:tc>
      </w:tr>
      <w:tr>
        <w:tc>
          <w:tcPr/>
          <w:p>
            <w:pPr>
              <w:pStyle w:val="Compact"/>
            </w:pPr>
            <w:r>
              <w:t xml:space="preserve">Cloudflare</w:t>
            </w:r>
          </w:p>
        </w:tc>
        <w:tc>
          <w:tcPr/>
          <w:p>
            <w:pPr>
              <w:pStyle w:val="Compact"/>
            </w:pPr>
            <w:r>
              <w:t xml:space="preserve">CDN + R2 object storage (media)</w:t>
            </w:r>
          </w:p>
        </w:tc>
        <w:tc>
          <w:tcPr/>
          <w:p>
            <w:pPr>
              <w:pStyle w:val="Compact"/>
            </w:pPr>
            <w:r>
              <w:t xml:space="preserve">APAC / PH-region buckets</w:t>
            </w:r>
          </w:p>
        </w:tc>
        <w:tc>
          <w:tcPr/>
          <w:p>
            <w:pPr>
              <w:pStyle w:val="Compact"/>
            </w:pPr>
          </w:p>
        </w:tc>
      </w:tr>
      <w:tr>
        <w:tc>
          <w:tcPr/>
          <w:p>
            <w:pPr>
              <w:pStyle w:val="Compact"/>
            </w:pPr>
            <w:r>
              <w:t xml:space="preserve">Resend</w:t>
            </w:r>
          </w:p>
        </w:tc>
        <w:tc>
          <w:tcPr/>
          <w:p>
            <w:pPr>
              <w:pStyle w:val="Compact"/>
            </w:pPr>
            <w:r>
              <w:t xml:space="preserve">Transactional email</w:t>
            </w:r>
          </w:p>
        </w:tc>
        <w:tc>
          <w:tcPr/>
          <w:p>
            <w:pPr>
              <w:pStyle w:val="Compact"/>
            </w:pPr>
            <w:r>
              <w:t xml:space="preserve">United States</w:t>
            </w:r>
          </w:p>
        </w:tc>
        <w:tc>
          <w:tcPr/>
          <w:p>
            <w:pPr>
              <w:pStyle w:val="Compact"/>
            </w:pPr>
          </w:p>
        </w:tc>
      </w:tr>
      <w:tr>
        <w:tc>
          <w:tcPr/>
          <w:p>
            <w:pPr>
              <w:pStyle w:val="Compact"/>
            </w:pPr>
            <w:r>
              <w:t xml:space="preserve">Sentry</w:t>
            </w:r>
          </w:p>
        </w:tc>
        <w:tc>
          <w:tcPr/>
          <w:p>
            <w:pPr>
              <w:pStyle w:val="Compact"/>
            </w:pPr>
            <w:r>
              <w:t xml:space="preserve">Server-side error monitoring (stack traces only, no PII)</w:t>
            </w:r>
          </w:p>
        </w:tc>
        <w:tc>
          <w:tcPr/>
          <w:p>
            <w:pPr>
              <w:pStyle w:val="Compact"/>
            </w:pPr>
            <w:r>
              <w:t xml:space="preserve">United States</w:t>
            </w:r>
          </w:p>
        </w:tc>
        <w:tc>
          <w:tcPr/>
          <w:p>
            <w:pPr>
              <w:pStyle w:val="Compact"/>
            </w:pPr>
          </w:p>
        </w:tc>
      </w:tr>
      <w:tr>
        <w:tc>
          <w:tcPr/>
          <w:p>
            <w:pPr>
              <w:pStyle w:val="Compact"/>
            </w:pPr>
            <w:r>
              <w:t xml:space="preserve">PostHog Cloud</w:t>
            </w:r>
          </w:p>
        </w:tc>
        <w:tc>
          <w:tcPr/>
          <w:p>
            <w:pPr>
              <w:pStyle w:val="Compact"/>
            </w:pPr>
            <w:r>
              <w:t xml:space="preserve">Product analytics (cookie-consent opt-in; no personal identifiers)</w:t>
            </w:r>
          </w:p>
        </w:tc>
        <w:tc>
          <w:tcPr/>
          <w:p>
            <w:pPr>
              <w:pStyle w:val="Compact"/>
            </w:pPr>
            <w:r>
              <w:t xml:space="preserve">United States</w:t>
            </w:r>
          </w:p>
        </w:tc>
        <w:tc>
          <w:tcPr/>
          <w:p>
            <w:pPr>
              <w:pStyle w:val="Compact"/>
            </w:pPr>
          </w:p>
        </w:tc>
      </w:tr>
      <w:tr>
        <w:tc>
          <w:tcPr/>
          <w:p>
            <w:pPr>
              <w:pStyle w:val="Compact"/>
            </w:pPr>
            <w:r>
              <w:t xml:space="preserve">Anthropic</w:t>
            </w:r>
          </w:p>
        </w:tc>
        <w:tc>
          <w:tcPr/>
          <w:p>
            <w:pPr>
              <w:pStyle w:val="Compact"/>
            </w:pPr>
            <w:r>
              <w:t xml:space="preserve">AI features (deterministic-assist / optional AI)</w:t>
            </w:r>
          </w:p>
        </w:tc>
        <w:tc>
          <w:tcPr/>
          <w:p>
            <w:pPr>
              <w:pStyle w:val="Compact"/>
            </w:pPr>
            <w:r>
              <w:t xml:space="preserve">United States</w:t>
            </w:r>
          </w:p>
        </w:tc>
        <w:tc>
          <w:tcPr/>
          <w:p>
            <w:pPr>
              <w:pStyle w:val="Compact"/>
            </w:pPr>
            <w:r>
              <w:t xml:space="preserve">No training on user data</w:t>
            </w:r>
          </w:p>
        </w:tc>
      </w:tr>
      <w:tr>
        <w:tc>
          <w:tcPr/>
          <w:p>
            <w:pPr>
              <w:pStyle w:val="Compact"/>
            </w:pPr>
            <w:r>
              <w:t xml:space="preserve">Persona</w:t>
            </w:r>
          </w:p>
        </w:tc>
        <w:tc>
          <w:tcPr/>
          <w:p>
            <w:pPr>
              <w:pStyle w:val="Compact"/>
            </w:pPr>
            <w:r>
              <w:t xml:space="preserve">Vendor identity verification</w:t>
            </w:r>
          </w:p>
        </w:tc>
        <w:tc>
          <w:tcPr/>
          <w:p>
            <w:pPr>
              <w:pStyle w:val="Compact"/>
            </w:pPr>
            <w:r>
              <w:t xml:space="preserve">United States</w:t>
            </w:r>
          </w:p>
        </w:tc>
        <w:tc>
          <w:tcPr/>
          <w:p>
            <w:pPr>
              <w:pStyle w:val="Compact"/>
            </w:pPr>
            <w:r>
              <w:t xml:space="preserve">Automated verification</w:t>
            </w:r>
            <w:r>
              <w:t xml:space="preserve"> </w:t>
            </w:r>
            <w:r>
              <w:rPr>
                <w:b/>
                <w:bCs/>
              </w:rPr>
              <w:t xml:space="preserve">staged</w:t>
            </w:r>
            <w:r>
              <w:t xml:space="preserve">; vendor documents currently reviewed by the Setnayan admin team. No data flows to Persona until activation (disclosed before it begins)</w:t>
            </w:r>
          </w:p>
        </w:tc>
      </w:tr>
      <w:tr>
        <w:tc>
          <w:tcPr/>
          <w:p>
            <w:pPr>
              <w:pStyle w:val="Compact"/>
            </w:pPr>
            <w:r>
              <w:t xml:space="preserve">Google LLC</w:t>
            </w:r>
          </w:p>
        </w:tc>
        <w:tc>
          <w:tcPr/>
          <w:p>
            <w:pPr>
              <w:pStyle w:val="Compact"/>
            </w:pPr>
            <w:r>
              <w:t xml:space="preserve">Google Drive / YouTube (only when the user connects the optional integration)</w:t>
            </w:r>
          </w:p>
        </w:tc>
        <w:tc>
          <w:tcPr/>
          <w:p>
            <w:pPr>
              <w:pStyle w:val="Compact"/>
            </w:pPr>
            <w:r>
              <w:t xml:space="preserve">United States</w:t>
            </w:r>
          </w:p>
        </w:tc>
        <w:tc>
          <w:tcPr/>
          <w:p>
            <w:pPr>
              <w:pStyle w:val="Compact"/>
            </w:pPr>
            <w:r>
              <w:t xml:space="preserve">OAuth, opt-in; Google</w:t>
            </w:r>
            <w:r>
              <w:t xml:space="preserve"> </w:t>
            </w:r>
            <w:r>
              <w:rPr>
                <w:b/>
                <w:bCs/>
              </w:rPr>
              <w:t xml:space="preserve">Limited Use</w:t>
            </w:r>
            <w:r>
              <w:t xml:space="preserve"> </w:t>
            </w:r>
            <w:r>
              <w:t xml:space="preserve">commitment (no AI/ML training)</w:t>
            </w:r>
          </w:p>
        </w:tc>
      </w:tr>
      <w:tr>
        <w:tc>
          <w:tcPr/>
          <w:p>
            <w:pPr>
              <w:pStyle w:val="Compact"/>
            </w:pPr>
            <w:r>
              <w:t xml:space="preserve">TikTok</w:t>
            </w:r>
          </w:p>
        </w:tc>
        <w:tc>
          <w:tcPr/>
          <w:p>
            <w:pPr>
              <w:pStyle w:val="Compact"/>
            </w:pPr>
            <w:r>
              <w:t xml:space="preserve">Patiktok video publish (only when the user connects the optional integration)</w:t>
            </w:r>
          </w:p>
        </w:tc>
        <w:tc>
          <w:tcPr/>
          <w:p>
            <w:pPr>
              <w:pStyle w:val="Compact"/>
            </w:pPr>
            <w:r>
              <w:t xml:space="preserve">United States / Singapore</w:t>
            </w:r>
          </w:p>
        </w:tc>
        <w:tc>
          <w:tcPr/>
          <w:p>
            <w:pPr>
              <w:pStyle w:val="Compact"/>
            </w:pPr>
            <w:r>
              <w:t xml:space="preserve">OAuth, opt-in; scopes limited to profile + video upload/publish</w:t>
            </w:r>
          </w:p>
        </w:tc>
      </w:tr>
      <w:tr>
        <w:tc>
          <w:tcPr/>
          <w:p>
            <w:pPr>
              <w:pStyle w:val="Compact"/>
            </w:pPr>
            <w:r>
              <w:t xml:space="preserve">Suno</w:t>
            </w:r>
          </w:p>
        </w:tc>
        <w:tc>
          <w:tcPr/>
          <w:p>
            <w:pPr>
              <w:pStyle w:val="Compact"/>
            </w:pPr>
            <w:r>
              <w:t xml:space="preserve">AI music generation for Pakanta / rendered videos</w:t>
            </w:r>
          </w:p>
        </w:tc>
        <w:tc>
          <w:tcPr/>
          <w:p>
            <w:pPr>
              <w:pStyle w:val="Compact"/>
            </w:pPr>
            <w:r>
              <w:t xml:space="preserve">United States</w:t>
            </w:r>
          </w:p>
        </w:tc>
        <w:tc>
          <w:tcPr/>
          <w:p>
            <w:pPr>
              <w:pStyle w:val="Compact"/>
            </w:pPr>
            <w:r>
              <w:t xml:space="preserve">Owned-catalogue generation; no personal data in prompts</w:t>
            </w:r>
          </w:p>
        </w:tc>
      </w:tr>
    </w:tbl>
    <w:p>
      <w:pPr>
        <w:pStyle w:val="BodyText"/>
      </w:pPr>
      <w:r>
        <w:t xml:space="preserve">Cross-border destinations disclosed: Singapore (Supabase), United States (Vercel, Cloudflare account plane, Resend, Sentry, PostHog, Anthropic, Persona, Google, Suno), United States/Singapore (TikTok). Media objects reside in Cloudflare’s PH-region R2 buckets.</w:t>
      </w:r>
    </w:p>
    <w:p>
      <w:r>
        <w:pict>
          <v:rect style="width:0;height:1.5pt" o:hralign="center" o:hrstd="t" o:hr="t"/>
        </w:pict>
      </w:r>
    </w:p>
    <w:bookmarkEnd w:id="21"/>
    <w:bookmarkStart w:id="23" w:name="X07f43e45ebe2a1d07297042eaacd61adf62238e"/>
    <w:p>
      <w:pPr>
        <w:pStyle w:val="Heading2"/>
      </w:pPr>
      <w:r>
        <w:t xml:space="preserve">8. Organizational, Physical, and Technical Security Measures</w:t>
      </w:r>
    </w:p>
    <w:p>
      <w:pPr>
        <w:pStyle w:val="Compact"/>
        <w:numPr>
          <w:ilvl w:val="0"/>
          <w:numId w:val="1004"/>
        </w:numPr>
      </w:pPr>
      <w:r>
        <w:rPr>
          <w:b/>
          <w:bCs/>
        </w:rPr>
        <w:t xml:space="preserve">Access control:</w:t>
      </w:r>
      <w:r>
        <w:t xml:space="preserve"> </w:t>
      </w:r>
      <w:r>
        <w:t xml:space="preserve">database Row-Level Security (RLS) on all tables (enabled at table creation); role-scoped access; two-admin approval gates for major administrative decisions.</w:t>
      </w:r>
    </w:p>
    <w:p>
      <w:pPr>
        <w:pStyle w:val="Compact"/>
        <w:numPr>
          <w:ilvl w:val="0"/>
          <w:numId w:val="1004"/>
        </w:numPr>
      </w:pPr>
      <w:r>
        <w:rPr>
          <w:b/>
          <w:bCs/>
        </w:rPr>
        <w:t xml:space="preserve">Cryptographic controls:</w:t>
      </w:r>
      <w:r>
        <w:t xml:space="preserve"> </w:t>
      </w:r>
      <w:r>
        <w:t xml:space="preserve">passwords hashed; the device identifier is a</w:t>
      </w:r>
      <w:r>
        <w:t xml:space="preserve"> </w:t>
      </w:r>
      <w:r>
        <w:rPr>
          <w:b/>
          <w:bCs/>
        </w:rPr>
        <w:t xml:space="preserve">one-way salted hash</w:t>
      </w:r>
      <w:r>
        <w:t xml:space="preserve"> </w:t>
      </w:r>
      <w:r>
        <w:t xml:space="preserve">(raw value never stored); OAuth grants encrypted at rest; transport over TLS.</w:t>
      </w:r>
    </w:p>
    <w:p>
      <w:pPr>
        <w:pStyle w:val="Compact"/>
        <w:numPr>
          <w:ilvl w:val="0"/>
          <w:numId w:val="1004"/>
        </w:numPr>
      </w:pPr>
      <w:r>
        <w:rPr>
          <w:b/>
          <w:bCs/>
        </w:rPr>
        <w:t xml:space="preserve">Data minimization:</w:t>
      </w:r>
      <w:r>
        <w:t xml:space="preserve"> </w:t>
      </w:r>
      <w:r>
        <w:t xml:space="preserve">analytics carry no personal identifiers; error logs exclude message bodies, payment details, and guest data; IP truncated to 3 octets for QR-scan events.</w:t>
      </w:r>
      <w:r>
        <w:t xml:space="preserve"> </w:t>
      </w:r>
      <w:r>
        <w:rPr>
          <w:i/>
          <w:iCs/>
        </w:rPr>
        <w:t xml:space="preserve">(Minimization item: some aggregate dashboard views load fuller records than they display — a tightening pass is tracked in §11.)</w:t>
      </w:r>
    </w:p>
    <w:p>
      <w:pPr>
        <w:pStyle w:val="Compact"/>
        <w:numPr>
          <w:ilvl w:val="0"/>
          <w:numId w:val="1004"/>
        </w:numPr>
      </w:pPr>
      <w:r>
        <w:rPr>
          <w:b/>
          <w:bCs/>
        </w:rPr>
        <w:t xml:space="preserve">Content safety:</w:t>
      </w:r>
      <w:r>
        <w:t xml:space="preserve"> </w:t>
      </w:r>
      <w:r>
        <w:t xml:space="preserve">an NSFW filter is on by default and cannot be disabled.</w:t>
      </w:r>
    </w:p>
    <w:p>
      <w:pPr>
        <w:pStyle w:val="Compact"/>
        <w:numPr>
          <w:ilvl w:val="0"/>
          <w:numId w:val="1004"/>
        </w:numPr>
      </w:pPr>
      <w:r>
        <w:rPr>
          <w:b/>
          <w:bCs/>
        </w:rPr>
        <w:t xml:space="preserve">Confidentiality by design:</w:t>
      </w:r>
      <w:r>
        <w:t xml:space="preserve"> </w:t>
      </w:r>
      <w:r>
        <w:t xml:space="preserve">vendor identity masking (a vendor sees only the couple’s event display name + date, never their email or personal name unless shared).</w:t>
      </w:r>
    </w:p>
    <w:p>
      <w:pPr>
        <w:pStyle w:val="Compact"/>
        <w:numPr>
          <w:ilvl w:val="0"/>
          <w:numId w:val="1004"/>
        </w:numPr>
      </w:pPr>
      <w:r>
        <w:rPr>
          <w:b/>
          <w:bCs/>
        </w:rPr>
        <w:t xml:space="preserve">Residency:</w:t>
      </w:r>
      <w:r>
        <w:t xml:space="preserve"> </w:t>
      </w:r>
      <w:r>
        <w:t xml:space="preserve">database in Singapore; media in PH-region object-storage buckets.</w:t>
      </w:r>
    </w:p>
    <w:p>
      <w:pPr>
        <w:pStyle w:val="Compact"/>
        <w:numPr>
          <w:ilvl w:val="0"/>
          <w:numId w:val="1004"/>
        </w:numPr>
      </w:pPr>
      <w:r>
        <w:rPr>
          <w:b/>
          <w:bCs/>
        </w:rPr>
        <w:t xml:space="preserve">Breach response:</w:t>
      </w:r>
      <w:r>
        <w:t xml:space="preserve"> </w:t>
      </w:r>
      <w:r>
        <w:t xml:space="preserve">the DPO coordinates assessment and any NPC + data-subject notification within the periods required by the NPC’s breach rules.</w:t>
      </w:r>
    </w:p>
    <w:bookmarkStart w:id="22" w:name="a.-retention-governance"/>
    <w:p>
      <w:pPr>
        <w:pStyle w:val="Heading3"/>
      </w:pPr>
      <w:r>
        <w:t xml:space="preserve">8a. Retention governance</w:t>
      </w:r>
    </w:p>
    <w:p>
      <w:pPr>
        <w:pStyle w:val="FirstParagraph"/>
      </w:pPr>
      <w:r>
        <w:t xml:space="preserve">Retention is bounded on both ends:</w:t>
      </w:r>
      <w:r>
        <w:t xml:space="preserve"> </w:t>
      </w:r>
      <w:r>
        <w:rPr>
          <w:b/>
          <w:bCs/>
        </w:rPr>
        <w:t xml:space="preserve">RA 10173 storage-limitation</w:t>
      </w:r>
      <w:r>
        <w:t xml:space="preserve"> </w:t>
      </w:r>
      <w:r>
        <w:t xml:space="preserve">as the maximum, and</w:t>
      </w:r>
      <w:r>
        <w:t xml:space="preserve"> </w:t>
      </w:r>
      <w:r>
        <w:rPr>
          <w:b/>
          <w:bCs/>
        </w:rPr>
        <w:t xml:space="preserve">statutory floors</w:t>
      </w:r>
      <w:r>
        <w:t xml:space="preserve"> </w:t>
      </w:r>
      <w:r>
        <w:t xml:space="preserve">as the minimum for financial and contractual records (BIR RR 17-2013 = 10 years for payments/Official Receipts; Civil Code Art. 1144 for contracts). Per-class periods are maintained in the</w:t>
      </w:r>
      <w:r>
        <w:t xml:space="preserve"> </w:t>
      </w:r>
      <w:r>
        <w:rPr>
          <w:b/>
          <w:bCs/>
        </w:rPr>
        <w:t xml:space="preserve">Data Retention Schedule (2026-07-11)</w:t>
      </w:r>
      <w:r>
        <w:t xml:space="preserve">; periods marked</w:t>
      </w:r>
      <w:r>
        <w:t xml:space="preserve"> </w:t>
      </w:r>
      <w:r>
        <w:rPr>
          <w:i/>
          <w:iCs/>
        </w:rPr>
        <w:t xml:space="preserve">(counsel)</w:t>
      </w:r>
      <w:r>
        <w:t xml:space="preserve"> </w:t>
      </w:r>
      <w:r>
        <w:t xml:space="preserve">await external ratification.</w:t>
      </w:r>
    </w:p>
    <w:p>
      <w:r>
        <w:pict>
          <v:rect style="width:0;height:1.5pt" o:hralign="center" o:hrstd="t" o:hr="t"/>
        </w:pict>
      </w:r>
    </w:p>
    <w:bookmarkEnd w:id="22"/>
    <w:bookmarkEnd w:id="23"/>
    <w:bookmarkStart w:id="24" w:name="compliance-statement"/>
    <w:p>
      <w:pPr>
        <w:pStyle w:val="Heading2"/>
      </w:pPr>
      <w:r>
        <w:t xml:space="preserve">9. Compliance Statement</w:t>
      </w:r>
    </w:p>
    <w:p>
      <w:pPr>
        <w:pStyle w:val="FirstParagraph"/>
      </w:pPr>
      <w:r>
        <w:t xml:space="preserve">Setnayan processes personal data under RA 10173 on the bases recorded in § 3, with retention bounded on both ends (RA 10173 storage-limitation as the maximum; BIR/Civil Code statutory floors as the minimum for financial and contractual records). Data subject rights are implemented and honored; sensitive personal information (religion, civil status, gender, minors’ data, health-adjacent data, biometric, and vendor government-ID) is processed only on the bases in § 5; the fraud-prevention device identifier is minimized, pseudonymized, and DPO-gated (currently dormant). The DPO is the proprietor and is the point of contact for the NPC and for data subjects.</w:t>
      </w:r>
    </w:p>
    <w:p>
      <w:pPr>
        <w:pStyle w:val="BodyText"/>
      </w:pPr>
      <w:r>
        <w:rPr>
          <w:b/>
          <w:bCs/>
        </w:rPr>
        <w:t xml:space="preserve">Prepared by (DPO):</w:t>
      </w:r>
      <w:r>
        <w:t xml:space="preserve"> </w:t>
      </w:r>
      <w:r>
        <w:t xml:space="preserve">_______________________ (Indalecio S. Casasola II) — dpo@setnayan.com</w:t>
      </w:r>
    </w:p>
    <w:p>
      <w:pPr>
        <w:pStyle w:val="BodyText"/>
      </w:pPr>
      <w:r>
        <w:rPr>
          <w:b/>
          <w:bCs/>
        </w:rPr>
        <w:t xml:space="preserve">Date:</w:t>
      </w:r>
      <w:r>
        <w:t xml:space="preserve"> </w:t>
      </w:r>
      <w:r>
        <w:t xml:space="preserve">2026-07-13</w:t>
      </w:r>
    </w:p>
    <w:p>
      <w:r>
        <w:pict>
          <v:rect style="width:0;height:1.5pt" o:hralign="center" o:hrstd="t" o:hr="t"/>
        </w:pict>
      </w:r>
    </w:p>
    <w:bookmarkEnd w:id="24"/>
    <w:bookmarkStart w:id="25" w:name="appendix-companion-documents"/>
    <w:p>
      <w:pPr>
        <w:pStyle w:val="Heading2"/>
      </w:pPr>
      <w:r>
        <w:t xml:space="preserve">10. Appendix — companion documents</w:t>
      </w:r>
    </w:p>
    <w:p>
      <w:pPr>
        <w:pStyle w:val="Compact"/>
        <w:numPr>
          <w:ilvl w:val="0"/>
          <w:numId w:val="1005"/>
        </w:numPr>
      </w:pPr>
      <w:r>
        <w:rPr>
          <w:rStyle w:val="VerbatimChar"/>
        </w:rPr>
        <w:t xml:space="preserve">Privacy_Reconciliation_Home_and_Data_Flows_2026-07-13.md</w:t>
      </w:r>
      <w:r>
        <w:t xml:space="preserve"> </w:t>
      </w:r>
      <w:r>
        <w:t xml:space="preserve">— the reconciliation that drove the v2.0 expansion.</w:t>
      </w:r>
    </w:p>
    <w:p>
      <w:pPr>
        <w:pStyle w:val="Compact"/>
        <w:numPr>
          <w:ilvl w:val="0"/>
          <w:numId w:val="1005"/>
        </w:numPr>
      </w:pPr>
      <w:r>
        <w:rPr>
          <w:rStyle w:val="VerbatimChar"/>
        </w:rPr>
        <w:t xml:space="preserve">Device_Fingerprint_Data_Use_DPO_Review_2026-07-12.md</w:t>
      </w:r>
      <w:r>
        <w:t xml:space="preserve"> </w:t>
      </w:r>
      <w:r>
        <w:t xml:space="preserve">— DPO one-pager for the device-fingerprint processing.</w:t>
      </w:r>
    </w:p>
    <w:p>
      <w:pPr>
        <w:pStyle w:val="Compact"/>
        <w:numPr>
          <w:ilvl w:val="0"/>
          <w:numId w:val="1005"/>
        </w:numPr>
      </w:pPr>
      <w:r>
        <w:rPr>
          <w:rStyle w:val="VerbatimChar"/>
        </w:rPr>
        <w:t xml:space="preserve">Data_Retention_Schedule_2026-07-11.md</w:t>
      </w:r>
      <w:r>
        <w:t xml:space="preserve"> </w:t>
      </w:r>
      <w:r>
        <w:t xml:space="preserve">— full per-class retention schedule +</w:t>
      </w:r>
      <w:r>
        <w:t xml:space="preserve"> </w:t>
      </w:r>
      <w:r>
        <w:rPr>
          <w:rStyle w:val="VerbatimChar"/>
        </w:rPr>
        <w:t xml:space="preserve">[PENDING COUNSEL]</w:t>
      </w:r>
      <w:r>
        <w:t xml:space="preserve"> </w:t>
      </w:r>
      <w:r>
        <w:t xml:space="preserve">items.</w:t>
      </w:r>
    </w:p>
    <w:p>
      <w:pPr>
        <w:pStyle w:val="Compact"/>
        <w:numPr>
          <w:ilvl w:val="0"/>
          <w:numId w:val="1005"/>
        </w:numPr>
      </w:pPr>
      <w:r>
        <w:rPr>
          <w:rStyle w:val="VerbatimChar"/>
        </w:rPr>
        <w:t xml:space="preserve">NPC_Compliance/</w:t>
      </w:r>
      <w:r>
        <w:t xml:space="preserve"> </w:t>
      </w:r>
      <w:r>
        <w:t xml:space="preserve">pack — the deeper filing set (Privacy Manual, full RoPA, DPO Designation + NPCRS data sheet, Breach Policy, DPIA register, Face-Vector DPIA, Anti-Fraud DPIA). This dossier is the executive summary over that pack; the two must be kept consistent.</w:t>
      </w:r>
    </w:p>
    <w:p>
      <w:pPr>
        <w:pStyle w:val="Compact"/>
        <w:numPr>
          <w:ilvl w:val="0"/>
          <w:numId w:val="1005"/>
        </w:numPr>
      </w:pPr>
      <w:r>
        <w:rPr>
          <w:rStyle w:val="VerbatimChar"/>
        </w:rPr>
        <w:t xml:space="preserve">01_Contracts/Setnayan_Privacy_and_Security_Policy.md</w:t>
      </w:r>
      <w:r>
        <w:t xml:space="preserve"> </w:t>
      </w:r>
      <w:r>
        <w:t xml:space="preserve">— the binding public policy (to be reconciled per §11).</w:t>
      </w:r>
    </w:p>
    <w:p>
      <w:pPr>
        <w:pStyle w:val="Compact"/>
        <w:numPr>
          <w:ilvl w:val="0"/>
          <w:numId w:val="1005"/>
        </w:numPr>
      </w:pPr>
      <w:r>
        <w:t xml:space="preserve">Public privacy notice —</w:t>
      </w:r>
      <w:r>
        <w:t xml:space="preserve"> </w:t>
      </w:r>
      <w:r>
        <w:rPr>
          <w:rStyle w:val="VerbatimChar"/>
        </w:rPr>
        <w:t xml:space="preserve">setnayan.com/privacy</w:t>
      </w:r>
      <w:r>
        <w:t xml:space="preserve">.</w:t>
      </w:r>
    </w:p>
    <w:p>
      <w:pPr>
        <w:pStyle w:val="Compact"/>
        <w:numPr>
          <w:ilvl w:val="0"/>
          <w:numId w:val="1005"/>
        </w:numPr>
      </w:pPr>
      <w:r>
        <w:rPr>
          <w:rStyle w:val="VerbatimChar"/>
        </w:rPr>
        <w:t xml:space="preserve">[[dpo-designation-owner]]</w:t>
      </w:r>
      <w:r>
        <w:t xml:space="preserve"> </w:t>
      </w:r>
      <w:r>
        <w:t xml:space="preserve">— DPO designation record.</w:t>
      </w:r>
    </w:p>
    <w:p>
      <w:r>
        <w:pict>
          <v:rect style="width:0;height:1.5pt" o:hralign="center" o:hrstd="t" o:hr="t"/>
        </w:pict>
      </w:r>
    </w:p>
    <w:bookmarkEnd w:id="25"/>
    <w:bookmarkStart w:id="26" w:name="Xf3c78e5c5ef5fe1213d1557ffb752df19fc7284"/>
    <w:p>
      <w:pPr>
        <w:pStyle w:val="Heading2"/>
      </w:pPr>
      <w:r>
        <w:t xml:space="preserve">11. Open items before filing (owner / DPO / external counsel)</w:t>
      </w:r>
    </w:p>
    <w:p>
      <w:pPr>
        <w:pStyle w:val="FirstParagraph"/>
      </w:pPr>
      <w:r>
        <w:rPr>
          <w:b/>
          <w:bCs/>
        </w:rPr>
        <w:t xml:space="preserve">Blocking on external counsel (this dossier is not legal advice):</w:t>
      </w:r>
      <w:r>
        <w:t xml:space="preserve"> </w:t>
      </w:r>
      <w:r>
        <w:t xml:space="preserve">1. External counsel review of this dossier + the retention periods marked</w:t>
      </w:r>
      <w:r>
        <w:t xml:space="preserve"> </w:t>
      </w:r>
      <w:r>
        <w:rPr>
          <w:i/>
          <w:iCs/>
        </w:rPr>
        <w:t xml:space="preserve">(counsel)</w:t>
      </w:r>
      <w:r>
        <w:t xml:space="preserve">, with specific attention to the</w:t>
      </w:r>
      <w:r>
        <w:t xml:space="preserve"> </w:t>
      </w:r>
      <w:r>
        <w:rPr>
          <w:b/>
          <w:bCs/>
        </w:rPr>
        <w:t xml:space="preserve">§ 3(l) / minors’ data</w:t>
      </w:r>
      <w:r>
        <w:t xml:space="preserve"> </w:t>
      </w:r>
      <w:r>
        <w:t xml:space="preserve">cluster (dependents, christening child data, godparent third-party notification) and the vendor</w:t>
      </w:r>
      <w:r>
        <w:t xml:space="preserve"> </w:t>
      </w:r>
      <w:r>
        <w:rPr>
          <w:b/>
          <w:bCs/>
        </w:rPr>
        <w:t xml:space="preserve">AMLC/PEP + government-ID</w:t>
      </w:r>
      <w:r>
        <w:t xml:space="preserve"> </w:t>
      </w:r>
      <w:r>
        <w:t xml:space="preserve">screening basis.</w:t>
      </w:r>
      <w:r>
        <w:t xml:space="preserve"> </w:t>
      </w:r>
      <w:r>
        <w:t xml:space="preserve">2. Confirmation of the</w:t>
      </w:r>
      <w:r>
        <w:t xml:space="preserve"> </w:t>
      </w:r>
      <w:r>
        <w:rPr>
          <w:b/>
          <w:bCs/>
        </w:rPr>
        <w:t xml:space="preserve">NPC registration threshold</w:t>
      </w:r>
      <w:r>
        <w:t xml:space="preserve"> </w:t>
      </w:r>
      <w:r>
        <w:t xml:space="preserve">applicable to the business.</w:t>
      </w:r>
    </w:p>
    <w:p>
      <w:pPr>
        <w:pStyle w:val="BodyText"/>
      </w:pPr>
      <w:r>
        <w:rPr>
          <w:b/>
          <w:bCs/>
        </w:rPr>
        <w:t xml:space="preserve">Owner / DPO actions (documentation + product):</w:t>
      </w:r>
      <w:r>
        <w:t xml:space="preserve"> </w:t>
      </w:r>
      <w:r>
        <w:t xml:space="preserve">3.</w:t>
      </w:r>
      <w:r>
        <w:t xml:space="preserve"> </w:t>
      </w:r>
      <w:r>
        <w:rPr>
          <w:b/>
          <w:bCs/>
        </w:rPr>
        <w:t xml:space="preserve">Public privacy notice — DONE (app PR #3215, 2026-07-13):</w:t>
      </w:r>
      <w:r>
        <w:t xml:space="preserve"> </w:t>
      </w:r>
      <w:r>
        <w:t xml:space="preserve">added the</w:t>
      </w:r>
      <w:r>
        <w:t xml:space="preserve"> </w:t>
      </w:r>
      <w:r>
        <w:rPr>
          <w:b/>
          <w:bCs/>
        </w:rPr>
        <w:t xml:space="preserve">faith / family / honoree / e-gift</w:t>
      </w:r>
      <w:r>
        <w:t xml:space="preserve"> </w:t>
      </w:r>
      <w:r>
        <w:t xml:space="preserve">disclosures + Anthropic/Suno subprocessors; the opt-in</w:t>
      </w:r>
      <w:r>
        <w:t xml:space="preserve"> </w:t>
      </w:r>
      <w:r>
        <w:rPr>
          <w:b/>
          <w:bCs/>
        </w:rPr>
        <w:t xml:space="preserve">biometric</w:t>
      </w:r>
      <w:r>
        <w:t xml:space="preserve"> </w:t>
      </w:r>
      <w:r>
        <w:t xml:space="preserve">and</w:t>
      </w:r>
      <w:r>
        <w:t xml:space="preserve"> </w:t>
      </w:r>
      <w:r>
        <w:rPr>
          <w:b/>
          <w:bCs/>
        </w:rPr>
        <w:t xml:space="preserve">device-identifier</w:t>
      </w:r>
      <w:r>
        <w:t xml:space="preserve"> </w:t>
      </w:r>
      <w:r>
        <w:t xml:space="preserve">sections were already present. Remaining notice work is wording refinement by counsel, not a coverage gap.</w:t>
      </w:r>
      <w:r>
        <w:t xml:space="preserve"> </w:t>
      </w:r>
      <w:r>
        <w:t xml:space="preserve">4.</w:t>
      </w:r>
      <w:r>
        <w:t xml:space="preserve"> </w:t>
      </w:r>
      <w:r>
        <w:rPr>
          <w:b/>
          <w:bCs/>
        </w:rPr>
        <w:t xml:space="preserve">Reconcile the older corpus documents</w:t>
      </w:r>
      <w:r>
        <w:t xml:space="preserve"> </w:t>
      </w:r>
      <w:r>
        <w:t xml:space="preserve">to the values in §1: align</w:t>
      </w:r>
      <w:r>
        <w:t xml:space="preserve"> </w:t>
      </w:r>
      <w:r>
        <w:rPr>
          <w:rStyle w:val="VerbatimChar"/>
        </w:rPr>
        <w:t xml:space="preserve">iscasasolaii@gmail.com</w:t>
      </w:r>
      <w:r>
        <w:t xml:space="preserve"> </w:t>
      </w:r>
      <w:r>
        <w:t xml:space="preserve">→</w:t>
      </w:r>
      <w:r>
        <w:t xml:space="preserve"> </w:t>
      </w:r>
      <w:r>
        <w:rPr>
          <w:rStyle w:val="VerbatimChar"/>
        </w:rPr>
        <w:t xml:space="preserve">dpo@setnayan.com</w:t>
      </w:r>
      <w:r>
        <w:t xml:space="preserve"> </w:t>
      </w:r>
      <w:r>
        <w:t xml:space="preserve">and the 7-business-day SLA → 15 in the binding Privacy &amp; Security Policy; add the</w:t>
      </w:r>
      <w:r>
        <w:t xml:space="preserve"> </w:t>
      </w:r>
      <w:r>
        <w:rPr>
          <w:b/>
          <w:bCs/>
        </w:rPr>
        <w:t xml:space="preserve">10-year floor</w:t>
      </w:r>
      <w:r>
        <w:t xml:space="preserve"> </w:t>
      </w:r>
      <w:r>
        <w:t xml:space="preserve">and the</w:t>
      </w:r>
      <w:r>
        <w:t xml:space="preserve"> </w:t>
      </w:r>
      <w:r>
        <w:rPr>
          <w:b/>
          <w:bCs/>
        </w:rPr>
        <w:t xml:space="preserve">vendor-verification retention class</w:t>
      </w:r>
      <w:r>
        <w:t xml:space="preserve"> </w:t>
      </w:r>
      <w:r>
        <w:t xml:space="preserve">to that policy’s §4 retention table; add</w:t>
      </w:r>
      <w:r>
        <w:t xml:space="preserve"> </w:t>
      </w:r>
      <w:r>
        <w:rPr>
          <w:b/>
          <w:bCs/>
        </w:rPr>
        <w:t xml:space="preserve">Persona, TikTok, Suno</w:t>
      </w:r>
      <w:r>
        <w:t xml:space="preserve"> </w:t>
      </w:r>
      <w:r>
        <w:t xml:space="preserve">to its §10 subprocessor table.</w:t>
      </w:r>
      <w:r>
        <w:t xml:space="preserve"> </w:t>
      </w:r>
      <w:r>
        <w:t xml:space="preserve">5.</w:t>
      </w:r>
      <w:r>
        <w:t xml:space="preserve"> </w:t>
      </w:r>
      <w:r>
        <w:rPr>
          <w:b/>
          <w:bCs/>
        </w:rPr>
        <w:t xml:space="preserve">Device-fingerprint status:</w:t>
      </w:r>
      <w:r>
        <w:t xml:space="preserve"> </w:t>
      </w:r>
      <w:r>
        <w:t xml:space="preserve">correct the draft Anti-Fraud Policy amendment’s</w:t>
      </w:r>
      <w:r>
        <w:t xml:space="preserve"> </w:t>
      </w:r>
      <w:r>
        <w:t xml:space="preserve">“active since 2026-07-07”</w:t>
      </w:r>
      <w:r>
        <w:t xml:space="preserve"> </w:t>
      </w:r>
      <w:r>
        <w:t xml:space="preserve">language to match the confirmed</w:t>
      </w:r>
      <w:r>
        <w:t xml:space="preserve"> </w:t>
      </w:r>
      <w:r>
        <w:rPr>
          <w:b/>
          <w:bCs/>
        </w:rPr>
        <w:t xml:space="preserve">flag-OFF</w:t>
      </w:r>
      <w:r>
        <w:t xml:space="preserve"> </w:t>
      </w:r>
      <w:r>
        <w:t xml:space="preserve">state, and gate the notice disclosure to activation.</w:t>
      </w:r>
      <w:r>
        <w:t xml:space="preserve"> </w:t>
      </w:r>
      <w:r>
        <w:t xml:space="preserve">6.</w:t>
      </w:r>
      <w:r>
        <w:t xml:space="preserve"> </w:t>
      </w:r>
      <w:r>
        <w:rPr>
          <w:b/>
          <w:bCs/>
        </w:rPr>
        <w:t xml:space="preserve">Known product remediation</w:t>
      </w:r>
      <w:r>
        <w:t xml:space="preserve"> </w:t>
      </w:r>
      <w:r>
        <w:t xml:space="preserve">(tracked, not blocking this draft): account hard-delete does not yet purge chat-message PII (Retention Schedule §4); the</w:t>
      </w:r>
      <w:r>
        <w:t xml:space="preserve"> </w:t>
      </w:r>
      <w:r>
        <w:rPr>
          <w:rStyle w:val="VerbatimChar"/>
        </w:rPr>
        <w:t xml:space="preserve">events.signature_details</w:t>
      </w:r>
      <w:r>
        <w:t xml:space="preserve"> </w:t>
      </w:r>
      <w:r>
        <w:t xml:space="preserve">honoree fields (christening child data, gender-reveal due-date) collect sensitive data without a per-field consent timestamp —</w:t>
      </w:r>
      <w:r>
        <w:t xml:space="preserve"> </w:t>
      </w:r>
      <w:r>
        <w:rPr>
          <w:b/>
          <w:bCs/>
        </w:rPr>
        <w:t xml:space="preserve">documented as-is per owner direction</w:t>
      </w:r>
      <w:r>
        <w:t xml:space="preserve">, flagged here for a future consent-instrumentation pass; and the dashboard data-minimization tightening in §8.</w:t>
      </w:r>
    </w:p>
    <w:p>
      <w:pPr>
        <w:pStyle w:val="BlockText"/>
      </w:pPr>
      <w:r>
        <w:rPr>
          <w:b/>
          <w:bCs/>
        </w:rPr>
        <w:t xml:space="preserve">Filing note.</w:t>
      </w:r>
      <w:r>
        <w:t xml:space="preserve"> </w:t>
      </w:r>
      <w:r>
        <w:t xml:space="preserve">This is a complete, DPO-prepared submission draft: the ROPA, PIA, sensitive-PI declaration, subprocessor list, security measures, and data-subject-rights implementation are all present and reconciled to the as-built platform as of 2026-07-13. It is</w:t>
      </w:r>
      <w:r>
        <w:t xml:space="preserve"> </w:t>
      </w:r>
      <w:r>
        <w:rPr>
          <w:b/>
          <w:bCs/>
        </w:rPr>
        <w:t xml:space="preserve">ready for external counsel review</w:t>
      </w:r>
      <w:r>
        <w:t xml:space="preserve">, which — together with items 1-2 above — is the final gate before lodging with the NPC.</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2026-07-13T01:24:53Z</dcterms:created>
  <dcterms:modified xsi:type="dcterms:W3CDTF">2026-07-13T01:24:53Z</dcterms:modified>
</cp:coreProperties>
</file>

<file path=docProps/custom.xml><?xml version="1.0" encoding="utf-8"?>
<Properties xmlns="http://schemas.openxmlformats.org/officeDocument/2006/custom-properties" xmlns:vt="http://schemas.openxmlformats.org/officeDocument/2006/docPropsVTypes"/>
</file>