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X0a67be3c0d2aee68aa8a26d9e6eb3b823ada80a"/>
    <w:p>
      <w:pPr>
        <w:pStyle w:val="Heading1"/>
      </w:pPr>
      <w:r>
        <w:t xml:space="preserve">Privacy Policy — Anti-Fraud &amp; Trust Integrity Amendment (DRAFT)</w:t>
      </w:r>
    </w:p>
    <w:p>
      <w:pPr>
        <w:pStyle w:val="FirstParagraph"/>
      </w:pPr>
      <w:r>
        <w:rPr>
          <w:b/>
          <w:bCs/>
        </w:rPr>
        <w:t xml:space="preserve">Prepared:</w:t>
      </w:r>
      <w:r>
        <w:t xml:space="preserve"> </w:t>
      </w:r>
      <w:r>
        <w:t xml:space="preserve">2026-07-08 ·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DRAFT for DPO (</w:t>
      </w:r>
      <w:hyperlink r:id="rId9">
        <w:r>
          <w:rPr>
            <w:rStyle w:val="Hyperlink"/>
          </w:rPr>
          <w:t xml:space="preserve">Indalecio Sacdalan Casasola II</w:t>
        </w:r>
      </w:hyperlink>
      <w:r>
        <w:t xml:space="preserve">) + external PH counsel review —</w:t>
      </w:r>
      <w:r>
        <w:t xml:space="preserve"> </w:t>
      </w:r>
      <w:r>
        <w:rPr>
          <w:b/>
          <w:bCs/>
        </w:rPr>
        <w:t xml:space="preserve">publish only after sign-off.</w:t>
      </w:r>
    </w:p>
    <w:p>
      <w:pPr>
        <w:pStyle w:val="BlockText"/>
      </w:pPr>
      <w:r>
        <w:rPr>
          <w:b/>
          <w:bCs/>
        </w:rPr>
        <w:t xml:space="preserve">How to use this document.</w:t>
      </w:r>
      <w:r>
        <w:t xml:space="preserve"> </w:t>
      </w:r>
      <w:r>
        <w:t xml:space="preserve">The section below — from</w:t>
      </w:r>
      <w:r>
        <w:t xml:space="preserve"> </w:t>
      </w:r>
      <w:r>
        <w:rPr>
          <w:i/>
          <w:iCs/>
        </w:rPr>
        <w:t xml:space="preserve">“## Amendment 2026-07-08 — Anti-Fraud &amp; Trust Integrity”</w:t>
      </w:r>
      <w:r>
        <w:t xml:space="preserve"> </w:t>
      </w:r>
      <w:r>
        <w:t xml:space="preserve">down to the end of B.6 — is written to</w:t>
      </w:r>
      <w:r>
        <w:t xml:space="preserve"> </w:t>
      </w:r>
      <w:r>
        <w:rPr>
          <w:b/>
          <w:bCs/>
        </w:rPr>
        <w:t xml:space="preserve">drop straight into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Setnayan Privacy &amp; Security Policy</w:t>
        </w:r>
      </w:hyperlink>
      <w:r>
        <w:t xml:space="preserve">, immediately after the 2026-07-05 Person-Graph amendment. Copy from that heading down. This closes the disclosure gap identified in the anti-fraud</w:t>
      </w:r>
      <w:r>
        <w:t xml:space="preserve"> </w:t>
      </w:r>
      <w:hyperlink r:id="rId11">
        <w:r>
          <w:rPr>
            <w:rStyle w:val="Hyperlink"/>
          </w:rPr>
          <w:t xml:space="preserve">DPIA R-08 §6</w:t>
        </w:r>
      </w:hyperlink>
      <w:r>
        <w:t xml:space="preserve"> </w:t>
      </w:r>
      <w:r>
        <w:t xml:space="preserve">— the processing is already live (shipped 2026-07-07), so this is the transparency limb catching up. Built to</w:t>
      </w:r>
      <w:r>
        <w:t xml:space="preserve"> </w:t>
      </w:r>
      <w:hyperlink r:id="rId12">
        <w:r>
          <w:rPr>
            <w:rStyle w:val="Hyperlink"/>
          </w:rPr>
          <w:t xml:space="preserve">RA 10173</w:t>
        </w:r>
      </w:hyperlink>
      <w:r>
        <w:t xml:space="preserve"> </w:t>
      </w:r>
      <w:r>
        <w:t xml:space="preserve">by design;</w:t>
      </w:r>
      <w:r>
        <w:t xml:space="preserve"> </w:t>
      </w:r>
      <w:r>
        <w:rPr>
          <w:b/>
          <w:bCs/>
        </w:rPr>
        <w:t xml:space="preserve">not a substitute for legal review.</w:t>
      </w:r>
    </w:p>
    <w:p>
      <w:r>
        <w:pict>
          <v:rect style="width:0;height:1.5pt" o:hralign="center" o:hrstd="t" o:hr="t"/>
        </w:pict>
      </w:r>
    </w:p>
    <w:bookmarkStart w:id="22" w:name="X409db6fcc6052f3cce4e9b0b88da41700fb44dc"/>
    <w:p>
      <w:pPr>
        <w:pStyle w:val="Heading2"/>
      </w:pPr>
      <w:r>
        <w:t xml:space="preserve">Amendment 2026-07-08 — Anti-Fraud &amp; Trust Integrity</w:t>
      </w:r>
    </w:p>
    <w:p>
      <w:pPr>
        <w:pStyle w:val="BlockText"/>
      </w:pPr>
      <w:r>
        <w:t xml:space="preserve">Added 2026-07-08 to disclose how we protect the integrity of our marketplace signals (reviews, ratings, badges, booking counts) against manipulation.</w:t>
      </w:r>
      <w:r>
        <w:t xml:space="preserve"> </w:t>
      </w:r>
      <w:r>
        <w:rPr>
          <w:b/>
          <w:bCs/>
        </w:rPr>
        <w:t xml:space="preserve">Status: DRAFT pending DPO (Indalecio Sacdalan Casasola II) + PH counsel review</w:t>
      </w:r>
      <w:r>
        <w:t xml:space="preserve"> </w:t>
      </w:r>
      <w:r>
        <w:t xml:space="preserve">— published only after sign-off. This processing is already active; this amendment brings the public disclosure into line with it. Assessment:</w:t>
      </w:r>
      <w:r>
        <w:t xml:space="preserve"> </w:t>
      </w:r>
      <w:hyperlink r:id="rId11">
        <w:r>
          <w:rPr>
            <w:rStyle w:val="Hyperlink"/>
          </w:rPr>
          <w:t xml:space="preserve">DPIA R-08</w:t>
        </w:r>
      </w:hyperlink>
      <w:r>
        <w:t xml:space="preserve"> </w:t>
      </w:r>
      <w:r>
        <w:t xml:space="preserve">+</w:t>
      </w:r>
      <w:r>
        <w:t xml:space="preserve"> </w:t>
      </w:r>
      <w:hyperlink r:id="rId13">
        <w:r>
          <w:rPr>
            <w:rStyle w:val="Hyperlink"/>
          </w:rPr>
          <w:t xml:space="preserve">RoPA DPS-12</w:t>
        </w:r>
      </w:hyperlink>
      <w:r>
        <w:t xml:space="preserve">. Built to RA 10173 by design; this amendment does not replace counsel confirmation.</w:t>
      </w:r>
    </w:p>
    <w:bookmarkStart w:id="14" w:name="b.1-what-we-do-and-why"/>
    <w:p>
      <w:pPr>
        <w:pStyle w:val="Heading3"/>
      </w:pPr>
      <w:r>
        <w:t xml:space="preserve">B.1 What we do, and why</w:t>
      </w:r>
    </w:p>
    <w:p>
      <w:pPr>
        <w:pStyle w:val="FirstParagraph"/>
      </w:pPr>
      <w:r>
        <w:t xml:space="preserve">To keep our reviews, ratings, badges, and</w:t>
      </w:r>
      <w:r>
        <w:t xml:space="preserve"> </w:t>
      </w:r>
      <w:r>
        <w:t xml:space="preserve">“most-booked / top-pick”</w:t>
      </w:r>
      <w:r>
        <w:t xml:space="preserve"> </w:t>
      </w:r>
      <w:r>
        <w:t xml:space="preserve">signals</w:t>
      </w:r>
      <w:r>
        <w:t xml:space="preserve"> </w:t>
      </w:r>
      <w:r>
        <w:rPr>
          <w:b/>
          <w:bCs/>
        </w:rPr>
        <w:t xml:space="preserve">honest</w:t>
      </w:r>
      <w:r>
        <w:t xml:space="preserve">, we run automated integrity checks that detect and prevent manipulation — for example, fake or duplicate accounts created to inflate a vendor’s reputation, or coordinated fake bookings.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Detecting duplicate identities.</w:t>
      </w:r>
      <w:r>
        <w:t xml:space="preserve"> </w:t>
      </w:r>
      <w:r>
        <w:t xml:space="preserve">To spot rings of accounts controlled by one person or household, we analyse signals we</w:t>
      </w:r>
      <w:r>
        <w:t xml:space="preserve"> </w:t>
      </w:r>
      <w:r>
        <w:rPr>
          <w:b/>
          <w:bCs/>
        </w:rPr>
        <w:t xml:space="preserve">already hold</w:t>
      </w:r>
      <w:r>
        <w:t xml:space="preserve">: your</w:t>
      </w:r>
      <w:r>
        <w:t xml:space="preserve"> </w:t>
      </w:r>
      <w:r>
        <w:rPr>
          <w:b/>
          <w:bCs/>
        </w:rPr>
        <w:t xml:space="preserve">device fingerprint</w:t>
      </w:r>
      <w:r>
        <w:t xml:space="preserve">, your</w:t>
      </w:r>
      <w:r>
        <w:t xml:space="preserve"> </w:t>
      </w:r>
      <w:r>
        <w:rPr>
          <w:b/>
          <w:bCs/>
        </w:rPr>
        <w:t xml:space="preserve">normalised home address</w:t>
      </w:r>
      <w:r>
        <w:t xml:space="preserve">, and the</w:t>
      </w:r>
      <w:r>
        <w:t xml:space="preserve"> </w:t>
      </w:r>
      <w:r>
        <w:rPr>
          <w:b/>
          <w:bCs/>
        </w:rPr>
        <w:t xml:space="preserve">payment-sender identity</w:t>
      </w:r>
      <w:r>
        <w:t xml:space="preserve"> </w:t>
      </w:r>
      <w:r>
        <w:t xml:space="preserve">on your transactions. Accounts that share these strong signals are grouped so that duplicate reviews and bookings are</w:t>
      </w:r>
      <w:r>
        <w:t xml:space="preserve"> </w:t>
      </w:r>
      <w:r>
        <w:rPr>
          <w:b/>
          <w:bCs/>
        </w:rPr>
        <w:t xml:space="preserve">counted once, not many times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Scoring risk.</w:t>
      </w:r>
      <w:r>
        <w:t xml:space="preserve"> </w:t>
      </w:r>
      <w:r>
        <w:t xml:space="preserve">We compute per-vendor</w:t>
      </w:r>
      <w:r>
        <w:t xml:space="preserve"> </w:t>
      </w:r>
      <w:r>
        <w:rPr>
          <w:b/>
          <w:bCs/>
        </w:rPr>
        <w:t xml:space="preserve">fraud-risk signals</w:t>
      </w:r>
      <w:r>
        <w:t xml:space="preserve"> </w:t>
      </w:r>
      <w:r>
        <w:t xml:space="preserve">(for example, unusual review timing, isolated single-vendor accounts, or all-5-star patterns) and combine them into a risk score.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Acting on it.</w:t>
      </w:r>
      <w:r>
        <w:t xml:space="preserve"> </w:t>
      </w:r>
      <w:r>
        <w:t xml:space="preserve">At a high-confidence score, a vendor’s public listing may be</w:t>
      </w:r>
      <w:r>
        <w:t xml:space="preserve"> </w:t>
      </w:r>
      <w:r>
        <w:rPr>
          <w:b/>
          <w:bCs/>
        </w:rPr>
        <w:t xml:space="preserve">temporarily hidden (suspended)</w:t>
      </w:r>
      <w:r>
        <w:t xml:space="preserve"> </w:t>
      </w:r>
      <w:r>
        <w:t xml:space="preserve">while we review.</w:t>
      </w:r>
    </w:p>
    <w:bookmarkEnd w:id="14"/>
    <w:bookmarkStart w:id="15" w:name="b.2-lawful-basis"/>
    <w:p>
      <w:pPr>
        <w:pStyle w:val="Heading3"/>
      </w:pPr>
      <w:r>
        <w:t xml:space="preserve">B.2 Lawful basis</w:t>
      </w:r>
    </w:p>
    <w:p>
      <w:pPr>
        <w:pStyle w:val="FirstParagraph"/>
      </w:pPr>
      <w:r>
        <w:t xml:space="preserve">We rely on</w:t>
      </w:r>
      <w:r>
        <w:t xml:space="preserve"> </w:t>
      </w:r>
      <w:r>
        <w:rPr>
          <w:b/>
          <w:bCs/>
        </w:rPr>
        <w:t xml:space="preserve">legitimate interest</w:t>
      </w:r>
      <w:r>
        <w:t xml:space="preserve"> </w:t>
      </w:r>
      <w:r>
        <w:t xml:space="preserve">(</w:t>
      </w:r>
      <w:hyperlink r:id="rId12">
        <w:r>
          <w:rPr>
            <w:rStyle w:val="Hyperlink"/>
          </w:rPr>
          <w:t xml:space="preserve">RA 10173</w:t>
        </w:r>
      </w:hyperlink>
      <w:r>
        <w:t xml:space="preserve"> </w:t>
      </w:r>
      <w:r>
        <w:t xml:space="preserve">§ 12(f)) — preventing fraud and protecting the integrity of the marketplace for couples and for honest vendors. We use</w:t>
      </w:r>
      <w:r>
        <w:t xml:space="preserve"> </w:t>
      </w:r>
      <w:r>
        <w:rPr>
          <w:b/>
          <w:bCs/>
        </w:rPr>
        <w:t xml:space="preserve">only data already collected for other purposes</w:t>
      </w:r>
      <w:r>
        <w:t xml:space="preserve"> </w:t>
      </w:r>
      <w:r>
        <w:t xml:space="preserve">(there is no new collection for this), applied to this compatible and now-disclosed purpose.</w:t>
      </w:r>
    </w:p>
    <w:bookmarkEnd w:id="15"/>
    <w:bookmarkStart w:id="17" w:name="X4366392fbe1fb75c966a13fa7fb7eacae37f904"/>
    <w:p>
      <w:pPr>
        <w:pStyle w:val="Heading3"/>
      </w:pPr>
      <w:r>
        <w:t xml:space="preserve">B.3 Automated decisions — and your right to contest them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Automatic suspension is reversible.</w:t>
      </w:r>
      <w:r>
        <w:t xml:space="preserve"> </w:t>
      </w:r>
      <w:r>
        <w:t xml:space="preserve">When the risk score is high, a vendor’s listing may be automatically hidden and its badges frozen.</w:t>
      </w:r>
      <w:r>
        <w:t xml:space="preserve"> </w:t>
      </w:r>
      <w:r>
        <w:rPr>
          <w:b/>
          <w:bCs/>
        </w:rPr>
        <w:t xml:space="preserve">No data is deleted</w:t>
      </w:r>
      <w:r>
        <w:t xml:space="preserve">, and a single review by our team reverses it.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Permanent action is never automatic.</w:t>
      </w:r>
      <w:r>
        <w:t xml:space="preserve"> </w:t>
      </w:r>
      <w:r>
        <w:t xml:space="preserve">Removing a vendor’s reviews/events from our statistics and permanently banning an account requires</w:t>
      </w:r>
      <w:r>
        <w:t xml:space="preserve"> </w:t>
      </w:r>
      <w:r>
        <w:rPr>
          <w:b/>
          <w:bCs/>
        </w:rPr>
        <w:t xml:space="preserve">two separate members of our team to confirm</w:t>
      </w:r>
      <w:r>
        <w:t xml:space="preserve"> </w:t>
      </w:r>
      <w:r>
        <w:t xml:space="preserve">— it is a human, logged decision, never made by the system alone.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You can object and appeal.</w:t>
      </w:r>
      <w:r>
        <w:t xml:space="preserve"> </w:t>
      </w:r>
      <w:r>
        <w:t xml:space="preserve">If you are a vendor affected by an automated suspension or an enforcement action, you may</w:t>
      </w:r>
      <w:r>
        <w:t xml:space="preserve"> </w:t>
      </w:r>
      <w:r>
        <w:rPr>
          <w:b/>
          <w:bCs/>
        </w:rPr>
        <w:t xml:space="preserve">object and request a review</w:t>
      </w:r>
      <w:r>
        <w:t xml:space="preserve"> </w:t>
      </w:r>
      <w:r>
        <w:t xml:space="preserve">through our</w:t>
      </w:r>
      <w:r>
        <w:t xml:space="preserve"> </w:t>
      </w:r>
      <w:hyperlink r:id="rId16">
        <w:r>
          <w:rPr>
            <w:rStyle w:val="Hyperlink"/>
          </w:rPr>
          <w:t xml:space="preserve">Help Center</w:t>
        </w:r>
      </w:hyperlink>
      <w:r>
        <w:t xml:space="preserve"> </w:t>
      </w:r>
      <w:r>
        <w:t xml:space="preserve">or by contacting our Data Protection Officer at</w:t>
      </w:r>
      <w:r>
        <w:t xml:space="preserve"> </w:t>
      </w:r>
      <w:hyperlink r:id="rId9">
        <w:r>
          <w:rPr>
            <w:rStyle w:val="Hyperlink"/>
          </w:rPr>
          <w:t xml:space="preserve">iscasasolaii@gmail.com</w:t>
        </w:r>
      </w:hyperlink>
      <w:r>
        <w:t xml:space="preserve">. This reflects your rights under RA 10173 § 16(c) (right to object) and § 34 (rights relating to automated processing). We acknowledge and respond within the timelines in § 9 of this Policy.</w:t>
      </w:r>
    </w:p>
    <w:bookmarkEnd w:id="17"/>
    <w:bookmarkStart w:id="18" w:name="b.4-what-we-do-not-do"/>
    <w:p>
      <w:pPr>
        <w:pStyle w:val="Heading3"/>
      </w:pPr>
      <w:r>
        <w:t xml:space="preserve">B.4 What we do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do</w:t>
      </w:r>
    </w:p>
    <w:p>
      <w:pPr>
        <w:pStyle w:val="Compact"/>
        <w:numPr>
          <w:ilvl w:val="0"/>
          <w:numId w:val="1003"/>
        </w:numPr>
      </w:pPr>
      <w:r>
        <w:t xml:space="preserve">We</w:t>
      </w:r>
      <w:r>
        <w:t xml:space="preserve"> </w:t>
      </w:r>
      <w:r>
        <w:rPr>
          <w:b/>
          <w:bCs/>
        </w:rPr>
        <w:t xml:space="preserve">do not capture or use your IP address</w:t>
      </w:r>
      <w:r>
        <w:t xml:space="preserve"> </w:t>
      </w:r>
      <w:r>
        <w:t xml:space="preserve">for this.</w:t>
      </w:r>
    </w:p>
    <w:p>
      <w:pPr>
        <w:pStyle w:val="Compact"/>
        <w:numPr>
          <w:ilvl w:val="0"/>
          <w:numId w:val="1003"/>
        </w:numPr>
      </w:pPr>
      <w:r>
        <w:t xml:space="preserve">These fraud groupings, signals, and scores are</w:t>
      </w:r>
      <w:r>
        <w:t xml:space="preserve"> </w:t>
      </w:r>
      <w:r>
        <w:rPr>
          <w:b/>
          <w:bCs/>
        </w:rPr>
        <w:t xml:space="preserve">strictly internal</w:t>
      </w:r>
      <w:r>
        <w:t xml:space="preserve"> </w:t>
      </w:r>
      <w:r>
        <w:t xml:space="preserve">— no couple or vendor can view them. They are</w:t>
      </w:r>
      <w:r>
        <w:t xml:space="preserve"> </w:t>
      </w:r>
      <w:r>
        <w:rPr>
          <w:b/>
          <w:bCs/>
        </w:rPr>
        <w:t xml:space="preserve">never sold, shared with third parties, used for advertising, or used to rank or promote vendors.</w:t>
      </w:r>
      <w:r>
        <w:t xml:space="preserve"> </w:t>
      </w:r>
      <w:r>
        <w:t xml:space="preserve">They are used</w:t>
      </w:r>
      <w:r>
        <w:t xml:space="preserve"> </w:t>
      </w:r>
      <w:r>
        <w:rPr>
          <w:b/>
          <w:bCs/>
        </w:rPr>
        <w:t xml:space="preserve">only</w:t>
      </w:r>
      <w:r>
        <w:t xml:space="preserve"> </w:t>
      </w:r>
      <w:r>
        <w:t xml:space="preserve">for fraud prevention and marketplace integrity.</w:t>
      </w:r>
    </w:p>
    <w:p>
      <w:pPr>
        <w:pStyle w:val="Compact"/>
        <w:numPr>
          <w:ilvl w:val="0"/>
          <w:numId w:val="1003"/>
        </w:numPr>
      </w:pPr>
      <w:r>
        <w:t xml:space="preserve">The evidence we store is</w:t>
      </w:r>
      <w:r>
        <w:t xml:space="preserve"> </w:t>
      </w:r>
      <w:r>
        <w:rPr>
          <w:b/>
          <w:bCs/>
        </w:rPr>
        <w:t xml:space="preserve">non-identifying</w:t>
      </w:r>
      <w:r>
        <w:t xml:space="preserve"> </w:t>
      </w:r>
      <w:r>
        <w:t xml:space="preserve">— counts, ratios, and internal labels,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your name, address, or raw identifiers.</w:t>
      </w:r>
    </w:p>
    <w:bookmarkEnd w:id="18"/>
    <w:bookmarkStart w:id="19" w:name="b.5-who-this-affects"/>
    <w:p>
      <w:pPr>
        <w:pStyle w:val="Heading3"/>
      </w:pPr>
      <w:r>
        <w:t xml:space="preserve">B.5 Who this affects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Couples and guests</w:t>
      </w:r>
      <w:r>
        <w:t xml:space="preserve"> </w:t>
      </w:r>
      <w:r>
        <w:t xml:space="preserve">— your device, address, and payment-sender signals may be used to detect duplicate-identity rings. You are never shown any grouping, and no automated decision is made</w:t>
      </w:r>
      <w:r>
        <w:t xml:space="preserve"> </w:t>
      </w:r>
      <w:r>
        <w:rPr>
          <w:i/>
          <w:iCs/>
        </w:rPr>
        <w:t xml:space="preserve">about you</w:t>
      </w:r>
      <w:r>
        <w:t xml:space="preserve"> </w:t>
      </w:r>
      <w:r>
        <w:t xml:space="preserve">from this.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Vendors</w:t>
      </w:r>
      <w:r>
        <w:t xml:space="preserve"> </w:t>
      </w:r>
      <w:r>
        <w:t xml:space="preserve">— your public trust statistics are de-duplicated, and you may be risk-scored and (reversibly) suspended, with the human-reviewed objection and appeal path described in B.3.</w:t>
      </w:r>
    </w:p>
    <w:bookmarkEnd w:id="19"/>
    <w:bookmarkStart w:id="21" w:name="b.6-retention"/>
    <w:p>
      <w:pPr>
        <w:pStyle w:val="Heading3"/>
      </w:pPr>
      <w:r>
        <w:t xml:space="preserve">B.6 Retention</w:t>
      </w:r>
    </w:p>
    <w:p>
      <w:pPr>
        <w:pStyle w:val="FirstParagraph"/>
      </w:pPr>
      <w:r>
        <w:t xml:space="preserve">Duplicate-identity groupings are</w:t>
      </w:r>
      <w:r>
        <w:t xml:space="preserve"> </w:t>
      </w:r>
      <w:r>
        <w:rPr>
          <w:b/>
          <w:bCs/>
        </w:rPr>
        <w:t xml:space="preserve">recomputed on an ongoing basis</w:t>
      </w:r>
      <w:r>
        <w:t xml:space="preserve"> </w:t>
      </w:r>
      <w:r>
        <w:t xml:space="preserve">and are not kept as a standing history. Fraud-risk signals and enforcement records are kept</w:t>
      </w:r>
      <w:r>
        <w:t xml:space="preserve"> </w:t>
      </w:r>
      <w:r>
        <w:rPr>
          <w:b/>
          <w:bCs/>
        </w:rPr>
        <w:t xml:space="preserve">only as long as necessary</w:t>
      </w:r>
      <w:r>
        <w:t xml:space="preserve"> </w:t>
      </w:r>
      <w:r>
        <w:t xml:space="preserve">for fraud prevention and to handle any related dispute or appeal, after which they are deleted or de-identified, consistent with the retention principles in § 4 of this Policy.</w:t>
      </w:r>
    </w:p>
    <w:p>
      <w:pPr>
        <w:pStyle w:val="BodyText"/>
      </w:pPr>
      <w:r>
        <w:rPr>
          <w:b/>
          <w:bCs/>
        </w:rPr>
        <w:t xml:space="preserve">Contact.</w:t>
      </w:r>
      <w:r>
        <w:t xml:space="preserve"> </w:t>
      </w:r>
      <w:r>
        <w:t xml:space="preserve">For any question about this processing, or to object or appeal, contact our Data Protection Officer, Indalecio Sacdalan Casasola II, at</w:t>
      </w:r>
      <w:r>
        <w:t xml:space="preserve"> </w:t>
      </w:r>
      <w:hyperlink r:id="rId9">
        <w:r>
          <w:rPr>
            <w:rStyle w:val="Hyperlink"/>
          </w:rPr>
          <w:t xml:space="preserve">iscasasolaii@gmail.com</w:t>
        </w:r>
      </w:hyperlink>
      <w:r>
        <w:t xml:space="preserve">, or use the</w:t>
      </w:r>
      <w:r>
        <w:t xml:space="preserve"> </w:t>
      </w:r>
      <w:hyperlink r:id="rId16">
        <w:r>
          <w:rPr>
            <w:rStyle w:val="Hyperlink"/>
          </w:rPr>
          <w:t xml:space="preserve">Help Center</w:t>
        </w:r>
      </w:hyperlink>
      <w:r>
        <w:t xml:space="preserve">. You may also lodge a complaint with the</w:t>
      </w:r>
      <w:r>
        <w:t xml:space="preserve"> </w:t>
      </w:r>
      <w:hyperlink r:id="rId20">
        <w:r>
          <w:rPr>
            <w:rStyle w:val="Hyperlink"/>
          </w:rPr>
          <w:t xml:space="preserve">National Privacy Commission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This DRAFT is prepared to a compliant RA 10173 baseline ahead of counsel. It is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not a substitute for legal review</w:t>
      </w:r>
      <w:r>
        <w:rPr>
          <w:i/>
          <w:iCs/>
        </w:rPr>
        <w:t xml:space="preserve"> </w:t>
      </w:r>
      <w:r>
        <w:rPr>
          <w:i/>
          <w:iCs/>
        </w:rPr>
        <w:t xml:space="preserve">and is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not yet published</w:t>
      </w:r>
      <w:r>
        <w:rPr>
          <w:i/>
          <w:iCs/>
        </w:rPr>
        <w:t xml:space="preserve">. Finalize with the DPO (Indalecio Sacdalan Casasola II) + external PH counsel, then append the</w:t>
      </w:r>
      <w:r>
        <w:rPr>
          <w:i/>
          <w:iCs/>
        </w:rPr>
        <w:t xml:space="preserve"> </w:t>
      </w:r>
      <w:r>
        <w:rPr>
          <w:i/>
          <w:iCs/>
        </w:rPr>
        <w:t xml:space="preserve">“Amendment 2026-07-08”</w:t>
      </w:r>
      <w:r>
        <w:rPr>
          <w:i/>
          <w:iCs/>
        </w:rPr>
        <w:t xml:space="preserve"> </w:t>
      </w:r>
      <w:r>
        <w:rPr>
          <w:i/>
          <w:iCs/>
        </w:rPr>
        <w:t xml:space="preserve">section to the live Privacy Policy and set the effectivity date. Open follow-ups it references: the internal fraud-signal retention window (DPIA R-08 · AF-8) and the formal automated-decision contest workflow (§ 16(c)/§ 34).</w:t>
      </w:r>
    </w:p>
    <w:bookmarkEnd w:id="21"/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https://github.com/iscasasola/Setnayan-specs/blob/main/01_Contracts/Setnayan_Privacy_and_Security_Policy.md" TargetMode="External" /><Relationship Type="http://schemas.openxmlformats.org/officeDocument/2006/relationships/hyperlink" Id="rId13" Target="https://github.com/iscasasola/Setnayan-specs/blob/main/NPC_Compliance/02_Records_of_Processing_Activities_DRAFT_2026-07-05.md" TargetMode="External" /><Relationship Type="http://schemas.openxmlformats.org/officeDocument/2006/relationships/hyperlink" Id="rId11" Target="https://github.com/iscasasola/Setnayan-specs/blob/main/NPC_Compliance/08_DPIA_AntiFraud_Trust_Integrity_2026-07-07.md" TargetMode="External" /><Relationship Type="http://schemas.openxmlformats.org/officeDocument/2006/relationships/hyperlink" Id="rId16" Target="https://setnayan.com/help" TargetMode="External" /><Relationship Type="http://schemas.openxmlformats.org/officeDocument/2006/relationships/hyperlink" Id="rId20" Target="https://www.privacy.gov.ph" TargetMode="External" /><Relationship Type="http://schemas.openxmlformats.org/officeDocument/2006/relationships/hyperlink" Id="rId12" Target="https://www.privacy.gov.ph/data-privacy-act/" TargetMode="External" /><Relationship Type="http://schemas.openxmlformats.org/officeDocument/2006/relationships/hyperlink" Id="rId9" Target="mailto:iscasasolaii@gmail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https://github.com/iscasasola/Setnayan-specs/blob/main/01_Contracts/Setnayan_Privacy_and_Security_Policy.md" TargetMode="External" /><Relationship Type="http://schemas.openxmlformats.org/officeDocument/2006/relationships/hyperlink" Id="rId13" Target="https://github.com/iscasasola/Setnayan-specs/blob/main/NPC_Compliance/02_Records_of_Processing_Activities_DRAFT_2026-07-05.md" TargetMode="External" /><Relationship Type="http://schemas.openxmlformats.org/officeDocument/2006/relationships/hyperlink" Id="rId11" Target="https://github.com/iscasasola/Setnayan-specs/blob/main/NPC_Compliance/08_DPIA_AntiFraud_Trust_Integrity_2026-07-07.md" TargetMode="External" /><Relationship Type="http://schemas.openxmlformats.org/officeDocument/2006/relationships/hyperlink" Id="rId16" Target="https://setnayan.com/help" TargetMode="External" /><Relationship Type="http://schemas.openxmlformats.org/officeDocument/2006/relationships/hyperlink" Id="rId20" Target="https://www.privacy.gov.ph" TargetMode="External" /><Relationship Type="http://schemas.openxmlformats.org/officeDocument/2006/relationships/hyperlink" Id="rId12" Target="https://www.privacy.gov.ph/data-privacy-act/" TargetMode="External" /><Relationship Type="http://schemas.openxmlformats.org/officeDocument/2006/relationships/hyperlink" Id="rId9" Target="mailto:iscasasolaii@gmail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2026-07-07T18:08:33Z</dcterms:created>
  <dcterms:modified xsi:type="dcterms:W3CDTF">2026-07-07T18:08:33Z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