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ced72f9a1495cd18c40fe840781e868d427d83"/>
    <w:p>
      <w:pPr>
        <w:pStyle w:val="Heading1"/>
      </w:pPr>
      <w:r>
        <w:t xml:space="preserve">Phase 3 (Stewarded Accounts — Minors &amp; Legacy) — Counsel Review Brief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2026-07-05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PH data-privacy + general counsel (RA 10173 · National Privacy Commission · Family Code / succession)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Setnayan — operating as</w:t>
      </w:r>
      <w:r>
        <w:t xml:space="preserve"> </w:t>
      </w:r>
      <w:r>
        <w:rPr>
          <w:b/>
          <w:bCs/>
        </w:rPr>
        <w:t xml:space="preserve">SETNAYAN SOFTWARE DEVELOPMENT SERVICE</w:t>
      </w:r>
      <w:r>
        <w:t xml:space="preserve">, a sole proprietorship of Indalecio S. Casasola II (DTI Business Name No. 8297508, national scope, valid 25 Jun 2026 – 25 Jun 2031)</w:t>
      </w:r>
      <w:r>
        <w:t xml:space="preserve"> </w:t>
      </w:r>
      <w:r>
        <w:rPr>
          <w:b/>
          <w:bCs/>
        </w:rPr>
        <w:t xml:space="preserve">Data Protection Officer:</w:t>
      </w:r>
      <w:r>
        <w:t xml:space="preserve"> </w:t>
      </w:r>
      <w:r>
        <w:t xml:space="preserve">Indalecio Sacdalan Casasola II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Guidance</w:t>
      </w:r>
      <w:r>
        <w:t xml:space="preserve"> </w:t>
      </w:r>
      <w:r>
        <w:rPr>
          <w:b/>
          <w:bCs/>
        </w:rPr>
        <w:t xml:space="preserve">before we build</w:t>
      </w:r>
      <w:r>
        <w:t xml:space="preserve">. Unlike our Phase 2 review (features already built, awaiting a flag flip),</w:t>
      </w:r>
      <w:r>
        <w:t xml:space="preserve"> </w:t>
      </w:r>
      <w:r>
        <w:rPr>
          <w:b/>
          <w:bCs/>
        </w:rPr>
        <w:t xml:space="preserve">Phase 3 is design-only</w:t>
      </w:r>
      <w:r>
        <w:t xml:space="preserve"> </w:t>
      </w:r>
      <w:r>
        <w:t xml:space="preserve">— nothing is built yet. We want your direction to build it right the first time, because it touches areas beyond data privacy (minors, post-mortem data, succession).</w:t>
      </w:r>
    </w:p>
    <w:p>
      <w:pPr>
        <w:pStyle w:val="BlockText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Phase2_Counsel_Review_Brief_2026-07-05.md</w:t>
      </w:r>
      <w:r>
        <w:t xml:space="preserve"> </w:t>
      </w:r>
      <w:r>
        <w:t xml:space="preserve">(adults connections/life-stories). Full design:</w:t>
      </w:r>
      <w:r>
        <w:t xml:space="preserve"> </w:t>
      </w:r>
      <w:r>
        <w:rPr>
          <w:rStyle w:val="VerbatimChar"/>
        </w:rPr>
        <w:t xml:space="preserve">03_Strategy/Stewarded_Branch_Accounts_Phase3_Design_2026-07-05.md</w:t>
      </w:r>
      <w:r>
        <w:t xml:space="preserve">. Read time: ~10 minutes.</w:t>
      </w:r>
    </w:p>
    <w:p>
      <w:pPr>
        <w:pStyle w:val="Heading2"/>
      </w:pPr>
      <w:bookmarkStart w:id="9" w:name="Xa938a2682b951b2a5b75a431cf614d29b82463f"/>
      <w:r>
        <w:t xml:space="preserve">🔴 CORRECTION — 2026-07-30 · THE COMMERCIAL MODEL CHANGED. RE-ISSUE BEFORE COUNSEL ANSWERS.</w:t>
      </w:r>
      <w:bookmarkEnd w:id="9"/>
    </w:p>
    <w:p>
      <w:pPr>
        <w:pStyle w:val="BlockText"/>
      </w:pPr>
      <w:r>
        <w:rPr>
          <w:b/>
          <w:bCs/>
        </w:rPr>
        <w:t xml:space="preserve">This brief as originally written told you that preservation would be free.</w:t>
      </w:r>
      <w:r>
        <w:t xml:space="preserve"> </w:t>
      </w:r>
      <w:r>
        <w:t xml:space="preserve">That is no longer</w:t>
      </w:r>
      <w:r>
        <w:t xml:space="preserve"> </w:t>
      </w:r>
      <w:r>
        <w:t xml:space="preserve">our model, and we are correcting it rather than letting you answer against a design we no longer</w:t>
      </w:r>
      <w:r>
        <w:t xml:space="preserve"> </w:t>
      </w:r>
      <w:r>
        <w:t xml:space="preserve">intend to build. Two changes: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Preservation is now a PAID, RECURRING service (reversing § 3.4 and § 5).</w:t>
      </w:r>
      <w:r>
        <w:t xml:space="preserve"> </w:t>
      </w:r>
      <w:r>
        <w:t xml:space="preserve">Each account that</w:t>
      </w:r>
      <w:r>
        <w:t xml:space="preserve"> </w:t>
      </w:r>
      <w:r>
        <w:t xml:space="preserve">holds a deceased relative’s memories pays to keep them. If payment lapses, that account’s</w:t>
      </w:r>
      <w:r>
        <w:t xml:space="preserve"> </w:t>
      </w:r>
      <w:r>
        <w:t xml:space="preserve">access to those memories ends. We are</w:t>
      </w:r>
      <w:r>
        <w:t xml:space="preserve"> </w:t>
      </w:r>
      <w:r>
        <w:rPr>
          <w:b/>
          <w:bCs/>
        </w:rPr>
        <w:t xml:space="preserve">no longer</w:t>
      </w:r>
      <w:r>
        <w:t xml:space="preserve"> </w:t>
      </w:r>
      <w:r>
        <w:t xml:space="preserve">promising free-forever preservation.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deceased person’s memories may be held by SEVERAL descendants at once</w:t>
      </w:r>
      <w:r>
        <w:t xml:space="preserve"> </w:t>
      </w:r>
      <w:r>
        <w:t xml:space="preserve">— a canonical</w:t>
      </w:r>
      <w:r>
        <w:t xml:space="preserve"> </w:t>
      </w:r>
      <w:r>
        <w:t xml:space="preserve">memorial page under the deceased’s own name,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 separately-billed personal copy in each</w:t>
      </w:r>
      <w:r>
        <w:t xml:space="preserve"> </w:t>
      </w:r>
      <w:r>
        <w:t xml:space="preserve">direct-line child’s account.</w:t>
      </w:r>
    </w:p>
    <w:p>
      <w:pPr>
        <w:pStyle w:val="BlockText"/>
      </w:pPr>
      <w:r>
        <w:t xml:space="preserve">Both changes create legal questions the original brief did not ask.</w:t>
      </w:r>
      <w:r>
        <w:t xml:space="preserve"> </w:t>
      </w:r>
      <w:r>
        <w:rPr>
          <w:b/>
          <w:bCs/>
        </w:rPr>
        <w:t xml:space="preserve">They are added as § 4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 8 and 9 and are, in our view, now the most important questions in this brief.</w:t>
      </w:r>
      <w:r>
        <w:t xml:space="preserve"> </w:t>
      </w:r>
      <w:r>
        <w:t xml:space="preserve">Please answer against this corrected version. Sections § 3.4 and § 5 are struck through below;</w:t>
      </w:r>
      <w:r>
        <w:t xml:space="preserve"> </w:t>
      </w:r>
      <w:r>
        <w:t xml:space="preserve">the rest of the brief is unchanged and still accurate.</w:t>
      </w:r>
    </w:p>
    <w:p>
      <w:r>
        <w:pict>
          <v:rect style="width:0;height:1.5pt" o:hralign="center" o:hrstd="t" o:hr="t"/>
        </w:pict>
      </w:r>
    </w:p>
    <w:bookmarkStart w:id="10" w:name="what-phase-3-does-one-paragraph"/>
    <w:p>
      <w:pPr>
        <w:pStyle w:val="Heading2"/>
      </w:pPr>
      <w:r>
        <w:t xml:space="preserve">1. What Phase 3 does (one paragraph)</w:t>
      </w:r>
    </w:p>
    <w:p>
      <w:pPr>
        <w:pStyle w:val="FirstParagraph"/>
      </w:pPr>
      <w:r>
        <w:t xml:space="preserve">Setnayan stores each person as a durable profile (</w:t>
      </w:r>
      <w:r>
        <w:t xml:space="preserve">“person node”</w:t>
      </w:r>
      <w:r>
        <w:t xml:space="preserve">) that accumulates their memories (photos/clips they appear in) and their confirmed relationships. Phase 3 introduces a</w:t>
      </w:r>
      <w:r>
        <w:t xml:space="preserve"> </w:t>
      </w:r>
      <w:r>
        <w:rPr>
          <w:b/>
          <w:bCs/>
        </w:rPr>
        <w:t xml:space="preserve">stewarded (</w:t>
      </w:r>
      <w:r>
        <w:rPr>
          <w:b/>
          <w:bCs/>
        </w:rPr>
        <w:t xml:space="preserve">“branch”</w:t>
      </w:r>
      <w:r>
        <w:rPr>
          <w:b/>
          <w:bCs/>
        </w:rPr>
        <w:t xml:space="preserve">) account</w:t>
      </w:r>
      <w:r>
        <w:t xml:space="preserve">: a person node that is</w:t>
      </w:r>
      <w:r>
        <w:t xml:space="preserve"> </w:t>
      </w:r>
      <w:r>
        <w:rPr>
          <w:b/>
          <w:bCs/>
        </w:rPr>
        <w:t xml:space="preserve">created and controlled by someone else</w:t>
      </w:r>
      <w:r>
        <w:t xml:space="preserve"> </w:t>
      </w:r>
      <w:r>
        <w:t xml:space="preserve">and whose</w:t>
      </w:r>
      <w:r>
        <w:t xml:space="preserve"> </w:t>
      </w:r>
      <w:r>
        <w:rPr>
          <w:b/>
          <w:bCs/>
        </w:rPr>
        <w:t xml:space="preserve">ownership can later be transferred</w:t>
      </w:r>
      <w:r>
        <w:t xml:space="preserve"> </w:t>
      </w:r>
      <w:r>
        <w:t xml:space="preserve">to the real person. This one mechanism serves two cases:</w:t>
      </w:r>
      <w:r>
        <w:t xml:space="preserve"> </w:t>
      </w:r>
      <w:r>
        <w:rPr>
          <w:b/>
          <w:bCs/>
        </w:rPr>
        <w:t xml:space="preserve">(a) minors</w:t>
      </w:r>
      <w:r>
        <w:t xml:space="preserve"> </w:t>
      </w:r>
      <w:r>
        <w:t xml:space="preserve">— a parent/guardian holds a child’s branch, and it transfers to the child at the age of majority; and</w:t>
      </w:r>
      <w:r>
        <w:t xml:space="preserve"> </w:t>
      </w:r>
      <w:r>
        <w:rPr>
          <w:b/>
          <w:bCs/>
        </w:rPr>
        <w:t xml:space="preserve">(b) legacy/inheritance</w:t>
      </w:r>
      <w:r>
        <w:t xml:space="preserve"> </w:t>
      </w:r>
      <w:r>
        <w:t xml:space="preserve">— when a person dies, their memories pass</w:t>
      </w:r>
      <w:r>
        <w:t xml:space="preserve"> </w:t>
      </w:r>
      <w:r>
        <w:rPr>
          <w:b/>
          <w:bCs/>
        </w:rPr>
        <w:t xml:space="preserve">down their direct line</w:t>
      </w:r>
      <w:r>
        <w:t xml:space="preserve"> </w:t>
      </w:r>
      <w:r>
        <w:t xml:space="preserve">(child, then grandchild) to a designated heir, or become a memorial.</w:t>
      </w:r>
      <w:r>
        <w:t xml:space="preserve"> </w:t>
      </w:r>
      <w:r>
        <w:rPr>
          <w:i/>
          <w:iCs/>
          <w:strike/>
        </w:rPr>
        <w:t xml:space="preserve">The intent is that</w:t>
      </w:r>
      <w:r>
        <w:rPr>
          <w:i/>
          <w:iCs/>
          <w:strike/>
        </w:rPr>
        <w:t xml:space="preserve"> </w:t>
      </w:r>
      <w:r>
        <w:rPr>
          <w:b/>
          <w:bCs/>
          <w:i/>
          <w:iCs/>
          <w:strike/>
        </w:rPr>
        <w:t xml:space="preserve">memories are never lost</w:t>
      </w:r>
      <w:r>
        <w:rPr>
          <w:i/>
          <w:iCs/>
          <w:strike/>
        </w:rPr>
        <w:t xml:space="preserve"> </w:t>
      </w:r>
      <w:r>
        <w:rPr>
          <w:i/>
          <w:iCs/>
          <w:strike/>
        </w:rPr>
        <w:t xml:space="preserve">and can be passed on.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Corrected 2026-07-30:</w:t>
      </w:r>
      <w:r>
        <w:t xml:space="preserve"> </w:t>
      </w:r>
      <w:r>
        <w:t xml:space="preserve">the intent is that memories</w:t>
      </w:r>
      <w:r>
        <w:t xml:space="preserve"> </w:t>
      </w:r>
      <w:r>
        <w:rPr>
          <w:b/>
          <w:bCs/>
        </w:rPr>
        <w:t xml:space="preserve">can be passed on</w:t>
      </w:r>
      <w:r>
        <w:t xml:space="preserve">; they are</w:t>
      </w:r>
      <w:r>
        <w:t xml:space="preserve"> </w:t>
      </w:r>
      <w:r>
        <w:rPr>
          <w:b/>
          <w:bCs/>
        </w:rPr>
        <w:t xml:space="preserve">no longer promised to be never lost</w:t>
      </w:r>
      <w:r>
        <w:t xml:space="preserve">, because preservation is now a paid recurring service that ends on lapse (§ 3.4 as corrected, and § 4 Q8).</w:t>
      </w:r>
    </w:p>
    <w:bookmarkEnd w:id="10"/>
    <w:bookmarkStart w:id="11" w:name="what-data-is-involved"/>
    <w:p>
      <w:pPr>
        <w:pStyle w:val="Heading2"/>
      </w:pPr>
      <w:r>
        <w:t xml:space="preserve">2. What data is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person node</w:t>
            </w:r>
            <w:r>
              <w:t xml:space="preserve"> </w:t>
            </w:r>
            <w:r>
              <w:t xml:space="preserve">— a minor’s or deceased person’s name, photo, relationships, and the media they appear in</w:t>
            </w:r>
          </w:p>
        </w:tc>
        <w:tc>
          <w:tcPr/>
          <w:p>
            <w:pPr>
              <w:pStyle w:val="Compact"/>
            </w:pPr>
            <w:r>
              <w:t xml:space="preserve">The durable archive that accrues + transfers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(incl. a minor’s / a deceased’s)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Stewardship record</w:t>
            </w:r>
            <w:r>
              <w:t xml:space="preserve"> </w:t>
            </w:r>
            <w:r>
              <w:t xml:space="preserve">— who controls a branch (guardian / estate), on what basis, from/until when</w:t>
            </w:r>
          </w:p>
        </w:tc>
        <w:tc>
          <w:tcPr/>
          <w:p>
            <w:pPr>
              <w:pStyle w:val="Compact"/>
            </w:pPr>
            <w:r>
              <w:t xml:space="preserve">Governs who may act for the ward</w:t>
            </w:r>
          </w:p>
        </w:tc>
        <w:tc>
          <w:tcPr/>
          <w:p>
            <w:pPr>
              <w:pStyle w:val="Compact"/>
            </w:pPr>
            <w:r>
              <w:t xml:space="preserve">Relationship +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+ consent records</w:t>
            </w:r>
            <w:r>
              <w:t xml:space="preserve"> </w:t>
            </w:r>
            <w:r>
              <w:t xml:space="preserve">— guardian consent, pre-mortem directives, majority-transfer and inheritance-transfer audit trail</w:t>
            </w:r>
          </w:p>
        </w:tc>
        <w:tc>
          <w:tcPr/>
          <w:p>
            <w:pPr>
              <w:pStyle w:val="Compact"/>
            </w:pPr>
            <w:r>
              <w:t xml:space="preserve">Lawful basis + immutable audit</w:t>
            </w:r>
          </w:p>
        </w:tc>
        <w:tc>
          <w:tcPr/>
          <w:p>
            <w:pPr>
              <w:pStyle w:val="Compact"/>
            </w:pPr>
            <w:r>
              <w:t xml:space="preserve">Consent / legal</w:t>
            </w:r>
          </w:p>
        </w:tc>
      </w:tr>
    </w:tbl>
    <w:p>
      <w:pPr>
        <w:pStyle w:val="BodyText"/>
      </w:pPr>
      <w:r>
        <w:t xml:space="preserve">No biometric data is used (same as Phase 2 — association is by manual tag / QR / confirmed identity only, never cross-event face recognition).</w:t>
      </w:r>
    </w:p>
    <w:bookmarkEnd w:id="11"/>
    <w:bookmarkStart w:id="12" w:name="X7376126b5e31752b498780c27ccabd1fe4423bb"/>
    <w:p>
      <w:pPr>
        <w:pStyle w:val="Heading2"/>
      </w:pPr>
      <w:r>
        <w:t xml:space="preserve">3. Decisions we’ve already made (please confirm or correct)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Ownership transfers at age of majority (18).</w:t>
      </w:r>
      <w:r>
        <w:t xml:space="preserve"> </w:t>
      </w:r>
      <w:r>
        <w:t xml:space="preserve">The guardian is the lawful decision-maker for the child’s data until 18; at 18 ownership + consent authority transfer to the person. 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promising any sub-18 ownership transfer.</w:t>
      </w:r>
      <w:r>
        <w:t xml:space="preserve"> </w:t>
      </w:r>
      <w:r>
        <w:rPr>
          <w:i/>
          <w:iCs/>
        </w:rPr>
        <w:t xml:space="preserve">(We considered an optional teen</w:t>
      </w:r>
      <w:r>
        <w:rPr>
          <w:i/>
          <w:iCs/>
        </w:rPr>
        <w:t xml:space="preserve"> </w:t>
      </w:r>
      <w:r>
        <w:rPr>
          <w:i/>
          <w:iCs/>
        </w:rPr>
        <w:t xml:space="preserve">“assisted access”</w:t>
      </w:r>
      <w:r>
        <w:rPr>
          <w:i/>
          <w:iCs/>
        </w:rPr>
        <w:t xml:space="preserve"> </w:t>
      </w:r>
      <w:r>
        <w:rPr>
          <w:i/>
          <w:iCs/>
        </w:rPr>
        <w:t xml:space="preserve">— view-only use under guardian oversight, guardian keeps ownership/consent — see Q2.)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Guardian is steward until majority.</w:t>
      </w:r>
      <w:r>
        <w:t xml:space="preserve"> </w:t>
      </w:r>
      <w:r>
        <w:t xml:space="preserve">Memories accrue on the child’s node throughout 0–18, managed by the guardian.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Legacy passes down the DIRECT LINE only</w:t>
      </w:r>
      <w:r>
        <w:t xml:space="preserve"> </w:t>
      </w:r>
      <w:r>
        <w:t xml:space="preserve">— child → grandchild → … — never sideways (no siblings/cousins), using confirmed parent/child relationships.</w:t>
      </w:r>
    </w:p>
    <w:p>
      <w:pPr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CORRECTED 2026-07-30 — PRESERVATION IS PAID.</w:t>
      </w:r>
      <w:r>
        <w:t xml:space="preserve"> </w:t>
      </w:r>
      <w:r>
        <w:rPr>
          <w:i/>
          <w:iCs/>
          <w:strike/>
        </w:rPr>
        <w:t xml:space="preserve">Preservation is free; we only charge for enhancement. We will not charge a fee to prevent loss of a deceased person’s memories. (A premium</w:t>
      </w:r>
      <w:r>
        <w:rPr>
          <w:i/>
          <w:iCs/>
          <w:strike/>
        </w:rPr>
        <w:t xml:space="preserve"> </w:t>
      </w:r>
      <w:r>
        <w:rPr>
          <w:i/>
          <w:iCs/>
          <w:strike/>
        </w:rPr>
        <w:t xml:space="preserve">“vault”</w:t>
      </w:r>
      <w:r>
        <w:rPr>
          <w:i/>
          <w:iCs/>
          <w:strike/>
        </w:rPr>
        <w:t xml:space="preserve"> </w:t>
      </w:r>
      <w:r>
        <w:rPr>
          <w:i/>
          <w:iCs/>
          <w:strike/>
        </w:rPr>
        <w:t xml:space="preserve">of extra features may be paid — not relevant to this review.)</w:t>
      </w:r>
      <w:r>
        <w:t xml:space="preserve"> </w:t>
      </w:r>
      <w:r>
        <w:rPr>
          <w:b/>
          <w:bCs/>
        </w:rPr>
        <w:t xml:space="preserve">The current model:</w:t>
      </w:r>
      <w:r>
        <w:t xml:space="preserve"> </w:t>
      </w:r>
      <w:r>
        <w:t xml:space="preserve">keeping a deceased relative’s memories is a</w:t>
      </w:r>
      <w:r>
        <w:t xml:space="preserve"> </w:t>
      </w:r>
      <w:r>
        <w:rPr>
          <w:b/>
          <w:bCs/>
        </w:rPr>
        <w:t xml:space="preserve">recurring paid service</w:t>
      </w:r>
      <w:r>
        <w:t xml:space="preserve">, charged to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account that holds them. Where several descendants each hold a copy, each pays separately.</w:t>
      </w:r>
      <w:r>
        <w:t xml:space="preserve"> </w:t>
      </w:r>
      <w:r>
        <w:rPr>
          <w:b/>
          <w:bCs/>
        </w:rPr>
        <w:t xml:space="preserve">If a payer lapses, that account’s copy of the memories is discontinued.</w:t>
      </w:r>
      <w:r>
        <w:t xml:space="preserve"> </w:t>
      </w:r>
      <w:r>
        <w:t xml:space="preserve">We have not yet fixed the price, the billing period, the grace period, or whether a lapse deletes the data outright or degrades it to a lower-quality retained copy —</w:t>
      </w:r>
      <w:r>
        <w:t xml:space="preserve"> </w:t>
      </w:r>
      <w:r>
        <w:rPr>
          <w:b/>
          <w:bCs/>
        </w:rPr>
        <w:t xml:space="preserve">your answer to § 4 Q8 will shape that choice</w:t>
      </w:r>
      <w:r>
        <w:t xml:space="preserve">, which is why we are asking before we build.</w:t>
      </w:r>
    </w:p>
    <w:p>
      <w:pPr>
        <w:numPr>
          <w:ilvl w:val="0"/>
          <w:numId w:val="1002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ADDED 2026-07-30 — one deceased person, several holders.</w:t>
      </w:r>
      <w:r>
        <w:t xml:space="preserve"> </w:t>
      </w:r>
      <w:r>
        <w:t xml:space="preserve">On death the person’s page becomes a</w:t>
      </w:r>
      <w:r>
        <w:t xml:space="preserve"> </w:t>
      </w:r>
      <w:r>
        <w:rPr>
          <w:b/>
          <w:bCs/>
        </w:rPr>
        <w:t xml:space="preserve">memorial that remains under their own name and identity</w:t>
      </w:r>
      <w:r>
        <w:t xml:space="preserve"> </w:t>
      </w:r>
      <w:r>
        <w:t xml:space="preserve">(it is not renamed or absorbed into a survivor’s account), with a direct-line relative as its</w:t>
      </w:r>
      <w:r>
        <w:t xml:space="preserve"> </w:t>
      </w:r>
      <w:r>
        <w:rPr>
          <w:i/>
          <w:iCs/>
        </w:rPr>
        <w:t xml:space="preserve">keeper</w:t>
      </w:r>
      <w:r>
        <w:t xml:space="preserve">.</w:t>
      </w:r>
      <w:r>
        <w:t xml:space="preserve"> </w:t>
      </w:r>
      <w:r>
        <w:rPr>
          <w:b/>
          <w:bCs/>
        </w:rPr>
        <w:t xml:space="preserve">In addition</w:t>
      </w:r>
      <w:r>
        <w:t xml:space="preserve">, each direct-line child may hold a personally-curated copy of the ancestral memories inside their own account. Copies pass</w:t>
      </w:r>
      <w:r>
        <w:t xml:space="preserve"> </w:t>
      </w:r>
      <w:r>
        <w:rPr>
          <w:b/>
          <w:bCs/>
        </w:rPr>
        <w:t xml:space="preserve">down the direct line only</w:t>
      </w:r>
      <w:r>
        <w:t xml:space="preserve"> </w:t>
      </w:r>
      <w:r>
        <w:t xml:space="preserve">— never to siblings of the deceased, cousins, or in-laws.</w:t>
      </w:r>
    </w:p>
    <w:bookmarkEnd w:id="12"/>
    <w:bookmarkStart w:id="13" w:name="the-specific-questions-we-need-answered"/>
    <w:p>
      <w:pPr>
        <w:pStyle w:val="Heading2"/>
      </w:pPr>
      <w:r>
        <w:t xml:space="preserve">4. The specific questions we need answered</w:t>
      </w:r>
    </w:p>
    <w:p>
      <w:pPr>
        <w:pStyle w:val="FirstParagraph"/>
      </w:pPr>
      <w:r>
        <w:rPr>
          <w:b/>
          <w:bCs/>
        </w:rPr>
        <w:t xml:space="preserve">Minors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Guardianship + consent</w:t>
      </w:r>
      <w:r>
        <w:t xml:space="preserve"> </w:t>
      </w:r>
      <w:r>
        <w:t xml:space="preserve">— What standard should we require to prove a person is a child’s parent/legal guardian, and what may a guardian consent to on the child’s behalf regarding this data?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Teen assisted access</w:t>
      </w:r>
      <w:r>
        <w:t xml:space="preserve"> </w:t>
      </w:r>
      <w:r>
        <w:t xml:space="preserve">— May a minor (say 13+)</w:t>
      </w:r>
      <w:r>
        <w:t xml:space="preserve"> </w:t>
      </w:r>
      <w:r>
        <w:rPr>
          <w:i/>
          <w:iCs/>
        </w:rPr>
        <w:t xml:space="preserve">view/use</w:t>
      </w:r>
      <w:r>
        <w:t xml:space="preserve"> </w:t>
      </w:r>
      <w:r>
        <w:t xml:space="preserve">their branch under guardian oversight before 18, while the guardian retains ownership and consent authority? If so, is there a minimum age?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Majority handover</w:t>
      </w:r>
      <w:r>
        <w:t xml:space="preserve"> </w:t>
      </w:r>
      <w:r>
        <w:t xml:space="preserve">— At 18, must we obtain the now-adult’s own fresh consent to continue processing the memories accrued during childhood? Any notice/waiting period for the transfer itself?</w:t>
      </w:r>
    </w:p>
    <w:p>
      <w:pPr>
        <w:pStyle w:val="BodyText"/>
      </w:pPr>
      <w:r>
        <w:rPr>
          <w:b/>
          <w:bCs/>
        </w:rPr>
        <w:t xml:space="preserve">Legacy / post-mortem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Post-mortem data</w:t>
      </w:r>
      <w:r>
        <w:t xml:space="preserve"> </w:t>
      </w:r>
      <w:r>
        <w:t xml:space="preserve">— Does RA 10173 (or other PH law) govern a deceased person’s personal data, and who may control it after death? Any constraints on treating memories as inheritable?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Proof to inherit</w:t>
      </w:r>
      <w:r>
        <w:t xml:space="preserve"> </w:t>
      </w:r>
      <w:r>
        <w:t xml:space="preserve">— What proof of death, and what proof of a direct-line heir’s authority, should we require before an inheritance transfer? Is</w:t>
      </w:r>
      <w:r>
        <w:t xml:space="preserve"> </w:t>
      </w:r>
      <w:r>
        <w:rPr>
          <w:b/>
          <w:bCs/>
        </w:rPr>
        <w:t xml:space="preserve">memorial-by-default</w:t>
      </w:r>
      <w:r>
        <w:t xml:space="preserve"> </w:t>
      </w:r>
      <w:r>
        <w:t xml:space="preserve">(read-only) the right posture until that proof exists?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Pre-designation</w:t>
      </w:r>
      <w:r>
        <w:t xml:space="preserve"> </w:t>
      </w:r>
      <w:r>
        <w:t xml:space="preserve">— May a living person validly designate, in-app, who inherits their memories (a directive we’d honor at death), and how binding is that against other heirs?</w:t>
      </w:r>
    </w:p>
    <w:p>
      <w:pPr>
        <w:pStyle w:val="BodyText"/>
      </w:pPr>
      <w:r>
        <w:rPr>
          <w:b/>
          <w:bCs/>
        </w:rPr>
        <w:t xml:space="preserve">Cross-cutting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Verification + reversal</w:t>
      </w:r>
      <w:r>
        <w:t xml:space="preserve"> </w:t>
      </w:r>
      <w:r>
        <w:t xml:space="preserve">— What identity-verification bar should gate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ownership transfer, and what is the compliant path to reverse a wrongful transfer?</w:t>
      </w:r>
    </w:p>
    <w:p>
      <w:pPr>
        <w:pStyle w:val="BodyText"/>
      </w:pPr>
      <w:r>
        <w:rPr>
          <w:b/>
          <w:bCs/>
        </w:rPr>
        <w:t xml:space="preserve">🆕 Added 2026-07-30 — the paid-preservation model (please treat these as the priority questions)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Deletion for non-payment.</w:t>
      </w:r>
      <w:r>
        <w:t xml:space="preserve"> </w:t>
      </w:r>
      <w:r>
        <w:t xml:space="preserve">Where a living survivor pays a recurring fee to preserve a</w:t>
      </w:r>
      <w:r>
        <w:t xml:space="preserve"> </w:t>
      </w:r>
      <w:r>
        <w:rPr>
          <w:b/>
          <w:bCs/>
        </w:rPr>
        <w:t xml:space="preserve">deceased</w:t>
      </w:r>
      <w:r>
        <w:t xml:space="preserve"> </w:t>
      </w:r>
      <w:r>
        <w:t xml:space="preserve">relative’s memories,</w:t>
      </w:r>
      <w:r>
        <w:t xml:space="preserve"> </w:t>
      </w:r>
      <w:r>
        <w:rPr>
          <w:b/>
          <w:bCs/>
        </w:rPr>
        <w:t xml:space="preserve">may we lawfully delete that data when the payment lapses?</w:t>
      </w:r>
      <w:r>
        <w:t xml:space="preserve"> </w:t>
      </w:r>
      <w:r>
        <w:t xml:space="preserve">Specifically: (a) does the deceased, their estate, or a direct-line heir hold any interest in that data that</w:t>
      </w:r>
      <w:r>
        <w:t xml:space="preserve"> </w:t>
      </w:r>
      <w:r>
        <w:rPr>
          <w:i/>
          <w:iCs/>
        </w:rPr>
        <w:t xml:space="preserve">survives</w:t>
      </w:r>
      <w:r>
        <w:t xml:space="preserve"> </w:t>
      </w:r>
      <w:r>
        <w:t xml:space="preserve">the lapse and constrains our ability to delete it; (b) what notice and grace period should precede deletion; (c) is there any exposure in</w:t>
      </w:r>
      <w:r>
        <w:t xml:space="preserve"> </w:t>
      </w:r>
      <w:r>
        <w:rPr>
          <w:i/>
          <w:iCs/>
        </w:rPr>
        <w:t xml:space="preserve">charging</w:t>
      </w:r>
      <w:r>
        <w:t xml:space="preserve"> </w:t>
      </w:r>
      <w:r>
        <w:t xml:space="preserve">for the continued existence of a deceased person’s data at all; and (d) would you advise a different lapse behaviour — for example degrading to a lower-resolution retained copy rather than deleting — to reduce that exposure?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Several holders of one deceased person’s data.</w:t>
      </w:r>
      <w:r>
        <w:t xml:space="preserve"> </w:t>
      </w:r>
      <w:r>
        <w:t xml:space="preserve">Where the same deceased person’s memories exist as a canonical memorial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as personal copies in several descendants’ accounts: (a) what must we do so that an erasure, takedown, or objection reaches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copy; (b) does one holder’s lapse or deletion affect the others; and (c) does holding multiple copies change our obligations compared with a single memorial record?</w:t>
      </w:r>
      <w:r>
        <w:t xml:space="preserve"> </w:t>
      </w:r>
      <w:r>
        <w:rPr>
          <w:i/>
          <w:iCs/>
        </w:rPr>
        <w:t xml:space="preserve">(Our engineering intent is to implement</w:t>
      </w:r>
      <w:r>
        <w:rPr>
          <w:i/>
          <w:iCs/>
        </w:rPr>
        <w:t xml:space="preserve"> </w:t>
      </w:r>
      <w:r>
        <w:rPr>
          <w:i/>
          <w:iCs/>
        </w:rPr>
        <w:t xml:space="preserve">“copies”</w:t>
      </w:r>
      <w:r>
        <w:rPr>
          <w:i/>
          <w:iCs/>
        </w:rPr>
        <w:t xml:space="preserve"> </w:t>
      </w:r>
      <w:r>
        <w:rPr>
          <w:i/>
          <w:iCs/>
        </w:rPr>
        <w:t xml:space="preserve">as per-person views over one underlying record rather than duplicated data, precisely so an erasure is enforceable — we would welcome your view on whether that is sufficient.)</w:t>
      </w:r>
    </w:p>
    <w:bookmarkEnd w:id="13"/>
    <w:bookmarkStart w:id="14" w:name="what-is-explicitly-not-in-this-review"/>
    <w:p>
      <w:pPr>
        <w:pStyle w:val="Heading2"/>
      </w:pPr>
      <w:r>
        <w:t xml:space="preserve">5. What is explicitly NOT in this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biometric / facial recognition</w:t>
      </w:r>
      <w:r>
        <w:t xml:space="preserve"> </w:t>
      </w:r>
      <w:r>
        <w:t xml:space="preserve">(as in Phase 2; any future on-device face feature gets its own DPIA).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CORRECTED 2026-07-30.</w:t>
      </w:r>
      <w:r>
        <w:t xml:space="preserve"> </w:t>
      </w:r>
      <w:r>
        <w:rPr>
          <w:i/>
          <w:iCs/>
          <w:strike/>
        </w:rPr>
        <w:t xml:space="preserve">No pricing/payment decision (preservation is free; a premium vault is a separate commercial matter).</w:t>
      </w:r>
      <w:r>
        <w:t xml:space="preserve"> </w:t>
      </w:r>
      <w:r>
        <w:rPr>
          <w:b/>
          <w:bCs/>
        </w:rPr>
        <w:t xml:space="preserve">Payment is now squarely in scope</w:t>
      </w:r>
      <w:r>
        <w:t xml:space="preserve">, because the commercial model reversed: preservation of a deceased person’s memories is a</w:t>
      </w:r>
      <w:r>
        <w:t xml:space="preserve"> </w:t>
      </w:r>
      <w:r>
        <w:rPr>
          <w:b/>
          <w:bCs/>
        </w:rPr>
        <w:t xml:space="preserve">paid recurring service</w:t>
      </w:r>
      <w:r>
        <w:t xml:space="preserve"> </w:t>
      </w:r>
      <w:r>
        <w:t xml:space="preserve">and lapse ends it (§ 3.4 as corrected). 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asking you to price it — we are asking, in</w:t>
      </w:r>
      <w:r>
        <w:t xml:space="preserve"> </w:t>
      </w:r>
      <w:r>
        <w:rPr>
          <w:b/>
          <w:bCs/>
        </w:rPr>
        <w:t xml:space="preserve">§ 4 Q8</w:t>
      </w:r>
      <w:r>
        <w:t xml:space="preserve">, whether the model is lawful and what it obliges us to do. The specific price and billing period remain a commercial matter outside this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Nothing is built</w:t>
      </w:r>
      <w:r>
        <w:t xml:space="preserve"> </w:t>
      </w:r>
      <w:r>
        <w:t xml:space="preserve">— we will scaffold only empty, inert structures until you clear the model.</w:t>
      </w:r>
      <w:r>
        <w:t xml:space="preserve"> </w:t>
      </w:r>
      <w:r>
        <w:rPr>
          <w:i/>
          <w:iCs/>
        </w:rPr>
        <w:t xml:space="preserve">(Status 2026-07-30: this remains true. The only thing that has shipped is an empty, deny-by-default database table holding no data and creating no behaviour.)</w:t>
      </w:r>
    </w:p>
    <w:bookmarkEnd w:id="14"/>
    <w:bookmarkStart w:id="15" w:name="what-were-asking-for"/>
    <w:p>
      <w:pPr>
        <w:pStyle w:val="Heading2"/>
      </w:pPr>
      <w:r>
        <w:t xml:space="preserve">6. What we’re asking for</w:t>
      </w:r>
    </w:p>
    <w:p>
      <w:pPr>
        <w:pStyle w:val="FirstParagraph"/>
      </w:pPr>
      <w:r>
        <w:t xml:space="preserve">A written</w:t>
      </w:r>
      <w:r>
        <w:t xml:space="preserve"> </w:t>
      </w:r>
      <w:r>
        <w:rPr>
          <w:b/>
          <w:bCs/>
        </w:rPr>
        <w:t xml:space="preserve">yes / yes-with-changes</w:t>
      </w:r>
      <w:r>
        <w:t xml:space="preserve"> </w:t>
      </w:r>
      <w:r>
        <w:t xml:space="preserve">on the model in §1–3, and answers to §4 — enough for us to build minors and legacy correctly and compliantly. We understand minors and post-mortem data each likely warrant a Data Privacy Impact Assessment; we’re glad to do those with your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Plain-language brief; the underlying design, schema, and audit model can be walked through with a technical reviewer on request.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2026-07-30T15:47:13Z</dcterms:created>
  <dcterms:modified xsi:type="dcterms:W3CDTF">2026-07-30T15:47:13Z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