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bookmarkStart w:id="9"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9"/>
    <w:bookmarkStart w:id="25" w:name="vendor-data-model-v1"/>
    <w:p>
      <w:pPr>
        <w:pStyle w:val="Heading2"/>
      </w:pPr>
      <w:r>
        <w:t xml:space="preserve">2. Vendor data model (V1)</w:t>
      </w:r>
    </w:p>
    <w:bookmarkStart w:id="10"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bookmarkEnd w:id="10"/>
    <w:bookmarkStart w:id="11"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1"/>
    <w:bookmarkStart w:id="12" w:name="a-vendor-proposed-custom-categories"/>
    <w:p>
      <w:pPr>
        <w:pStyle w:val="Heading3"/>
      </w:pPr>
      <w:r>
        <w:t xml:space="preserve">2.1a Vendor-proposed custom categories</w:t>
      </w:r>
    </w:p>
    <w:p>
      <w:pPr>
        <w:pStyle w:val="FirstParagraph"/>
      </w:pPr>
      <w:r>
        <w:t xml:space="preserve">Vendors aren’t locked into the 28 canonical wedding service categories. If their offering doesn’t fit (e.g.,</w:t>
      </w:r>
      <w:r>
        <w:t xml:space="preserve"> </w:t>
      </w:r>
      <w:r>
        <w:t xml:space="preserve">“Heirloom photo restoration,”</w:t>
      </w:r>
      <w:r>
        <w:t xml:space="preserve"> </w:t>
      </w:r>
      <w:r>
        <w:t xml:space="preserve">“Filipino-Catholic ceremony coordination,”</w:t>
      </w:r>
      <w:r>
        <w:t xml:space="preserve"> </w:t>
      </w:r>
      <w:r>
        <w:t xml:space="preserve">“Bespoke barong tailoring”</w:t>
      </w:r>
      <w:r>
        <w:t xml:space="preserve">), they propose a custom category from the service editor.</w:t>
      </w:r>
    </w:p>
    <w:p>
      <w:pPr>
        <w:pStyle w:val="BodyText"/>
      </w:pPr>
      <w:r>
        <w:rPr>
          <w:b/>
          <w:bCs/>
        </w:rPr>
        <w:t xml:space="preserve">Flow:</w:t>
      </w:r>
    </w:p>
    <w:p>
      <w:pPr>
        <w:pStyle w:val="Compact"/>
        <w:numPr>
          <w:ilvl w:val="0"/>
          <w:numId w:val="1004"/>
        </w:numPr>
      </w:pPr>
      <w:r>
        <w:rPr>
          <w:b/>
          <w:bCs/>
        </w:rPr>
        <w:t xml:space="preserve">Publish today as private label.</w:t>
      </w:r>
      <w:r>
        <w:t xml:space="preserve"> </w:t>
      </w:r>
      <w:r>
        <w:t xml:space="preserve">New category is saved on the vendor’s services immediately. It’s visible to couples viewing that vendor’s page but doesn’t appear in the marketplace’s category-filter dropdown yet.</w:t>
      </w:r>
    </w:p>
    <w:p>
      <w:pPr>
        <w:pStyle w:val="Compact"/>
        <w:numPr>
          <w:ilvl w:val="0"/>
          <w:numId w:val="1004"/>
        </w:numPr>
      </w:pPr>
      <w:r>
        <w:rPr>
          <w:b/>
          <w:bCs/>
        </w:rPr>
        <w:t xml:space="preserve">Admin review (3 business days).</w:t>
      </w:r>
      <w:r>
        <w:t xml:space="preserve"> </w:t>
      </w:r>
      <w:r>
        <w:t xml:space="preserve">Setnayan Team checks: is this duplicated? does the naming fit the taxonomy? is it scoped sensibly?</w:t>
      </w:r>
    </w:p>
    <w:p>
      <w:pPr>
        <w:pStyle w:val="Compact"/>
        <w:numPr>
          <w:ilvl w:val="0"/>
          <w:numId w:val="1004"/>
        </w:numPr>
      </w:pPr>
      <w:r>
        <w:rPr>
          <w:b/>
          <w:bCs/>
        </w:rPr>
        <w:t xml:space="preserve">Outcome A — promoted to global.</w:t>
      </w:r>
      <w:r>
        <w:t xml:space="preserve"> </w:t>
      </w:r>
      <w:r>
        <w:t xml:space="preserve">Category enters the canonical taxonomy. Other vendors can opt into it. The proposing vendor keeps the</w:t>
      </w:r>
      <w:r>
        <w:t xml:space="preserve"> </w:t>
      </w:r>
      <w:r>
        <w:t xml:space="preserve">“first vendor”</w:t>
      </w:r>
      <w:r>
        <w:t xml:space="preserve"> </w:t>
      </w:r>
      <w:r>
        <w:t xml:space="preserve">credit.</w:t>
      </w:r>
    </w:p>
    <w:p>
      <w:pPr>
        <w:pStyle w:val="Compact"/>
        <w:numPr>
          <w:ilvl w:val="0"/>
          <w:numId w:val="1004"/>
        </w:numPr>
      </w:pPr>
      <w:r>
        <w:rPr>
          <w:b/>
          <w:bCs/>
        </w:rPr>
        <w:t xml:space="preserve">Outcome B — kept private.</w:t>
      </w:r>
      <w:r>
        <w:t xml:space="preserve"> </w:t>
      </w:r>
      <w:r>
        <w:t xml:space="preserve">Category remains a private label scoped to the proposing vendor’s record. They keep using it; it doesn’t appear in marketplace filters.</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2"/>
    <w:bookmarkStart w:id="13"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3"/>
    <w:bookmarkStart w:id="14"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bookmarkEnd w:id="14"/>
    <w:bookmarkStart w:id="15"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5"/>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5"/>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5"/>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5"/>
    <w:bookmarkStart w:id="16"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16"/>
    <w:bookmarkStart w:id="17"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6"/>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6"/>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6"/>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7"/>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7"/>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7"/>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08"/>
        </w:numPr>
      </w:pPr>
      <w:r>
        <w:t xml:space="preserve">Calendar grid renders blocks visually with colored bars at the time range.</w:t>
      </w:r>
      <w:r>
        <w:t xml:space="preserve"> </w:t>
      </w:r>
      <w:r>
        <w:rPr>
          <w:b/>
          <w:bCs/>
        </w:rPr>
        <w:t xml:space="preserve">Color coding:</w:t>
      </w:r>
    </w:p>
    <w:p>
      <w:pPr>
        <w:pStyle w:val="Compact"/>
        <w:numPr>
          <w:ilvl w:val="1"/>
          <w:numId w:val="1009"/>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09"/>
        </w:numPr>
      </w:pPr>
      <w:r>
        <w:t xml:space="preserve">Vendor-grey:</w:t>
      </w:r>
      <w:r>
        <w:t xml:space="preserve"> </w:t>
      </w:r>
      <w:r>
        <w:rPr>
          <w:rStyle w:val="VerbatimChar"/>
        </w:rPr>
        <w:t xml:space="preserve">manual</w:t>
      </w:r>
      <w:r>
        <w:t xml:space="preserve"> </w:t>
      </w:r>
      <w:r>
        <w:t xml:space="preserve">source</w:t>
      </w:r>
    </w:p>
    <w:p>
      <w:pPr>
        <w:pStyle w:val="Compact"/>
        <w:numPr>
          <w:ilvl w:val="1"/>
          <w:numId w:val="1009"/>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08"/>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08"/>
        </w:numPr>
      </w:pPr>
      <w:r>
        <w:t xml:space="preserve">Existing blocks: click to edit label / time / privacy or delete.</w:t>
      </w:r>
    </w:p>
    <w:p>
      <w:pPr>
        <w:pStyle w:val="Compact"/>
        <w:numPr>
          <w:ilvl w:val="0"/>
          <w:numId w:val="1008"/>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0"/>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0"/>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0"/>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0"/>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17"/>
    <w:bookmarkStart w:id="18"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18"/>
    <w:bookmarkStart w:id="19"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19"/>
    <w:bookmarkStart w:id="20"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0"/>
    <w:bookmarkStart w:id="21"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1"/>
    <w:bookmarkStart w:id="22"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2"/>
    <w:bookmarkStart w:id="23"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3"/>
    <w:bookmarkStart w:id="24"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1"/>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1"/>
        </w:numPr>
      </w:pPr>
      <w:r>
        <w:rPr>
          <w:b/>
          <w:bCs/>
        </w:rPr>
        <w:t xml:space="preserve">Role picker (required):</w:t>
      </w:r>
      <w:r>
        <w:t xml:space="preserve"> </w:t>
      </w:r>
      <w:r>
        <w:t xml:space="preserve">the inviter selects ONE of 4 roles:</w:t>
      </w:r>
    </w:p>
    <w:p>
      <w:pPr>
        <w:pStyle w:val="Compact"/>
        <w:numPr>
          <w:ilvl w:val="1"/>
          <w:numId w:val="1012"/>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2"/>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2"/>
        </w:numPr>
      </w:pPr>
      <w:r>
        <w:rPr>
          <w:b/>
          <w:bCs/>
        </w:rPr>
        <w:t xml:space="preserve">Agent</w:t>
      </w:r>
      <w:r>
        <w:t xml:space="preserve"> </w:t>
      </w:r>
      <w:r>
        <w:t xml:space="preserve">— chat + assigned services + calendar view only</w:t>
      </w:r>
    </w:p>
    <w:p>
      <w:pPr>
        <w:pStyle w:val="Compact"/>
        <w:numPr>
          <w:ilvl w:val="1"/>
          <w:numId w:val="1012"/>
        </w:numPr>
      </w:pPr>
      <w:r>
        <w:rPr>
          <w:b/>
          <w:bCs/>
        </w:rPr>
        <w:t xml:space="preserve">Viewer</w:t>
      </w:r>
      <w:r>
        <w:t xml:space="preserve"> </w:t>
      </w:r>
      <w:r>
        <w:t xml:space="preserve">— read-only access to everything</w:t>
      </w:r>
    </w:p>
    <w:p>
      <w:pPr>
        <w:pStyle w:val="Compact"/>
        <w:numPr>
          <w:ilvl w:val="0"/>
          <w:numId w:val="1011"/>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1"/>
        </w:numPr>
      </w:pPr>
      <w:r>
        <w:t xml:space="preserve">Invite is sent via 0028 email</w:t>
      </w:r>
    </w:p>
    <w:p>
      <w:pPr>
        <w:pStyle w:val="Compact"/>
        <w:numPr>
          <w:ilvl w:val="0"/>
          <w:numId w:val="1011"/>
        </w:numPr>
      </w:pPr>
      <w:r>
        <w:t xml:space="preserve">New team member accepts → joins with the specified role + scope</w:t>
      </w:r>
    </w:p>
    <w:p>
      <w:pPr>
        <w:pStyle w:val="Compact"/>
        <w:numPr>
          <w:ilvl w:val="0"/>
          <w:numId w:val="1011"/>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4"/>
    <w:bookmarkEnd w:id="25"/>
    <w:bookmarkStart w:id="33"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26"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26"/>
    <w:bookmarkStart w:id="27"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3"/>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4"/>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4"/>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4"/>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3"/>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5"/>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5"/>
        </w:numPr>
      </w:pPr>
      <w:r>
        <w:t xml:space="preserve">Couple’s relationship row pill flips to</w:t>
      </w:r>
      <w:r>
        <w:t xml:space="preserve"> </w:t>
      </w:r>
      <w:r>
        <w:rPr>
          <w:rStyle w:val="VerbatimChar"/>
        </w:rPr>
        <w:t xml:space="preserve">Declined the invite</w:t>
      </w:r>
    </w:p>
    <w:p>
      <w:pPr>
        <w:pStyle w:val="Compact"/>
        <w:numPr>
          <w:ilvl w:val="1"/>
          <w:numId w:val="1015"/>
        </w:numPr>
      </w:pPr>
      <w:r>
        <w:t xml:space="preserve">No vendor account is created</w:t>
      </w:r>
    </w:p>
    <w:p>
      <w:pPr>
        <w:pStyle w:val="Compact"/>
        <w:numPr>
          <w:ilvl w:val="1"/>
          <w:numId w:val="1015"/>
        </w:numPr>
      </w:pPr>
      <w:r>
        <w:t xml:space="preserve">Per the 0006 rules, the couple may re-invite the same email immediately.</w:t>
      </w:r>
    </w:p>
    <w:bookmarkEnd w:id="27"/>
    <w:bookmarkStart w:id="28"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28"/>
    <w:bookmarkStart w:id="29"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6"/>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6"/>
        </w:numPr>
      </w:pPr>
      <w:r>
        <w:rPr>
          <w:b/>
          <w:bCs/>
        </w:rPr>
        <w:t xml:space="preserve">Auto-link</w:t>
      </w:r>
      <w:r>
        <w:t xml:space="preserve"> </w:t>
      </w:r>
      <w:r>
        <w:t xml:space="preserve">in a single transaction:</w:t>
      </w:r>
    </w:p>
    <w:p>
      <w:pPr>
        <w:pStyle w:val="Compact"/>
        <w:numPr>
          <w:ilvl w:val="1"/>
          <w:numId w:val="1017"/>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7"/>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7"/>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0"/>
          <w:numId w:val="1016"/>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6"/>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29"/>
    <w:bookmarkStart w:id="30"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0"/>
    <w:bookmarkStart w:id="31"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1"/>
    <w:bookmarkStart w:id="32"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18"/>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18"/>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18"/>
        </w:numPr>
      </w:pPr>
      <w:r>
        <w:rPr>
          <w:b/>
          <w:bCs/>
        </w:rPr>
        <w:t xml:space="preserve">Body (plaintext + HTML):</w:t>
      </w:r>
    </w:p>
    <w:p>
      <w:pPr>
        <w:pStyle w:val="Compact"/>
        <w:numPr>
          <w:ilvl w:val="1"/>
          <w:numId w:val="1019"/>
        </w:numPr>
      </w:pPr>
      <w:r>
        <w:t xml:space="preserve">Greeting:</w:t>
      </w:r>
      <w:r>
        <w:t xml:space="preserve"> </w:t>
      </w:r>
      <w:r>
        <w:rPr>
          <w:i/>
          <w:iCs/>
        </w:rPr>
        <w:t xml:space="preserve">“Hi {Business Name},”</w:t>
      </w:r>
    </w:p>
    <w:p>
      <w:pPr>
        <w:pStyle w:val="Compact"/>
        <w:numPr>
          <w:ilvl w:val="1"/>
          <w:numId w:val="1019"/>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19"/>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19"/>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19"/>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2"/>
    <w:bookmarkEnd w:id="33"/>
    <w:bookmarkStart w:id="34" w:name="pro-subscription-locked-weekly-model"/>
    <w:p>
      <w:pPr>
        <w:pStyle w:val="Heading2"/>
      </w:pPr>
      <w:r>
        <w:t xml:space="preserve">3. Pro subscription (locked weekly model)</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4"/>
    <w:bookmarkStart w:id="35"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5"/>
    <w:bookmarkStart w:id="36"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36"/>
    <w:bookmarkStart w:id="37"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37"/>
    <w:bookmarkStart w:id="38" w:name="b.-calendar-mobile-view-rules"/>
    <w:p>
      <w:pPr>
        <w:pStyle w:val="Heading2"/>
      </w:pPr>
      <w:r>
        <w:t xml:space="preserve">4b. Calendar mobile view rules</w:t>
      </w:r>
    </w:p>
    <w:p>
      <w:pPr>
        <w:pStyle w:val="Compact"/>
        <w:numPr>
          <w:ilvl w:val="0"/>
          <w:numId w:val="1020"/>
        </w:numPr>
      </w:pPr>
      <w:r>
        <w:rPr>
          <w:b/>
          <w:bCs/>
        </w:rPr>
        <w:t xml:space="preserve">Primary view: next 2 weeks</w:t>
      </w:r>
      <w:r>
        <w:t xml:space="preserve"> </w:t>
      </w:r>
      <w:r>
        <w:t xml:space="preserve">of mixed bookings + blocks (full detail per item).</w:t>
      </w:r>
    </w:p>
    <w:p>
      <w:pPr>
        <w:pStyle w:val="Compact"/>
        <w:numPr>
          <w:ilvl w:val="0"/>
          <w:numId w:val="1020"/>
        </w:numPr>
      </w:pPr>
      <w:r>
        <w:rPr>
          <w:b/>
          <w:bCs/>
        </w:rPr>
        <w:t xml:space="preserve">Other upcoming · next 1 year</w:t>
      </w:r>
      <w:r>
        <w:t xml:space="preserve"> </w:t>
      </w:r>
      <w:r>
        <w:t xml:space="preserve">section below as a compact list (date chip + name + agent + status).</w:t>
      </w:r>
    </w:p>
    <w:p>
      <w:pPr>
        <w:pStyle w:val="Compact"/>
        <w:numPr>
          <w:ilvl w:val="0"/>
          <w:numId w:val="1020"/>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38"/>
    <w:bookmarkStart w:id="39"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39"/>
    <w:bookmarkStart w:id="40"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1"/>
        </w:numPr>
      </w:pPr>
      <w:r>
        <w:t xml:space="preserve">Pull every active pin for the vendor</w:t>
      </w:r>
    </w:p>
    <w:p>
      <w:pPr>
        <w:pStyle w:val="Compact"/>
        <w:numPr>
          <w:ilvl w:val="0"/>
          <w:numId w:val="1021"/>
        </w:numPr>
      </w:pPr>
      <w:r>
        <w:t xml:space="preserve">For each pin, compute distance to event venue</w:t>
      </w:r>
    </w:p>
    <w:p>
      <w:pPr>
        <w:pStyle w:val="Compact"/>
        <w:numPr>
          <w:ilvl w:val="0"/>
          <w:numId w:val="1021"/>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1"/>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0"/>
    <w:bookmarkStart w:id="43"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1"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2"/>
        </w:numPr>
      </w:pPr>
      <w:r>
        <w:t xml:space="preserve">Verified vendors only · stacks with Pro Weekly · cancel anytime</w:t>
      </w:r>
    </w:p>
    <w:p>
      <w:pPr>
        <w:pStyle w:val="Compact"/>
        <w:numPr>
          <w:ilvl w:val="0"/>
          <w:numId w:val="1022"/>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2"/>
        </w:numPr>
      </w:pPr>
      <w:r>
        <w:t xml:space="preserve">Same density gate (≥20 vendors in same service category within 20km) — feature hidden below threshold</w:t>
      </w:r>
    </w:p>
    <w:p>
      <w:pPr>
        <w:pStyle w:val="Compact"/>
        <w:numPr>
          <w:ilvl w:val="0"/>
          <w:numId w:val="1022"/>
        </w:numPr>
      </w:pPr>
      <w:r>
        <w:t xml:space="preserve">Auto-renews weekly unless paused</w:t>
      </w:r>
    </w:p>
    <w:bookmarkEnd w:id="41"/>
    <w:bookmarkStart w:id="42"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3"/>
        </w:numPr>
      </w:pPr>
      <w:r>
        <w:t xml:space="preserve">Verified vendors only · stacks with EVERYTHING (Pro Weekly + Boosted Ads + tool integrations)</w:t>
      </w:r>
    </w:p>
    <w:p>
      <w:pPr>
        <w:pStyle w:val="Compact"/>
        <w:numPr>
          <w:ilvl w:val="0"/>
          <w:numId w:val="1023"/>
        </w:numPr>
      </w:pPr>
      <w:r>
        <w:t xml:space="preserve">30km radius (3× catchment vs default 10km · still density-gated)</w:t>
      </w:r>
    </w:p>
    <w:p>
      <w:pPr>
        <w:pStyle w:val="Compact"/>
        <w:numPr>
          <w:ilvl w:val="0"/>
          <w:numId w:val="1023"/>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3"/>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4"/>
        </w:numPr>
      </w:pPr>
      <w:r>
        <w:t xml:space="preserve">Standard listing in marketplace: ranks by relevance/recency among all vendors within the couple’s 10km search radius.</w:t>
      </w:r>
    </w:p>
    <w:p>
      <w:pPr>
        <w:pStyle w:val="Compact"/>
        <w:numPr>
          <w:ilvl w:val="0"/>
          <w:numId w:val="1024"/>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4"/>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2"/>
    <w:bookmarkEnd w:id="43"/>
    <w:bookmarkStart w:id="51"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4"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4"/>
    <w:bookmarkStart w:id="45"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5"/>
        </w:numPr>
      </w:pPr>
      <w:r>
        <w:t xml:space="preserve">Avoids escrow regulatory complexity (PH Insurance Commission)</w:t>
      </w:r>
    </w:p>
    <w:p>
      <w:pPr>
        <w:pStyle w:val="Compact"/>
        <w:numPr>
          <w:ilvl w:val="0"/>
          <w:numId w:val="1025"/>
        </w:numPr>
      </w:pPr>
      <w:r>
        <w:t xml:space="preserve">No reserve fund required (~₱500K–₱1M saved)</w:t>
      </w:r>
    </w:p>
    <w:p>
      <w:pPr>
        <w:pStyle w:val="Compact"/>
        <w:numPr>
          <w:ilvl w:val="0"/>
          <w:numId w:val="1025"/>
        </w:numPr>
      </w:pPr>
      <w:r>
        <w:t xml:space="preserve">No mediation team needed at launch</w:t>
      </w:r>
    </w:p>
    <w:p>
      <w:pPr>
        <w:pStyle w:val="Compact"/>
        <w:numPr>
          <w:ilvl w:val="0"/>
          <w:numId w:val="1025"/>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5"/>
    <w:bookmarkStart w:id="46"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6"/>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6"/>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6"/>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6"/>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6"/>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46"/>
    <w:bookmarkStart w:id="47"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47"/>
    <w:bookmarkStart w:id="48"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48"/>
    <w:bookmarkStart w:id="49"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49"/>
    <w:bookmarkStart w:id="50"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0"/>
    <w:bookmarkEnd w:id="51"/>
    <w:bookmarkStart w:id="56"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2"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7"/>
        </w:numPr>
      </w:pPr>
      <w:r>
        <w:rPr>
          <w:b/>
          <w:bCs/>
        </w:rPr>
        <w:t xml:space="preserve">Vendor lists themselves</w:t>
      </w:r>
      <w:r>
        <w:t xml:space="preserve"> </w:t>
      </w:r>
      <w:r>
        <w:t xml:space="preserve">as a provider in their vendor dashboard (this surface)</w:t>
      </w:r>
    </w:p>
    <w:p>
      <w:pPr>
        <w:pStyle w:val="Compact"/>
        <w:numPr>
          <w:ilvl w:val="0"/>
          <w:numId w:val="1027"/>
        </w:numPr>
      </w:pPr>
      <w:r>
        <w:rPr>
          <w:b/>
          <w:bCs/>
        </w:rPr>
        <w:t xml:space="preserve">FREE to list</w:t>
      </w:r>
      <w:r>
        <w:t xml:space="preserve"> </w:t>
      </w:r>
      <w:r>
        <w:t xml:space="preserve">— Setnayan doesn’t charge a listing fee</w:t>
      </w:r>
    </w:p>
    <w:p>
      <w:pPr>
        <w:pStyle w:val="Compact"/>
        <w:numPr>
          <w:ilvl w:val="0"/>
          <w:numId w:val="1027"/>
        </w:numPr>
      </w:pPr>
      <w:r>
        <w:rPr>
          <w:b/>
          <w:bCs/>
        </w:rPr>
        <w:t xml:space="preserve">Vendor sets their own price</w:t>
      </w:r>
      <w:r>
        <w:t xml:space="preserve"> </w:t>
      </w:r>
      <w:r>
        <w:t xml:space="preserve">for the manpower / rental</w:t>
      </w:r>
    </w:p>
    <w:p>
      <w:pPr>
        <w:pStyle w:val="Compact"/>
        <w:numPr>
          <w:ilvl w:val="0"/>
          <w:numId w:val="1027"/>
        </w:numPr>
      </w:pPr>
      <w:r>
        <w:rPr>
          <w:b/>
          <w:bCs/>
        </w:rPr>
        <w:t xml:space="preserve">Payment goes direct to vendor</w:t>
      </w:r>
      <w:r>
        <w:t xml:space="preserve"> </w:t>
      </w:r>
      <w:r>
        <w:t xml:space="preserve">(BDO/GCash, not through Setnayan)</w:t>
      </w:r>
    </w:p>
    <w:p>
      <w:pPr>
        <w:pStyle w:val="Compact"/>
        <w:numPr>
          <w:ilvl w:val="0"/>
          <w:numId w:val="1027"/>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2"/>
    <w:bookmarkStart w:id="53"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3"/>
    <w:bookmarkStart w:id="54"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4"/>
    <w:bookmarkStart w:id="55"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5"/>
    <w:bookmarkEnd w:id="56"/>
    <w:bookmarkStart w:id="57"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57"/>
    <w:bookmarkStart w:id="58" w:name="cross-iteration-handoffs"/>
    <w:p>
      <w:pPr>
        <w:pStyle w:val="Heading2"/>
      </w:pPr>
      <w:r>
        <w:t xml:space="preserve">8. Cross-iteration handoffs</w:t>
      </w:r>
    </w:p>
    <w:p>
      <w:pPr>
        <w:pStyle w:val="Compact"/>
        <w:numPr>
          <w:ilvl w:val="0"/>
          <w:numId w:val="1028"/>
        </w:numPr>
      </w:pPr>
      <w:r>
        <w:rPr>
          <w:b/>
          <w:bCs/>
        </w:rPr>
        <w:t xml:space="preserve">0006 Vendors</w:t>
      </w:r>
      <w:r>
        <w:t xml:space="preserve"> </w:t>
      </w:r>
      <w:r>
        <w:t xml:space="preserve">— extends the couple-side vendor profile with the vendor’s own authoring surface here.</w:t>
      </w:r>
    </w:p>
    <w:p>
      <w:pPr>
        <w:pStyle w:val="Compact"/>
        <w:numPr>
          <w:ilvl w:val="0"/>
          <w:numId w:val="1028"/>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28"/>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28"/>
        </w:numPr>
      </w:pPr>
      <w:r>
        <w:rPr>
          <w:b/>
          <w:bCs/>
        </w:rPr>
        <w:t xml:space="preserve">0020 Interaction Prototype</w:t>
      </w:r>
      <w:r>
        <w:t xml:space="preserve"> </w:t>
      </w:r>
      <w:r>
        <w:t xml:space="preserve">— Phase 1 covers vendor onboarding (0022 expands the post-verification view).</w:t>
      </w:r>
    </w:p>
    <w:p>
      <w:pPr>
        <w:pStyle w:val="Compact"/>
        <w:numPr>
          <w:ilvl w:val="0"/>
          <w:numId w:val="1028"/>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58"/>
    <w:bookmarkStart w:id="59"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59"/>
    <w:bookmarkStart w:id="60" w:name="companions-and-next-steps"/>
    <w:p>
      <w:pPr>
        <w:pStyle w:val="Heading2"/>
      </w:pPr>
      <w:r>
        <w:t xml:space="preserve">9. Companions and next steps</w:t>
      </w:r>
    </w:p>
    <w:p>
      <w:pPr>
        <w:pStyle w:val="Compact"/>
        <w:numPr>
          <w:ilvl w:val="0"/>
          <w:numId w:val="1029"/>
        </w:numPr>
      </w:pPr>
      <w:r>
        <w:rPr>
          <w:rStyle w:val="VerbatimChar"/>
        </w:rPr>
        <w:t xml:space="preserve">0022_vendor_dashboard.html</w:t>
      </w:r>
      <w:r>
        <w:t xml:space="preserve"> </w:t>
      </w:r>
      <w:r>
        <w:t xml:space="preserve">— interactive 6-surface walkthrough.</w:t>
      </w:r>
    </w:p>
    <w:p>
      <w:pPr>
        <w:pStyle w:val="Compact"/>
        <w:numPr>
          <w:ilvl w:val="0"/>
          <w:numId w:val="1029"/>
        </w:numPr>
      </w:pPr>
      <w:r>
        <w:rPr>
          <w:rStyle w:val="VerbatimChar"/>
        </w:rPr>
        <w:t xml:space="preserve">0022_vendor_dashboard.docx</w:t>
      </w:r>
      <w:r>
        <w:t xml:space="preserve"> </w:t>
      </w:r>
      <w:r>
        <w:t xml:space="preserve">— stakeholder mirror.</w:t>
      </w:r>
    </w:p>
    <w:p>
      <w:pPr>
        <w:pStyle w:val="Compact"/>
        <w:numPr>
          <w:ilvl w:val="0"/>
          <w:numId w:val="1029"/>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29"/>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2026-05-19T14:08:46Z</dcterms:created>
  <dcterms:modified xsi:type="dcterms:W3CDTF">2026-05-19T14:08:46Z</dcterms:modified>
</cp:coreProperties>
</file>

<file path=docProps/custom.xml><?xml version="1.0" encoding="utf-8"?>
<Properties xmlns="http://schemas.openxmlformats.org/officeDocument/2006/custom-properties" xmlns:vt="http://schemas.openxmlformats.org/officeDocument/2006/docPropsVTypes"/>
</file>