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0a5deb9f7409ea260f1a68263eb90f67b19c13"/>
    <w:p>
      <w:pPr>
        <w:pStyle w:val="Heading1"/>
      </w:pPr>
      <w:r>
        <w:t xml:space="preserve">Phase 2 (People Graph) — Data-Privacy Counsel Review Brief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2026-07-05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PH data-privacy counsel (RA 10173 · National Privacy Commission)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Setnayan — operating as</w:t>
      </w:r>
      <w:r>
        <w:t xml:space="preserve"> </w:t>
      </w:r>
      <w:r>
        <w:rPr>
          <w:b/>
          <w:bCs/>
        </w:rPr>
        <w:t xml:space="preserve">SETNAYAN SOFTWARE DEVELOPMENT SERVICE</w:t>
      </w:r>
      <w:r>
        <w:t xml:space="preserve">, a sole proprietorship of Indalecio S. Casasola II (DTI Business Name No. 8297508, national scope, valid 25 Jun 2026 – 25 Jun 2031)</w:t>
      </w:r>
      <w:r>
        <w:t xml:space="preserve"> </w:t>
      </w:r>
      <w:r>
        <w:rPr>
          <w:b/>
          <w:bCs/>
        </w:rPr>
        <w:t xml:space="preserve">Data Protection Officer:</w:t>
      </w:r>
      <w:r>
        <w:t xml:space="preserve"> </w:t>
      </w:r>
      <w:r>
        <w:t xml:space="preserve">Claire E. Buanhog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 focused sign-off review before activating the</w:t>
      </w:r>
      <w:r>
        <w:t xml:space="preserve"> </w:t>
      </w:r>
      <w:r>
        <w:t xml:space="preserve">“People / connections”</w:t>
      </w:r>
      <w:r>
        <w:t xml:space="preserve"> </w:t>
      </w:r>
      <w:r>
        <w:t xml:space="preserve">features in production.</w:t>
      </w:r>
      <w:r>
        <w:t xml:space="preserve"> </w:t>
      </w:r>
      <w:r>
        <w:rPr>
          <w:b/>
          <w:bCs/>
        </w:rPr>
        <w:t xml:space="preserve">All features described here are already BUILT but sit behind OFF feature flags — nothing below is live or storing user data yet.</w:t>
      </w:r>
      <w:r>
        <w:t xml:space="preserve"> </w:t>
      </w:r>
      <w:r>
        <w:t xml:space="preserve">We are asking counsel to confirm the model is compliant (or flag changes) before we flip the flags.</w:t>
      </w:r>
    </w:p>
    <w:p>
      <w:pPr>
        <w:pStyle w:val="BlockText"/>
      </w:pPr>
      <w:r>
        <w:t xml:space="preserve">This brief is deliberately short. The full design is in</w:t>
      </w:r>
      <w:r>
        <w:t xml:space="preserve"> </w:t>
      </w:r>
      <w:r>
        <w:rPr>
          <w:rStyle w:val="VerbatimChar"/>
        </w:rPr>
        <w:t xml:space="preserve">03_Strategy/People_Graph_and_Lifelong_Identity_2026-07-04.md</w:t>
      </w:r>
      <w:r>
        <w:t xml:space="preserve">; ask for it if you want depth. Read time: ~10 minutes.</w:t>
      </w:r>
    </w:p>
    <w:p>
      <w:r>
        <w:pict>
          <v:rect style="width:0;height:1.5pt" o:hralign="center" o:hrstd="t" o:hr="t"/>
        </w:pict>
      </w:r>
    </w:p>
    <w:bookmarkStart w:id="9" w:name="what-phase-2-does-one-paragraph"/>
    <w:p>
      <w:pPr>
        <w:pStyle w:val="Heading2"/>
      </w:pPr>
      <w:r>
        <w:t xml:space="preserve">1. What Phase 2 does (one paragraph)</w:t>
      </w:r>
    </w:p>
    <w:p>
      <w:pPr>
        <w:pStyle w:val="FirstParagraph"/>
      </w:pPr>
      <w:r>
        <w:t xml:space="preserve">Setnayan is a Philippines-first life-events platform (weddings first). Today each</w:t>
      </w:r>
      <w:r>
        <w:t xml:space="preserve"> </w:t>
      </w:r>
      <w:r>
        <w:rPr>
          <w:b/>
          <w:bCs/>
        </w:rPr>
        <w:t xml:space="preserve">person</w:t>
      </w:r>
      <w:r>
        <w:t xml:space="preserve"> </w:t>
      </w:r>
      <w:r>
        <w:t xml:space="preserve">already has a durable profile (</w:t>
      </w:r>
      <w:r>
        <w:t xml:space="preserve">“person node”</w:t>
      </w:r>
      <w:r>
        <w:t xml:space="preserve">) — an adult account holder, or a guest a host added. Phase 2 lets people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to each other (family, godparents/ninong-ninang, friends), and uses those connections for two payoffs: (a)</w:t>
      </w:r>
      <w:r>
        <w:t xml:space="preserve"> </w:t>
      </w:r>
      <w:r>
        <w:rPr>
          <w:b/>
          <w:bCs/>
        </w:rPr>
        <w:t xml:space="preserve">life stories</w:t>
      </w:r>
      <w:r>
        <w:t xml:space="preserve"> </w:t>
      </w:r>
      <w:r>
        <w:t xml:space="preserve">— a photo/clip you appear in shows up in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archive, not only the host’s; (b)</w:t>
      </w:r>
      <w:r>
        <w:t xml:space="preserve"> </w:t>
      </w:r>
      <w:r>
        <w:rPr>
          <w:b/>
          <w:bCs/>
        </w:rPr>
        <w:t xml:space="preserve">trusted-circle vendor recommendations</w:t>
      </w:r>
      <w:r>
        <w:t xml:space="preserve"> </w:t>
      </w:r>
      <w:r>
        <w:t xml:space="preserve">—</w:t>
      </w:r>
      <w:r>
        <w:t xml:space="preserve"> </w:t>
      </w:r>
      <w:r>
        <w:t xml:space="preserve">“vendors people in your circle actually used and rated.”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social network — the graph is read privately for each user, never broadcast.</w:t>
      </w:r>
    </w:p>
    <w:bookmarkEnd w:id="9"/>
    <w:bookmarkStart w:id="10" w:name="exactly-what-data-is-stored"/>
    <w:p>
      <w:pPr>
        <w:pStyle w:val="Heading2"/>
      </w:pPr>
      <w:r>
        <w:t xml:space="preserve">2. Exactly what data is stored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 node — name, email, phone, optional photo, optional birth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Personal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edge</w:t>
            </w:r>
            <w:r>
              <w:t xml:space="preserve"> </w:t>
            </w:r>
            <w:r>
              <w:t xml:space="preserve">— person A ↔ person B, relationship type (spouse/parent/sibling/child/godparent/friend), pending/confirmed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person_connections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Relationship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Life-story item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i/>
                <w:iCs/>
              </w:rPr>
              <w:t xml:space="preserve">reference</w:t>
            </w:r>
            <w:r>
              <w:t xml:space="preserve"> </w:t>
            </w:r>
            <w:r>
              <w:t xml:space="preserve">(pointer) to a photo/clip/editorial the person appears in —</w:t>
            </w:r>
            <w:r>
              <w:t xml:space="preserve"> </w:t>
            </w:r>
            <w:r>
              <w:rPr>
                <w:b/>
                <w:bCs/>
              </w:rPr>
              <w:t xml:space="preserve">no image bytes stored here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person_story_items</w:t>
            </w:r>
          </w:p>
        </w:tc>
        <w:tc>
          <w:tcPr/>
          <w:p>
            <w:pPr>
              <w:pStyle w:val="Compact"/>
            </w:pPr>
            <w:r>
              <w:t xml:space="preserve">Media association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recommendation signal</w:t>
            </w:r>
          </w:p>
        </w:tc>
        <w:tc>
          <w:tcPr/>
          <w:p>
            <w:pPr>
              <w:pStyle w:val="Compact"/>
            </w:pPr>
            <w:r>
              <w:t xml:space="preserve">computed on the fly,</w:t>
            </w:r>
            <w:r>
              <w:t xml:space="preserve"> </w:t>
            </w:r>
            <w:r>
              <w:rPr>
                <w:b/>
                <w:bCs/>
              </w:rPr>
              <w:t xml:space="preserve">aggregated</w:t>
            </w:r>
          </w:p>
        </w:tc>
        <w:tc>
          <w:tcPr/>
          <w:p>
            <w:pPr>
              <w:pStyle w:val="Compact"/>
            </w:pPr>
            <w:r>
              <w:t xml:space="preserve">Commercial + relationship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biometric data is used or stored for any of this.</w:t>
      </w:r>
      <w:r>
        <w:t xml:space="preserve"> </w:t>
      </w:r>
      <w:r>
        <w:t xml:space="preserve">(See §5.)</w:t>
      </w:r>
    </w:p>
    <w:bookmarkEnd w:id="10"/>
    <w:bookmarkStart w:id="11" w:name="X3976de0a49a33ef0499db9b119fe868ed17a5fe"/>
    <w:p>
      <w:pPr>
        <w:pStyle w:val="Heading2"/>
      </w:pPr>
      <w:r>
        <w:t xml:space="preserve">3. Guardrails already built in (structurally, not just policy)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Adults-first.</w:t>
      </w:r>
      <w:r>
        <w:t xml:space="preserve"> </w:t>
      </w:r>
      <w:r>
        <w:t xml:space="preserve">Nothing involving minors is enabled. Children in a family tree = a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phase, explicitly out of scope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Mutual confirmation.</w:t>
      </w:r>
      <w:r>
        <w:t xml:space="preserve"> </w:t>
      </w:r>
      <w:r>
        <w:t xml:space="preserve">A connection only becomes real when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person confirms it. No one is added one-sided.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Private, never broadcast.</w:t>
      </w:r>
      <w:r>
        <w:t xml:space="preserve"> </w:t>
      </w:r>
      <w:r>
        <w:t xml:space="preserve">Row-level security limits every edge to the two people in it. There is no</w:t>
      </w:r>
      <w:r>
        <w:t xml:space="preserve"> </w:t>
      </w:r>
      <w:r>
        <w:t xml:space="preserve">“browse other people’s connections,”</w:t>
      </w:r>
      <w:r>
        <w:t xml:space="preserve"> </w:t>
      </w:r>
      <w:r>
        <w:t xml:space="preserve">no</w:t>
      </w:r>
      <w:r>
        <w:t xml:space="preserve"> </w:t>
      </w:r>
      <w:r>
        <w:t xml:space="preserve">“people you may know.”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Minimum-count aggregation (min-N ≥ 5).</w:t>
      </w:r>
      <w:r>
        <w:t xml:space="preserve"> </w:t>
      </w:r>
      <w:r>
        <w:t xml:space="preserve">Vendor recommendations only ever show</w:t>
      </w:r>
      <w:r>
        <w:t xml:space="preserve"> </w:t>
      </w:r>
      <w:r>
        <w:rPr>
          <w:i/>
          <w:iCs/>
        </w:rPr>
        <w:t xml:space="preserve">aggregate</w:t>
      </w:r>
      <w:r>
        <w:t xml:space="preserve"> </w:t>
      </w:r>
      <w:r>
        <w:t xml:space="preserve">counts above a threshold — never</w:t>
      </w:r>
      <w:r>
        <w:t xml:space="preserve"> </w:t>
      </w:r>
      <w:r>
        <w:t xml:space="preserve">“person X used this vendor”</w:t>
      </w:r>
      <w:r>
        <w:t xml:space="preserve"> </w:t>
      </w:r>
      <w:r>
        <w:t xml:space="preserve">unless X explicitly opted to vouch.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 is earned, not bought.</w:t>
      </w:r>
      <w:r>
        <w:t xml:space="preserve"> </w:t>
      </w:r>
      <w:r>
        <w:t xml:space="preserve">Recommendations read only real reviews/vouches — never bookings, never paid placement.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References, not copies.</w:t>
      </w:r>
      <w:r>
        <w:t xml:space="preserve"> </w:t>
      </w:r>
      <w:r>
        <w:t xml:space="preserve">A life-story item is a pointer to media held once in our object storage — deleting/hiding removes the pointer, not the original, and a person can hide anything from their own 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cross-event face recognition.</w:t>
      </w:r>
      <w:r>
        <w:t xml:space="preserve"> </w:t>
      </w:r>
      <w:r>
        <w:t xml:space="preserve">Media is associated to people by manual tags / QR / confirmed identity only — never by scanning faces across events. (Locked internal rule.)</w:t>
      </w:r>
    </w:p>
    <w:bookmarkEnd w:id="11"/>
    <w:bookmarkStart w:id="12" w:name="the-specific-questions-we-need-answered"/>
    <w:p>
      <w:pPr>
        <w:pStyle w:val="Heading2"/>
      </w:pPr>
      <w:r>
        <w:t xml:space="preserve">4. The specific questions we need answered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</w:t>
      </w:r>
      <w:r>
        <w:t xml:space="preserve"> </w:t>
      </w:r>
      <w:r>
        <w:t xml:space="preserve">— Is confirmed opt-in (the other person accepting a connection request) sufficient lawful basis for storing a connection edge? Any specific consent language you’d require?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 to erasure (RA 10173 §16)</w:t>
      </w:r>
      <w:r>
        <w:t xml:space="preserve"> </w:t>
      </w:r>
      <w:r>
        <w:t xml:space="preserve">— Our design lets a person delete their account, their connections, and hide/remove their life-story items. Is our delete/hide model sufficient? Any retention limits we must set?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Cross-person visibility</w:t>
      </w:r>
      <w:r>
        <w:t xml:space="preserve"> </w:t>
      </w:r>
      <w:r>
        <w:t xml:space="preserve">— To</w:t>
      </w:r>
      <w:r>
        <w:t xml:space="preserve"> </w:t>
      </w:r>
      <w:r>
        <w:rPr>
          <w:i/>
          <w:iCs/>
        </w:rPr>
        <w:t xml:space="preserve">show</w:t>
      </w:r>
      <w:r>
        <w:t xml:space="preserve"> </w:t>
      </w:r>
      <w:r>
        <w:t xml:space="preserve">a confirmed connection, person A must see person B’s name (and vice-versa). Is mutual confirmation adequate consent for that name visibility? Any limits (e.g., name only, no contact details)?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 stories</w:t>
      </w:r>
      <w:r>
        <w:t xml:space="preserve"> </w:t>
      </w:r>
      <w:r>
        <w:t xml:space="preserve">— A guest’s photo (taken at someone else’s event, with event photo-consent) appearing in that guest’s own archive: is the existing event-level photo consent enough, or do we need a separate consent for cross-event personal archiving?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Minors</w:t>
      </w:r>
      <w:r>
        <w:t xml:space="preserve"> </w:t>
      </w:r>
      <w:r>
        <w:t xml:space="preserve">— We are keeping all of this adults-only for now. Please confirm the adults-only boundary is the right line, and outline what a compliant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minors/guardianship design would need (so we build it right later).</w:t>
      </w:r>
    </w:p>
    <w:bookmarkEnd w:id="12"/>
    <w:bookmarkStart w:id="13" w:name="what-is-explicitly-not-in-this-review"/>
    <w:p>
      <w:pPr>
        <w:pStyle w:val="Heading2"/>
      </w:pPr>
      <w:r>
        <w:t xml:space="preserve">5. What is explicitly NOT in this review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biometric / facial-recognition</w:t>
      </w:r>
      <w:r>
        <w:t xml:space="preserve"> </w:t>
      </w:r>
      <w:r>
        <w:t xml:space="preserve">feature is part of Phase 2. (A separate, dormant, opt-in, on-device face-tagging feature exists behind its own flag;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scope here and would get its own DPIA.)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pricing / payment</w:t>
      </w:r>
      <w:r>
        <w:t xml:space="preserve"> </w:t>
      </w:r>
      <w:r>
        <w:t xml:space="preserve">changes.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Minors, guardianship,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“legacy/inheritance”</w:t>
      </w:r>
      <w:r>
        <w:rPr>
          <w:b/>
          <w:bCs/>
        </w:rPr>
        <w:t xml:space="preserve"> </w:t>
      </w:r>
      <w:r>
        <w:rPr>
          <w:b/>
          <w:bCs/>
        </w:rPr>
        <w:t xml:space="preserve">(memorialization) layer</w:t>
      </w:r>
      <w:r>
        <w:t xml:space="preserve"> </w:t>
      </w:r>
      <w:r>
        <w:t xml:space="preserve">are a later phase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being activated now — but §4.5 asks for forward guidance.</w:t>
      </w:r>
    </w:p>
    <w:bookmarkEnd w:id="13"/>
    <w:bookmarkStart w:id="14" w:name="what-were-asking-for"/>
    <w:p>
      <w:pPr>
        <w:pStyle w:val="Heading2"/>
      </w:pPr>
      <w:r>
        <w:t xml:space="preserve">6. What we’re asking for</w:t>
      </w:r>
    </w:p>
    <w:p>
      <w:pPr>
        <w:pStyle w:val="FirstParagraph"/>
      </w:pPr>
      <w:r>
        <w:t xml:space="preserve">A written</w:t>
      </w:r>
      <w:r>
        <w:t xml:space="preserve"> </w:t>
      </w:r>
      <w:r>
        <w:rPr>
          <w:b/>
          <w:bCs/>
        </w:rPr>
        <w:t xml:space="preserve">yes / yes-with-changes</w:t>
      </w:r>
      <w:r>
        <w:t xml:space="preserve"> </w:t>
      </w:r>
      <w:r>
        <w:t xml:space="preserve">on the model in §1–3, and answers to §4. Once we have it, activation is a configuration flip — the code is done and tested. Turnaround on our side is immediate.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as a plain-language brief; the underlying schema, RLS policies, and feature flags can be shown to a technical reviewer on request.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2026-07-04T19:21:21Z</dcterms:created>
  <dcterms:modified xsi:type="dcterms:W3CDTF">2026-07-04T19:21:21Z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