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7" w:name="data-model"/>
    <w:p>
      <w:pPr>
        <w:pStyle w:val="Heading2"/>
      </w:pPr>
      <w:r>
        <w:t xml:space="preserve">Data model</w:t>
      </w:r>
    </w:p>
    <w:bookmarkStart w:id="13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</w:p>
    <w:p>
      <w:pPr>
        <w:pStyle w:val="FirstParagraph"/>
      </w:pPr>
      <w:r>
        <w:t xml:space="preserve">(28 canonical services. Order roughly matches wedding-planning priority. Final list reviewed in HTML mockup; add/remove via PR.)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13"/>
    <w:bookmarkStart w:id="16" w:name="X8225c2e8218a099a530911ef63f8bf940d83259"/>
    <w:p>
      <w:pPr>
        <w:pStyle w:val="Heading3"/>
      </w:pPr>
      <w:r>
        <w:t xml:space="preserve">Note on this enum vs. v11 taxonomy (clarification 2026-05-20)</w:t>
      </w:r>
    </w:p>
    <w:p>
      <w:pPr>
        <w:pStyle w:val="FirstParagraph"/>
      </w:pPr>
      <w:r>
        <w:t xml:space="preserve">The 28-value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above is the</w:t>
      </w:r>
      <w:r>
        <w:t xml:space="preserve"> </w:t>
      </w:r>
      <w:r>
        <w:rPr>
          <w:b/>
          <w:bCs/>
        </w:rPr>
        <w:t xml:space="preserve">original couple-side per-event categorization layer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(per-event vendor cards tracked by the couple).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marketplace taxonomy.</w:t>
      </w:r>
    </w:p>
    <w:p>
      <w:pPr>
        <w:pStyle w:val="BodyText"/>
      </w:pPr>
      <w:r>
        <w:t xml:space="preserve">The marketplace’s</w:t>
      </w:r>
      <w:r>
        <w:t xml:space="preserve"> </w:t>
      </w:r>
      <w:r>
        <w:rPr>
          <w:b/>
          <w:bCs/>
        </w:rPr>
        <w:t xml:space="preserve">canonical taxonomy is 192 entries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canonical_service_schemas</w:t>
      </w:r>
      <w:r>
        <w:t xml:space="preserve"> </w:t>
      </w:r>
      <w:r>
        <w:t xml:space="preserve">seeded by iteration 0044 (</w:t>
      </w:r>
      <w:r>
        <w:rPr>
          <w:rStyle w:val="VerbatimChar"/>
        </w:rPr>
        <w:t xml:space="preserve">supabase/migrations/20260521040000_iteration_0044_v11_full_taxonomy_seeds.sql</w:t>
      </w:r>
      <w:r>
        <w:t xml:space="preserve">), grouped into</w:t>
      </w:r>
      <w:r>
        <w:t xml:space="preserve"> </w:t>
      </w:r>
      <w:r>
        <w:rPr>
          <w:b/>
          <w:bCs/>
        </w:rPr>
        <w:t xml:space="preserve">5 mega-menu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Capture</w:t>
      </w:r>
      <w:r>
        <w:t xml:space="preserve"> </w:t>
      </w:r>
      <w:r>
        <w:t xml:space="preserve">(Visual) — photographers, videographers, drones, SDE, pre-nup locations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Music &amp; Entertainment</w:t>
      </w:r>
      <w:r>
        <w:t xml:space="preserve"> </w:t>
      </w:r>
      <w:r>
        <w:t xml:space="preserve">— bands, DJs, choirs, choreographers, hosts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Food &amp; Beverage</w:t>
      </w:r>
      <w:r>
        <w:t xml:space="preserve"> </w:t>
      </w:r>
      <w:r>
        <w:t xml:space="preserve">— catering, cake, bar, stations &amp; booths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Look</w:t>
      </w:r>
      <w:r>
        <w:t xml:space="preserve"> </w:t>
      </w:r>
      <w:r>
        <w:t xml:space="preserve">— bridal wear, groom wear, beauty, jewelry, decor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Ceremony · Coordination · Logistics · Stationery · Travel</w:t>
      </w:r>
      <w:r>
        <w:t xml:space="preserve"> </w:t>
      </w:r>
      <w:r>
        <w:t xml:space="preserve">— officiants, planners, transport, invitations, honeymoon</w:t>
      </w:r>
    </w:p>
    <w:p>
      <w:pPr>
        <w:pStyle w:val="FirstParagraph"/>
      </w:pPr>
      <w:r>
        <w:t xml:space="preserve">Authoritative spec:</w:t>
      </w:r>
      <w:r>
        <w:t xml:space="preserve"> </w:t>
      </w:r>
      <w:hyperlink r:id="rId14">
        <w:r>
          <w:rPr>
            <w:rStyle w:val="VerbatimChar"/>
          </w:rPr>
          <w:t xml:space="preserve">02_Specifications/Vendor_Taxonomy_V1_Master.md</w:t>
        </w:r>
      </w:hyperlink>
      <w:r>
        <w:t xml:space="preserve">. 192-entry per-category attribute schemas:</w:t>
      </w:r>
      <w:r>
        <w:t xml:space="preserve"> </w:t>
      </w:r>
      <w:hyperlink r:id="rId15">
        <w:r>
          <w:rPr>
            <w:rStyle w:val="VerbatimChar"/>
          </w:rPr>
          <w:t xml:space="preserve">0044_per_category_schemas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Pro/Max tier caps</w:t>
      </w:r>
      <w:r>
        <w:t xml:space="preserve"> </w:t>
      </w:r>
      <w:r>
        <w:t xml:space="preserve">(per CLAUDE.md decision-log entry 2026-05-20</w:t>
      </w:r>
      <w:r>
        <w:t xml:space="preserve"> </w:t>
      </w:r>
      <w:r>
        <w:t xml:space="preserve">“Free/Pro/Max 3-tier vendor pricing”</w:t>
      </w:r>
      <w:r>
        <w:t xml:space="preserve">) operate at the</w:t>
      </w:r>
      <w:r>
        <w:t xml:space="preserve"> </w:t>
      </w:r>
      <w:r>
        <w:rPr>
          <w:b/>
          <w:bCs/>
        </w:rPr>
        <w:t xml:space="preserve">mega-menu column level</w:t>
      </w:r>
      <w:r>
        <w:t xml:space="preserve"> </w:t>
      </w:r>
      <w:r>
        <w:t xml:space="preserve">(Free = 1 column · Pro = 2–3 columns · Max = all 5), NOT at the 28-enum or 192-row level. A photographer covering 9 Capture-column sub-categories still counts as</w:t>
      </w:r>
      <w:r>
        <w:t xml:space="preserve"> </w:t>
      </w:r>
      <w:r>
        <w:rPr>
          <w:b/>
          <w:bCs/>
        </w:rPr>
        <w:t xml:space="preserve">1 column</w:t>
      </w:r>
      <w:r>
        <w:t xml:space="preserve"> </w:t>
      </w:r>
      <w:r>
        <w:t xml:space="preserve">under tier-cap accounting.</w:t>
      </w:r>
    </w:p>
    <w:p>
      <w:pPr>
        <w:pStyle w:val="BodyText"/>
      </w:pPr>
      <w:r>
        <w:t xml:space="preserve">The 28-value enum here remains in use for</w:t>
      </w:r>
      <w:r>
        <w:t xml:space="preserve"> </w:t>
      </w:r>
      <w:r>
        <w:rPr>
          <w:rStyle w:val="VerbatimChar"/>
        </w:rPr>
        <w:t xml:space="preserve">event_vendors.category</w:t>
      </w:r>
      <w:r>
        <w:t xml:space="preserve"> </w:t>
      </w:r>
      <w:r>
        <w:t xml:space="preserve">(the couple’s per-event vendor list), as a pragmatic categorization that doesn’t need to mirror every marketplace facet.</w:t>
      </w:r>
    </w:p>
    <w:bookmarkEnd w:id="16"/>
    <w:bookmarkStart w:id="17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17"/>
    <w:bookmarkStart w:id="18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18"/>
    <w:bookmarkStart w:id="19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19"/>
    <w:bookmarkStart w:id="20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20"/>
    <w:bookmarkStart w:id="21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21"/>
    <w:bookmarkStart w:id="22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22"/>
    <w:bookmarkStart w:id="23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23"/>
    <w:bookmarkStart w:id="24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24"/>
    <w:bookmarkStart w:id="25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25"/>
    <w:bookmarkStart w:id="26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6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6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omputed-derived-values"/>
    <w:p>
      <w:pPr>
        <w:pStyle w:val="Heading2"/>
      </w:pPr>
      <w:r>
        <w:t xml:space="preserve">Computed / derived values</w:t>
      </w:r>
    </w:p>
    <w:bookmarkStart w:id="28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28"/>
    <w:bookmarkStart w:id="29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31"/>
    <w:bookmarkStart w:id="32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32"/>
    <w:bookmarkStart w:id="33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33"/>
    <w:bookmarkStart w:id="34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34"/>
    <w:bookmarkStart w:id="41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35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35"/>
    <w:bookmarkStart w:id="36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36"/>
    <w:bookmarkStart w:id="37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37"/>
    <w:bookmarkStart w:id="38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38"/>
    <w:bookmarkStart w:id="39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39"/>
    <w:bookmarkStart w:id="40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diy-mode-vendor-browse-filter-popup"/>
    <w:p>
      <w:pPr>
        <w:pStyle w:val="Heading2"/>
      </w:pPr>
      <w:r>
        <w:t xml:space="preserve">DIY-mode vendor browse — filter popup</w:t>
      </w:r>
    </w:p>
    <w:bookmarkStart w:id="42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44"/>
    <w:bookmarkStart w:id="45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45"/>
    <w:bookmarkStart w:id="46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46"/>
    <w:bookmarkStart w:id="47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47"/>
    <w:bookmarkStart w:id="48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0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20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20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48"/>
    <w:bookmarkStart w:id="55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49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49"/>
    <w:bookmarkStart w:id="50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50"/>
    <w:bookmarkStart w:id="51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51"/>
    <w:bookmarkStart w:id="52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52"/>
    <w:bookmarkStart w:id="53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4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4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4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4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4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4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4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4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4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4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5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5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5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5"/>
        </w:numPr>
      </w:pPr>
      <w:r>
        <w:t xml:space="preserve">No Pro Weekly subscription</w:t>
      </w:r>
    </w:p>
    <w:p>
      <w:pPr>
        <w:pStyle w:val="Compact"/>
        <w:numPr>
          <w:ilvl w:val="0"/>
          <w:numId w:val="1025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5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5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53"/>
    <w:bookmarkStart w:id="54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vendor-payout-model-locked-2026-05-16"/>
    <w:p>
      <w:pPr>
        <w:pStyle w:val="Heading2"/>
      </w:pPr>
      <w:r>
        <w:t xml:space="preserve">Vendor Payout model (locked 2026-05-16)</w:t>
      </w:r>
    </w:p>
    <w:bookmarkStart w:id="56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6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6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6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6"/>
        </w:numPr>
      </w:pPr>
      <w:r>
        <w:t xml:space="preserve">BIR Form 2307 issued quarterly to vendor (creditable against vendor’s own income tax)</w:t>
      </w:r>
    </w:p>
    <w:bookmarkEnd w:id="56"/>
    <w:bookmarkStart w:id="57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57"/>
    <w:bookmarkStart w:id="58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7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7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7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7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7"/>
        </w:numPr>
      </w:pPr>
      <w:r>
        <w:t xml:space="preserve">Email + in-app notification to vendor with re-verification fee (₱2,500) and link to apply</w:t>
      </w:r>
    </w:p>
    <w:bookmarkEnd w:id="58"/>
    <w:bookmarkStart w:id="59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28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28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29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29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29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29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29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29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29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29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61"/>
    <w:bookmarkStart w:id="66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62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62"/>
    <w:bookmarkStart w:id="63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63"/>
    <w:bookmarkStart w:id="64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64"/>
    <w:bookmarkStart w:id="65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65"/>
    <w:bookmarkEnd w:id="66"/>
    <w:bookmarkStart w:id="67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1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1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1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1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1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1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1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1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1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1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1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1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1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1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1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1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1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1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1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1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1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1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67"/>
    <w:bookmarkStart w:id="71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Specialized Pro Tools architecture — vendor-side cross-reference to the 3-layer model locked in CLAUDE.md decision log (fifth 2026-05-22 row).</w:t>
            </w:r>
            <w:r>
              <w:t xml:space="preserve"> </w:t>
            </w:r>
            <w:r>
              <w:t xml:space="preserve">This iteration’s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marketplace records gain a new dimension: per-service Specialized Pro Tools subscription state. Stylists (</w:t>
            </w:r>
            <w:r>
              <w:rPr>
                <w:rStyle w:val="VerbatimChar"/>
              </w:rPr>
              <w:t xml:space="preserve">stylist_decorator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) can hold Professional Mood Board render-pack credits per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0010 § Professional Mood Board</w:t>
              </w:r>
            </w:hyperlink>
            <w:r>
              <w:t xml:space="preserve">; the stylist marketplace surface in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0047 § Stylist marketplace</w:t>
              </w:r>
            </w:hyperlink>
            <w:r>
              <w:t xml:space="preserve"> </w:t>
            </w:r>
            <w:r>
              <w:t xml:space="preserve">renders a</w:t>
            </w:r>
            <w:r>
              <w:t xml:space="preserve"> </w:t>
            </w:r>
            <w:r>
              <w:t xml:space="preserve">“Professional Mood Board enabled”</w:t>
            </w:r>
            <w:r>
              <w:t xml:space="preserve"> </w:t>
            </w:r>
            <w:r>
              <w:t xml:space="preserve">badge when this is true. Other Specialized Pro Tools (Professional Coordination · Professional Photo Tools · Professional Video Tools · Professional Catering · Professional Florist · Professional HMUA · Professional Music · Professional Live Band · Professional Stationery · Professional Attire · Professional Cake/Desserts · Professional Sound/Lighting · Professional Rings-Officiant-Transport-Booth) ship per their V1.x rollout sequence with similar per-service subscription state. The four Stylist treatment specializations (</w:t>
            </w:r>
            <w:r>
              <w:rPr>
                <w:rStyle w:val="VerbatimChar"/>
              </w:rPr>
              <w:t xml:space="preserve">ceiling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surroundings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) from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 </w:t>
            </w:r>
            <w:r>
              <w:t xml:space="preserve">serve as both vendor marketplace facets AND moodboard Composite Scene layer categories.</w:t>
            </w:r>
          </w:p>
        </w:tc>
        <w:tc>
          <w:tcPr/>
          <w:p>
            <w:pPr>
              <w:pStyle w:val="Compact"/>
            </w:pPr>
            <w:r>
              <w:t xml:space="preserve">The 3-layer vendor model (Universal Vendor Tier + Specialized Pro Tools + per-use packs) keeps this iteration’s existing Free / Pro / Max universal tier framework untouched while layering per-service AI capabilities on top. Each Specialized Pro Tool prices independently: Professional Mood Board uses pay-per-render packs (₱199 single · ₱8,999 / 50-pack · ₱24,999 / 150-pack · NO subscription); other 13 SKUs use ₱888/wk placeholder pricing pending finalization per owner directive. Vendor management UI surfaces for subscription state + render-pack purchase flow live in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0022 § Specialized Pro Tools subscription management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72"/>
    <w:bookmarkStart w:id="73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0010_mood_board/0010_mood_board.md#professional-mood-board-v11--composite-scene-generator" TargetMode="External" /><Relationship Type="http://schemas.openxmlformats.org/officeDocument/2006/relationships/hyperlink" Id="rId70" Target="../0022_vendor_dashboard/0022_vendor_dashboard.md" TargetMode="External" /><Relationship Type="http://schemas.openxmlformats.org/officeDocument/2006/relationships/hyperlink" Id="rId15" Target="../0044_per_category_schemas/0044_per_category_schemas.md" TargetMode="External" /><Relationship Type="http://schemas.openxmlformats.org/officeDocument/2006/relationships/hyperlink" Id="rId69" Target="../0047_style_driven_marketplaces/0047_style_driven_marketplaces.md" TargetMode="External" /><Relationship Type="http://schemas.openxmlformats.org/officeDocument/2006/relationships/hyperlink" Id="rId14" Target="../02_Specifications/Vendor_Taxonomy_V1_Mast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0010_mood_board/0010_mood_board.md#professional-mood-board-v11--composite-scene-generator" TargetMode="External" /><Relationship Type="http://schemas.openxmlformats.org/officeDocument/2006/relationships/hyperlink" Id="rId70" Target="../0022_vendor_dashboard/0022_vendor_dashboard.md" TargetMode="External" /><Relationship Type="http://schemas.openxmlformats.org/officeDocument/2006/relationships/hyperlink" Id="rId15" Target="../0044_per_category_schemas/0044_per_category_schemas.md" TargetMode="External" /><Relationship Type="http://schemas.openxmlformats.org/officeDocument/2006/relationships/hyperlink" Id="rId69" Target="../0047_style_driven_marketplaces/0047_style_driven_marketplaces.md" TargetMode="External" /><Relationship Type="http://schemas.openxmlformats.org/officeDocument/2006/relationships/hyperlink" Id="rId14" Target="../02_Specifications/Vendor_Taxonomy_V1_Mast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2026-05-22T06:53:47Z</dcterms:created>
  <dcterms:modified xsi:type="dcterms:W3CDTF">2026-05-22T06:53:47Z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