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EF06" w14:textId="1B6E92BB" w:rsidR="00715A3B" w:rsidRPr="003B4900" w:rsidRDefault="00715A3B" w:rsidP="00715A3B">
      <w:pPr>
        <w:spacing w:after="0" w:line="240" w:lineRule="auto"/>
        <w:rPr>
          <w:rFonts w:ascii="Segoe UI" w:hAnsi="Segoe UI" w:cs="Segoe UI"/>
          <w:b/>
          <w:bCs/>
          <w:sz w:val="32"/>
          <w:szCs w:val="32"/>
        </w:rPr>
      </w:pPr>
      <w:r w:rsidRPr="003B4900">
        <w:rPr>
          <w:rFonts w:ascii="Segoe UI" w:hAnsi="Segoe UI" w:cs="Segoe UI"/>
          <w:b/>
          <w:bCs/>
          <w:sz w:val="32"/>
          <w:szCs w:val="32"/>
        </w:rPr>
        <w:t xml:space="preserve">Outline slide </w:t>
      </w:r>
    </w:p>
    <w:p w14:paraId="6054A201" w14:textId="77777777" w:rsidR="00715A3B" w:rsidRPr="003B4900" w:rsidRDefault="00715A3B" w:rsidP="00715A3B">
      <w:pPr>
        <w:spacing w:after="0" w:line="240" w:lineRule="auto"/>
        <w:rPr>
          <w:rFonts w:ascii="Segoe UI" w:hAnsi="Segoe UI" w:cs="Segoe UI"/>
          <w:sz w:val="32"/>
          <w:szCs w:val="32"/>
        </w:rPr>
      </w:pPr>
      <w:r w:rsidRPr="003B4900">
        <w:rPr>
          <w:rFonts w:ascii="Segoe UI" w:hAnsi="Segoe UI" w:cs="Segoe UI"/>
          <w:sz w:val="32"/>
          <w:szCs w:val="32"/>
        </w:rPr>
        <w:t>“I’ll start with the motivation for looking at earmarking in Sub-Saharan Africa and briefly review what the literature tells us.</w:t>
      </w:r>
      <w:r w:rsidRPr="003B4900">
        <w:rPr>
          <w:rFonts w:ascii="Segoe UI" w:hAnsi="Segoe UI" w:cs="Segoe UI"/>
          <w:sz w:val="32"/>
          <w:szCs w:val="32"/>
        </w:rPr>
        <w:br/>
        <w:t>I’ll then define the taxonomy I use, explain how I construct the new legal database using LLM-assisted extraction, and finally present the main stylized facts from the 19-country sample.”</w:t>
      </w:r>
    </w:p>
    <w:p w14:paraId="29D7DEA0" w14:textId="77777777" w:rsidR="00715A3B" w:rsidRPr="003B4900" w:rsidRDefault="00715A3B" w:rsidP="00715A3B">
      <w:pPr>
        <w:spacing w:after="0" w:line="240" w:lineRule="auto"/>
        <w:rPr>
          <w:rFonts w:ascii="Segoe UI" w:hAnsi="Segoe UI" w:cs="Segoe UI"/>
          <w:sz w:val="32"/>
          <w:szCs w:val="32"/>
        </w:rPr>
      </w:pPr>
      <w:r w:rsidRPr="003B4900">
        <w:rPr>
          <w:rFonts w:ascii="Segoe UI" w:hAnsi="Segoe UI" w:cs="Segoe UI"/>
          <w:sz w:val="32"/>
          <w:szCs w:val="32"/>
        </w:rPr>
        <w:t>Then immediately move on.</w:t>
      </w:r>
    </w:p>
    <w:p w14:paraId="3BF21AE5" w14:textId="77777777" w:rsidR="00715A3B" w:rsidRPr="003B4900" w:rsidRDefault="00715A3B" w:rsidP="00715A3B">
      <w:pPr>
        <w:spacing w:after="0" w:line="240" w:lineRule="auto"/>
        <w:rPr>
          <w:rFonts w:ascii="Segoe UI" w:hAnsi="Segoe UI" w:cs="Segoe UI"/>
          <w:sz w:val="32"/>
          <w:szCs w:val="32"/>
        </w:rPr>
      </w:pPr>
    </w:p>
    <w:p w14:paraId="598466EE" w14:textId="7381CDBB" w:rsidR="00715A3B" w:rsidRPr="003B4900" w:rsidRDefault="00715A3B" w:rsidP="00715A3B">
      <w:pPr>
        <w:spacing w:after="0" w:line="240" w:lineRule="auto"/>
        <w:rPr>
          <w:rFonts w:ascii="Segoe UI" w:hAnsi="Segoe UI" w:cs="Segoe UI"/>
          <w:b/>
          <w:bCs/>
          <w:sz w:val="32"/>
          <w:szCs w:val="32"/>
        </w:rPr>
      </w:pPr>
      <w:r w:rsidRPr="003B4900">
        <w:rPr>
          <w:rFonts w:ascii="Segoe UI" w:hAnsi="Segoe UI" w:cs="Segoe UI"/>
          <w:b/>
          <w:bCs/>
          <w:sz w:val="32"/>
          <w:szCs w:val="32"/>
        </w:rPr>
        <w:t xml:space="preserve">DRM motivation slide </w:t>
      </w:r>
    </w:p>
    <w:p w14:paraId="476DAB40" w14:textId="77777777" w:rsidR="00715A3B" w:rsidRPr="003B4900" w:rsidRDefault="00715A3B" w:rsidP="00715A3B">
      <w:pPr>
        <w:spacing w:after="0" w:line="240" w:lineRule="auto"/>
        <w:rPr>
          <w:rFonts w:ascii="Segoe UI" w:hAnsi="Segoe UI" w:cs="Segoe UI"/>
          <w:sz w:val="32"/>
          <w:szCs w:val="32"/>
        </w:rPr>
      </w:pPr>
      <w:r w:rsidRPr="003B4900">
        <w:rPr>
          <w:rFonts w:ascii="Segoe UI" w:hAnsi="Segoe UI" w:cs="Segoe UI"/>
          <w:sz w:val="32"/>
          <w:szCs w:val="32"/>
        </w:rPr>
        <w:t xml:space="preserve">“The starting point is the broader domestic revenue mobilization challenge in Sub-Saharan Africa. </w:t>
      </w:r>
    </w:p>
    <w:p w14:paraId="554F9A94" w14:textId="77777777" w:rsidR="00715A3B" w:rsidRPr="003B4900" w:rsidRDefault="00715A3B" w:rsidP="00715A3B">
      <w:pPr>
        <w:spacing w:after="0" w:line="240" w:lineRule="auto"/>
        <w:rPr>
          <w:rFonts w:ascii="Segoe UI" w:hAnsi="Segoe UI" w:cs="Segoe UI"/>
          <w:sz w:val="32"/>
          <w:szCs w:val="32"/>
        </w:rPr>
      </w:pPr>
      <w:r w:rsidRPr="003B4900">
        <w:rPr>
          <w:rFonts w:ascii="Segoe UI" w:hAnsi="Segoe UI" w:cs="Segoe UI"/>
          <w:sz w:val="32"/>
          <w:szCs w:val="32"/>
        </w:rPr>
        <w:t xml:space="preserve">Progress in raising tax revenues has been relatively slow. Much of the increase in tax-to-GDP ratios in developing economies occurred before the last decade, while external financing is also becoming less reliable. At the same time, financing needs remain very large: for IDA countries, the estimated additional cost of meeting core development and climate needs is about 18.7 percent of GDP, with education and health accounting for a large part of that gap. </w:t>
      </w:r>
    </w:p>
    <w:p w14:paraId="69EA01EB" w14:textId="77777777" w:rsidR="00715A3B" w:rsidRPr="003B4900" w:rsidRDefault="00715A3B" w:rsidP="00715A3B">
      <w:pPr>
        <w:spacing w:after="0" w:line="240" w:lineRule="auto"/>
        <w:rPr>
          <w:rFonts w:ascii="Segoe UI" w:hAnsi="Segoe UI" w:cs="Segoe UI"/>
          <w:sz w:val="32"/>
          <w:szCs w:val="32"/>
        </w:rPr>
      </w:pPr>
      <w:r w:rsidRPr="003B4900">
        <w:rPr>
          <w:rFonts w:ascii="Segoe UI" w:hAnsi="Segoe UI" w:cs="Segoe UI"/>
          <w:sz w:val="32"/>
          <w:szCs w:val="32"/>
        </w:rPr>
        <w:t xml:space="preserve">These challenges are even more difficult in fragile and resource-rich countries, where institutional weaknesses and low transparency can constrain revenue mobilization. </w:t>
      </w:r>
    </w:p>
    <w:p w14:paraId="515892A0" w14:textId="77777777" w:rsidR="00715A3B" w:rsidRPr="003B4900" w:rsidRDefault="00715A3B" w:rsidP="00715A3B">
      <w:pPr>
        <w:spacing w:after="0" w:line="240" w:lineRule="auto"/>
        <w:rPr>
          <w:rFonts w:ascii="Segoe UI" w:hAnsi="Segoe UI" w:cs="Segoe UI"/>
          <w:sz w:val="32"/>
          <w:szCs w:val="32"/>
        </w:rPr>
      </w:pPr>
      <w:r w:rsidRPr="003B4900">
        <w:rPr>
          <w:rFonts w:ascii="Segoe UI" w:hAnsi="Segoe UI" w:cs="Segoe UI"/>
          <w:sz w:val="32"/>
          <w:szCs w:val="32"/>
        </w:rPr>
        <w:t xml:space="preserve">So the usual question is: how can governments raise more revenue? This project asks a slightly different question: </w:t>
      </w:r>
      <w:r w:rsidRPr="003B4900">
        <w:rPr>
          <w:rFonts w:ascii="Segoe UI" w:hAnsi="Segoe UI" w:cs="Segoe UI"/>
          <w:b/>
          <w:bCs/>
          <w:sz w:val="32"/>
          <w:szCs w:val="32"/>
        </w:rPr>
        <w:t>could the way revenues are linked to spending also matter? And could earmarking be part of that discussion?</w:t>
      </w:r>
      <w:r w:rsidRPr="003B4900">
        <w:rPr>
          <w:rFonts w:ascii="Segoe UI" w:hAnsi="Segoe UI" w:cs="Segoe UI"/>
          <w:sz w:val="32"/>
          <w:szCs w:val="32"/>
        </w:rPr>
        <w:t>”</w:t>
      </w:r>
    </w:p>
    <w:p w14:paraId="3BD74611" w14:textId="7342C791" w:rsidR="002E5B23" w:rsidRPr="003B4900" w:rsidRDefault="002E5B23" w:rsidP="00F03A03">
      <w:pPr>
        <w:spacing w:after="0" w:line="240" w:lineRule="auto"/>
        <w:rPr>
          <w:rFonts w:ascii="Segoe UI" w:eastAsia="Times New Roman" w:hAnsi="Segoe UI" w:cs="Segoe UI"/>
          <w:color w:val="000000"/>
          <w:kern w:val="0"/>
          <w:sz w:val="32"/>
          <w:szCs w:val="32"/>
          <w:lang w:val="fr-FR"/>
          <w14:ligatures w14:val="none"/>
        </w:rPr>
      </w:pPr>
    </w:p>
    <w:p w14:paraId="2080A45B" w14:textId="77777777" w:rsidR="003333EB" w:rsidRPr="003B4900" w:rsidRDefault="003333EB" w:rsidP="00F03A03">
      <w:pPr>
        <w:spacing w:after="0" w:line="240" w:lineRule="auto"/>
        <w:rPr>
          <w:rFonts w:ascii="Segoe UI" w:eastAsia="Times New Roman" w:hAnsi="Segoe UI" w:cs="Segoe UI"/>
          <w:color w:val="000000"/>
          <w:kern w:val="0"/>
          <w:sz w:val="32"/>
          <w:szCs w:val="32"/>
          <w:lang w:val="fr-FR"/>
          <w14:ligatures w14:val="none"/>
        </w:rPr>
      </w:pPr>
    </w:p>
    <w:p w14:paraId="3B1D46CE" w14:textId="77777777" w:rsidR="003333EB" w:rsidRDefault="003333EB" w:rsidP="00F03A03">
      <w:pPr>
        <w:spacing w:after="0" w:line="240" w:lineRule="auto"/>
        <w:rPr>
          <w:rFonts w:ascii="Segoe UI" w:eastAsia="Times New Roman" w:hAnsi="Segoe UI" w:cs="Segoe UI"/>
          <w:color w:val="000000"/>
          <w:kern w:val="0"/>
          <w:sz w:val="32"/>
          <w:szCs w:val="32"/>
          <w:lang w:val="fr-FR"/>
          <w14:ligatures w14:val="none"/>
        </w:rPr>
      </w:pPr>
    </w:p>
    <w:p w14:paraId="19E0E207" w14:textId="77777777" w:rsidR="003B4900" w:rsidRDefault="003B4900" w:rsidP="00F03A03">
      <w:pPr>
        <w:spacing w:after="0" w:line="240" w:lineRule="auto"/>
        <w:rPr>
          <w:rFonts w:ascii="Segoe UI" w:eastAsia="Times New Roman" w:hAnsi="Segoe UI" w:cs="Segoe UI"/>
          <w:color w:val="000000"/>
          <w:kern w:val="0"/>
          <w:sz w:val="32"/>
          <w:szCs w:val="32"/>
          <w:lang w:val="fr-FR"/>
          <w14:ligatures w14:val="none"/>
        </w:rPr>
      </w:pPr>
    </w:p>
    <w:p w14:paraId="723DD94C" w14:textId="77777777" w:rsidR="003B4900" w:rsidRDefault="003B4900" w:rsidP="00F03A03">
      <w:pPr>
        <w:spacing w:after="0" w:line="240" w:lineRule="auto"/>
        <w:rPr>
          <w:rFonts w:ascii="Segoe UI" w:eastAsia="Times New Roman" w:hAnsi="Segoe UI" w:cs="Segoe UI"/>
          <w:color w:val="000000"/>
          <w:kern w:val="0"/>
          <w:sz w:val="32"/>
          <w:szCs w:val="32"/>
          <w:lang w:val="fr-FR"/>
          <w14:ligatures w14:val="none"/>
        </w:rPr>
      </w:pPr>
    </w:p>
    <w:p w14:paraId="52FA46B1" w14:textId="77777777" w:rsidR="003B4900" w:rsidRDefault="003B4900" w:rsidP="00F03A03">
      <w:pPr>
        <w:spacing w:after="0" w:line="240" w:lineRule="auto"/>
        <w:rPr>
          <w:rFonts w:ascii="Segoe UI" w:eastAsia="Times New Roman" w:hAnsi="Segoe UI" w:cs="Segoe UI"/>
          <w:color w:val="000000"/>
          <w:kern w:val="0"/>
          <w:sz w:val="32"/>
          <w:szCs w:val="32"/>
          <w:lang w:val="fr-FR"/>
          <w14:ligatures w14:val="none"/>
        </w:rPr>
      </w:pPr>
    </w:p>
    <w:p w14:paraId="79A08C49" w14:textId="77777777" w:rsidR="003B4900" w:rsidRPr="003B4900" w:rsidRDefault="003B4900" w:rsidP="00F03A03">
      <w:pPr>
        <w:spacing w:after="0" w:line="240" w:lineRule="auto"/>
        <w:rPr>
          <w:rFonts w:ascii="Segoe UI" w:eastAsia="Times New Roman" w:hAnsi="Segoe UI" w:cs="Segoe UI"/>
          <w:color w:val="000000"/>
          <w:kern w:val="0"/>
          <w:sz w:val="32"/>
          <w:szCs w:val="32"/>
          <w:lang w:val="fr-FR"/>
          <w14:ligatures w14:val="none"/>
        </w:rPr>
      </w:pPr>
    </w:p>
    <w:p w14:paraId="2E3B730B" w14:textId="77777777" w:rsidR="003333EB" w:rsidRPr="003B4900" w:rsidRDefault="003333EB" w:rsidP="003333EB">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Slide — Could earmarking be part of the solution?</w:t>
      </w:r>
    </w:p>
    <w:p w14:paraId="39B94BDB"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“Earmarking simply means assigning the revenue from a tax, or from a broader pool of revenue, to a specific use.</w:t>
      </w:r>
    </w:p>
    <w:p w14:paraId="149FE8C1"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The idea is attractive because it can make the link between taxes and public services more visible. This may improve taxpayer acceptance, increase transparency, protect funding for priority sectors, and sometimes make new taxes easier to introduce.</w:t>
      </w:r>
    </w:p>
    <w:p w14:paraId="55B0DF92"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These potential benefits are particularly relevant in Sub-Saharan Africa, where trust and tax acceptance can be low, and where priority sectors often face financing constraints.</w:t>
      </w:r>
    </w:p>
    <w:p w14:paraId="7D7DCB5D"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But there is also a clear trade-off. Earmarking reduces budget flexibility, can lock resources into inefficient allocations, and can complicate fiscal and cash management. And these costs may be particularly important in countries where public financial management is already weak.</w:t>
      </w:r>
    </w:p>
    <w:p w14:paraId="7B99A088" w14:textId="77777777" w:rsidR="0042028D" w:rsidRPr="003B4900" w:rsidRDefault="0042028D" w:rsidP="003333EB">
      <w:pPr>
        <w:spacing w:after="0" w:line="240" w:lineRule="auto"/>
        <w:rPr>
          <w:rFonts w:ascii="Segoe UI" w:eastAsia="Times New Roman" w:hAnsi="Segoe UI" w:cs="Segoe UI"/>
          <w:color w:val="000000"/>
          <w:kern w:val="0"/>
          <w:sz w:val="32"/>
          <w:szCs w:val="32"/>
          <w14:ligatures w14:val="none"/>
        </w:rPr>
      </w:pPr>
    </w:p>
    <w:p w14:paraId="3576D600" w14:textId="77777777" w:rsidR="003B4900" w:rsidRDefault="003B4900" w:rsidP="003333EB">
      <w:pPr>
        <w:spacing w:after="0" w:line="240" w:lineRule="auto"/>
        <w:rPr>
          <w:rFonts w:ascii="Segoe UI" w:eastAsia="Times New Roman" w:hAnsi="Segoe UI" w:cs="Segoe UI"/>
          <w:b/>
          <w:bCs/>
          <w:color w:val="000000"/>
          <w:kern w:val="0"/>
          <w:sz w:val="32"/>
          <w:szCs w:val="32"/>
          <w14:ligatures w14:val="none"/>
        </w:rPr>
      </w:pPr>
    </w:p>
    <w:p w14:paraId="00725E34" w14:textId="4A763FB5" w:rsidR="0042028D" w:rsidRPr="003B4900" w:rsidRDefault="0042028D" w:rsidP="003333EB">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Slide – Research questions</w:t>
      </w:r>
    </w:p>
    <w:p w14:paraId="3FC5064A" w14:textId="77777777" w:rsidR="0042028D" w:rsidRPr="003B4900" w:rsidRDefault="0042028D" w:rsidP="003333EB">
      <w:pPr>
        <w:spacing w:after="0" w:line="240" w:lineRule="auto"/>
        <w:rPr>
          <w:rFonts w:ascii="Segoe UI" w:eastAsia="Times New Roman" w:hAnsi="Segoe UI" w:cs="Segoe UI"/>
          <w:color w:val="000000"/>
          <w:kern w:val="0"/>
          <w:sz w:val="32"/>
          <w:szCs w:val="32"/>
          <w14:ligatures w14:val="none"/>
        </w:rPr>
      </w:pPr>
    </w:p>
    <w:p w14:paraId="5DEF9B21"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So the question is not whether earmarking is simply good or bad. The question is whether its potential political and financing benefits can outweigh these fiscal-management costs.”</w:t>
      </w:r>
    </w:p>
    <w:p w14:paraId="36E628D7" w14:textId="07355394" w:rsidR="0042028D"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Transition:</w:t>
      </w:r>
      <w:r w:rsidRPr="003B4900">
        <w:rPr>
          <w:rFonts w:ascii="Segoe UI" w:eastAsia="Times New Roman" w:hAnsi="Segoe UI" w:cs="Segoe UI"/>
          <w:color w:val="000000"/>
          <w:kern w:val="0"/>
          <w:sz w:val="32"/>
          <w:szCs w:val="32"/>
          <w14:ligatures w14:val="none"/>
        </w:rPr>
        <w:br/>
        <w:t>“So what does the existing literature tell us about this trade-off?”</w:t>
      </w:r>
    </w:p>
    <w:p w14:paraId="07EF3AA0" w14:textId="77777777" w:rsidR="0042028D" w:rsidRPr="003B4900" w:rsidRDefault="0042028D" w:rsidP="003333EB">
      <w:pPr>
        <w:spacing w:after="0" w:line="240" w:lineRule="auto"/>
        <w:rPr>
          <w:rFonts w:ascii="Segoe UI" w:eastAsia="Times New Roman" w:hAnsi="Segoe UI" w:cs="Segoe UI"/>
          <w:color w:val="000000"/>
          <w:kern w:val="0"/>
          <w:sz w:val="32"/>
          <w:szCs w:val="32"/>
          <w14:ligatures w14:val="none"/>
        </w:rPr>
      </w:pPr>
    </w:p>
    <w:p w14:paraId="363791D7" w14:textId="77777777" w:rsidR="003B4900" w:rsidRDefault="003B4900" w:rsidP="003333EB">
      <w:pPr>
        <w:spacing w:after="0" w:line="240" w:lineRule="auto"/>
        <w:rPr>
          <w:rFonts w:ascii="Segoe UI" w:eastAsia="Times New Roman" w:hAnsi="Segoe UI" w:cs="Segoe UI"/>
          <w:b/>
          <w:bCs/>
          <w:color w:val="000000"/>
          <w:kern w:val="0"/>
          <w:sz w:val="32"/>
          <w:szCs w:val="32"/>
          <w14:ligatures w14:val="none"/>
        </w:rPr>
      </w:pPr>
    </w:p>
    <w:p w14:paraId="70D58651" w14:textId="77777777" w:rsidR="003B4900" w:rsidRDefault="003B4900" w:rsidP="003333EB">
      <w:pPr>
        <w:spacing w:after="0" w:line="240" w:lineRule="auto"/>
        <w:rPr>
          <w:rFonts w:ascii="Segoe UI" w:eastAsia="Times New Roman" w:hAnsi="Segoe UI" w:cs="Segoe UI"/>
          <w:b/>
          <w:bCs/>
          <w:color w:val="000000"/>
          <w:kern w:val="0"/>
          <w:sz w:val="32"/>
          <w:szCs w:val="32"/>
          <w14:ligatures w14:val="none"/>
        </w:rPr>
      </w:pPr>
    </w:p>
    <w:p w14:paraId="638005A5" w14:textId="77777777" w:rsidR="003B4900" w:rsidRDefault="003B4900" w:rsidP="003333EB">
      <w:pPr>
        <w:spacing w:after="0" w:line="240" w:lineRule="auto"/>
        <w:rPr>
          <w:rFonts w:ascii="Segoe UI" w:eastAsia="Times New Roman" w:hAnsi="Segoe UI" w:cs="Segoe UI"/>
          <w:b/>
          <w:bCs/>
          <w:color w:val="000000"/>
          <w:kern w:val="0"/>
          <w:sz w:val="32"/>
          <w:szCs w:val="32"/>
          <w14:ligatures w14:val="none"/>
        </w:rPr>
      </w:pPr>
    </w:p>
    <w:p w14:paraId="6D619597" w14:textId="77777777" w:rsidR="003B4900" w:rsidRDefault="003B4900" w:rsidP="003333EB">
      <w:pPr>
        <w:spacing w:after="0" w:line="240" w:lineRule="auto"/>
        <w:rPr>
          <w:rFonts w:ascii="Segoe UI" w:eastAsia="Times New Roman" w:hAnsi="Segoe UI" w:cs="Segoe UI"/>
          <w:b/>
          <w:bCs/>
          <w:color w:val="000000"/>
          <w:kern w:val="0"/>
          <w:sz w:val="32"/>
          <w:szCs w:val="32"/>
          <w14:ligatures w14:val="none"/>
        </w:rPr>
      </w:pPr>
    </w:p>
    <w:p w14:paraId="75A61C96" w14:textId="41657C62" w:rsidR="003333EB" w:rsidRPr="003B4900" w:rsidRDefault="003333EB" w:rsidP="003333EB">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lastRenderedPageBreak/>
        <w:t>Slide — The evidence is mixed and particularly thin for SSA</w:t>
      </w:r>
    </w:p>
    <w:p w14:paraId="00A3A5E0"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“The literature gives a mixed answer.</w:t>
      </w:r>
    </w:p>
    <w:p w14:paraId="211F2DC3"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The strongest evidence is on </w:t>
      </w:r>
      <w:r w:rsidRPr="003B4900">
        <w:rPr>
          <w:rFonts w:ascii="Segoe UI" w:eastAsia="Times New Roman" w:hAnsi="Segoe UI" w:cs="Segoe UI"/>
          <w:b/>
          <w:bCs/>
          <w:color w:val="000000"/>
          <w:kern w:val="0"/>
          <w:sz w:val="32"/>
          <w:szCs w:val="32"/>
          <w14:ligatures w14:val="none"/>
        </w:rPr>
        <w:t>political authorization</w:t>
      </w:r>
      <w:r w:rsidRPr="003B4900">
        <w:rPr>
          <w:rFonts w:ascii="Segoe UI" w:eastAsia="Times New Roman" w:hAnsi="Segoe UI" w:cs="Segoe UI"/>
          <w:color w:val="000000"/>
          <w:kern w:val="0"/>
          <w:sz w:val="32"/>
          <w:szCs w:val="32"/>
          <w14:ligatures w14:val="none"/>
        </w:rPr>
        <w:t>. Earmarking can make a tax more acceptable or easier to pass in some settings. For example, in Mexico, an exclusive-use statement increased stated support for a hypothetical tax by around 7 to 8 percentage points. And in Ghana, earmarking through the GET Fund was part of the political strategy used to secure a VAT increase.</w:t>
      </w:r>
    </w:p>
    <w:p w14:paraId="442B4BD6"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But when we move to </w:t>
      </w:r>
      <w:r w:rsidRPr="003B4900">
        <w:rPr>
          <w:rFonts w:ascii="Segoe UI" w:eastAsia="Times New Roman" w:hAnsi="Segoe UI" w:cs="Segoe UI"/>
          <w:b/>
          <w:bCs/>
          <w:color w:val="000000"/>
          <w:kern w:val="0"/>
          <w:sz w:val="32"/>
          <w:szCs w:val="32"/>
          <w14:ligatures w14:val="none"/>
        </w:rPr>
        <w:t>compliance and net revenue</w:t>
      </w:r>
      <w:r w:rsidRPr="003B4900">
        <w:rPr>
          <w:rFonts w:ascii="Segoe UI" w:eastAsia="Times New Roman" w:hAnsi="Segoe UI" w:cs="Segoe UI"/>
          <w:color w:val="000000"/>
          <w:kern w:val="0"/>
          <w:sz w:val="32"/>
          <w:szCs w:val="32"/>
          <w14:ligatures w14:val="none"/>
        </w:rPr>
        <w:t>, the evidence becomes much weaker. There are good theoretical reasons why linking taxes to valued services could improve compliance, especially in low-trust settings, but the overall effect remains unresolved.</w:t>
      </w:r>
    </w:p>
    <w:p w14:paraId="4C092659"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The same applies on the </w:t>
      </w:r>
      <w:r w:rsidRPr="003B4900">
        <w:rPr>
          <w:rFonts w:ascii="Segoe UI" w:eastAsia="Times New Roman" w:hAnsi="Segoe UI" w:cs="Segoe UI"/>
          <w:b/>
          <w:bCs/>
          <w:color w:val="000000"/>
          <w:kern w:val="0"/>
          <w:sz w:val="32"/>
          <w:szCs w:val="32"/>
          <w14:ligatures w14:val="none"/>
        </w:rPr>
        <w:t>spending</w:t>
      </w:r>
      <w:r w:rsidRPr="003B4900">
        <w:rPr>
          <w:rFonts w:ascii="Segoe UI" w:eastAsia="Times New Roman" w:hAnsi="Segoe UI" w:cs="Segoe UI"/>
          <w:color w:val="000000"/>
          <w:kern w:val="0"/>
          <w:sz w:val="32"/>
          <w:szCs w:val="32"/>
          <w14:ligatures w14:val="none"/>
        </w:rPr>
        <w:t xml:space="preserve"> side. A legal earmark does not automatically generate additional spending, because governments may reduce general-budget financing elsewhere. And even when additional resources reach a sector, their effectiveness depends on public financial management, absorptive capacity, and implementation.</w:t>
      </w:r>
    </w:p>
    <w:p w14:paraId="1610FF26"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So the main conclusion from the literature is that earmarking can matter, but its effects are highly conditional. And for Sub-Saharan Africa in particular, the evidence remains very limited.</w:t>
      </w:r>
    </w:p>
    <w:p w14:paraId="25190DFA" w14:textId="77777777" w:rsidR="003333EB" w:rsidRPr="003B4900" w:rsidRDefault="003333EB" w:rsidP="003333EB">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This leads to a more basic question: </w:t>
      </w:r>
      <w:r w:rsidRPr="003B4900">
        <w:rPr>
          <w:rFonts w:ascii="Segoe UI" w:eastAsia="Times New Roman" w:hAnsi="Segoe UI" w:cs="Segoe UI"/>
          <w:b/>
          <w:bCs/>
          <w:color w:val="000000"/>
          <w:kern w:val="0"/>
          <w:sz w:val="32"/>
          <w:szCs w:val="32"/>
          <w14:ligatures w14:val="none"/>
        </w:rPr>
        <w:t>before asking whether earmarking works, we first need to know where it exists and how it is designed.</w:t>
      </w:r>
      <w:r w:rsidRPr="003B4900">
        <w:rPr>
          <w:rFonts w:ascii="Segoe UI" w:eastAsia="Times New Roman" w:hAnsi="Segoe UI" w:cs="Segoe UI"/>
          <w:color w:val="000000"/>
          <w:kern w:val="0"/>
          <w:sz w:val="32"/>
          <w:szCs w:val="32"/>
          <w14:ligatures w14:val="none"/>
        </w:rPr>
        <w:t>”</w:t>
      </w:r>
    </w:p>
    <w:p w14:paraId="398C71CE" w14:textId="77777777" w:rsidR="003333EB" w:rsidRPr="003B4900" w:rsidRDefault="003333EB" w:rsidP="00F03A03">
      <w:pPr>
        <w:spacing w:after="0" w:line="240" w:lineRule="auto"/>
        <w:rPr>
          <w:rFonts w:ascii="Segoe UI" w:eastAsia="Times New Roman" w:hAnsi="Segoe UI" w:cs="Segoe UI"/>
          <w:color w:val="000000"/>
          <w:kern w:val="0"/>
          <w:sz w:val="32"/>
          <w:szCs w:val="32"/>
          <w14:ligatures w14:val="none"/>
        </w:rPr>
      </w:pPr>
    </w:p>
    <w:p w14:paraId="2543CCEF" w14:textId="77777777" w:rsidR="003333EB" w:rsidRPr="003B4900" w:rsidRDefault="003333EB" w:rsidP="00F03A03">
      <w:pPr>
        <w:spacing w:after="0" w:line="240" w:lineRule="auto"/>
        <w:rPr>
          <w:rFonts w:ascii="Segoe UI" w:eastAsia="Times New Roman" w:hAnsi="Segoe UI" w:cs="Segoe UI"/>
          <w:color w:val="000000"/>
          <w:kern w:val="0"/>
          <w:sz w:val="32"/>
          <w:szCs w:val="32"/>
          <w14:ligatures w14:val="none"/>
        </w:rPr>
      </w:pPr>
    </w:p>
    <w:p w14:paraId="09917430" w14:textId="77777777" w:rsidR="0042028D" w:rsidRPr="003B4900" w:rsidRDefault="0042028D" w:rsidP="00F03A03">
      <w:pPr>
        <w:spacing w:after="0" w:line="240" w:lineRule="auto"/>
        <w:rPr>
          <w:rFonts w:ascii="Segoe UI" w:eastAsia="Times New Roman" w:hAnsi="Segoe UI" w:cs="Segoe UI"/>
          <w:color w:val="000000"/>
          <w:kern w:val="0"/>
          <w:sz w:val="32"/>
          <w:szCs w:val="32"/>
          <w14:ligatures w14:val="none"/>
        </w:rPr>
      </w:pPr>
    </w:p>
    <w:p w14:paraId="53A32360"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3C0175B1"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49A4F097"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2DB2D9AB" w14:textId="1F0CD06F"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lastRenderedPageBreak/>
        <w:t>Slide 14 — Coverage / legal snapshots — ~30 sec</w:t>
      </w:r>
    </w:p>
    <w:p w14:paraId="41554FBF"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“Before looking at prevalence, this shows the empirical coverage of the inventory. We cover 19 countries across Sub-Saharan Africa, using the most recent legal tax registers available, mostly from 2024 to 2026. </w:t>
      </w:r>
    </w:p>
    <w:p w14:paraId="00E133AF"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The number of assigned revenue instruments also varies substantially—from only a handful in some countries to more than 80 in Côte d’Ivoire. So there is already considerable heterogeneity in the statutory architecture.”</w:t>
      </w:r>
    </w:p>
    <w:p w14:paraId="5A8881E9"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I would retitle this slide something like </w:t>
      </w:r>
      <w:r w:rsidRPr="003B4900">
        <w:rPr>
          <w:rFonts w:ascii="Segoe UI" w:eastAsia="Times New Roman" w:hAnsi="Segoe UI" w:cs="Segoe UI"/>
          <w:b/>
          <w:bCs/>
          <w:color w:val="000000"/>
          <w:kern w:val="0"/>
          <w:sz w:val="32"/>
          <w:szCs w:val="32"/>
          <w14:ligatures w14:val="none"/>
        </w:rPr>
        <w:t>“The inventory covers 19 countries and recent legal snapshots.”</w:t>
      </w:r>
    </w:p>
    <w:p w14:paraId="41ECB078"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Transition:</w:t>
      </w:r>
    </w:p>
    <w:p w14:paraId="303AD552"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“But counts alone do not tell us how common earmarking is relative to the overall revenue system.”</w:t>
      </w:r>
    </w:p>
    <w:p w14:paraId="5C166994" w14:textId="6647A4D8"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p>
    <w:p w14:paraId="62DD34D8" w14:textId="77777777"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Slide 15 — Prevalence — ~45 sec</w:t>
      </w:r>
    </w:p>
    <w:p w14:paraId="5B4139C1"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“Once we use the census as the denominator, the first result is that prevalence varies enormously across countries. </w:t>
      </w:r>
    </w:p>
    <w:p w14:paraId="7051818B"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In Côte d’Ivoire, roughly one-third of the revenue instruments in the census are partially or exclusively earmarked. South Africa, Ghana and Cameroon are also relatively high. At the other end, earmarking is rare—or not observed in the selected corpus—in several countries. </w:t>
      </w:r>
    </w:p>
    <w:p w14:paraId="01E3A8F0"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So there is no single SSA model: statutory earmarking is quantitatively important in some systems and marginal in others.”</w:t>
      </w:r>
    </w:p>
    <w:p w14:paraId="15D4A0FC"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Then remind them:</w:t>
      </w:r>
    </w:p>
    <w:p w14:paraId="193093F5"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“These are shares of </w:t>
      </w:r>
      <w:r w:rsidRPr="003B4900">
        <w:rPr>
          <w:rFonts w:ascii="Segoe UI" w:eastAsia="Times New Roman" w:hAnsi="Segoe UI" w:cs="Segoe UI"/>
          <w:b/>
          <w:bCs/>
          <w:color w:val="000000"/>
          <w:kern w:val="0"/>
          <w:sz w:val="32"/>
          <w:szCs w:val="32"/>
          <w14:ligatures w14:val="none"/>
        </w:rPr>
        <w:t>instruments</w:t>
      </w:r>
      <w:r w:rsidRPr="003B4900">
        <w:rPr>
          <w:rFonts w:ascii="Segoe UI" w:eastAsia="Times New Roman" w:hAnsi="Segoe UI" w:cs="Segoe UI"/>
          <w:color w:val="000000"/>
          <w:kern w:val="0"/>
          <w:sz w:val="32"/>
          <w:szCs w:val="32"/>
          <w14:ligatures w14:val="none"/>
        </w:rPr>
        <w:t>, not shares of tax revenue.”</w:t>
      </w:r>
    </w:p>
    <w:p w14:paraId="77A8CF27"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That caveat is important.</w:t>
      </w:r>
    </w:p>
    <w:p w14:paraId="2220115E" w14:textId="658BE9D4"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p>
    <w:p w14:paraId="6283E416"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2B028B33"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434702EA" w14:textId="78D1FDCD"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lastRenderedPageBreak/>
        <w:t>Slide 16 — Partial, exclusive, unrestricted — ~45 sec</w:t>
      </w:r>
    </w:p>
    <w:p w14:paraId="16479497"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I would slightly reinterpret the title because this slide is broader than just “how strongly do they earmark?”</w:t>
      </w:r>
    </w:p>
    <w:p w14:paraId="531C2691"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“The second result is that statutory assignment is not binary. Countries use very different mixes of unrestricted assignment, partial earmarking and exclusive earmarking. </w:t>
      </w:r>
    </w:p>
    <w:p w14:paraId="7A006DFA" w14:textId="4FB5B0C0"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Niger has a much larger share of assigned-but-unrestricted instruments. Côte d’Ivoire, Cameroon and Burkina Faso show more mixed architectures. </w:t>
      </w:r>
    </w:p>
    <w:p w14:paraId="78BE42D2" w14:textId="29F8F90B" w:rsidR="003B4900"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This is why simply coding an instrument as ‘assigned’ would conceal an important part of the institutional design.</w:t>
      </w:r>
    </w:p>
    <w:p w14:paraId="52D3FF60" w14:textId="77777777" w:rsidR="003B4900" w:rsidRDefault="003B4900" w:rsidP="0042028D">
      <w:pPr>
        <w:spacing w:after="0" w:line="240" w:lineRule="auto"/>
        <w:rPr>
          <w:rFonts w:ascii="Segoe UI" w:eastAsia="Times New Roman" w:hAnsi="Segoe UI" w:cs="Segoe UI"/>
          <w:color w:val="000000"/>
          <w:kern w:val="0"/>
          <w:sz w:val="32"/>
          <w:szCs w:val="32"/>
          <w14:ligatures w14:val="none"/>
        </w:rPr>
      </w:pPr>
    </w:p>
    <w:p w14:paraId="3931D9AF" w14:textId="1BA2E265"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Slide 17 — Revenue sources — ~35 sec</w:t>
      </w:r>
    </w:p>
    <w:p w14:paraId="4878CFFD"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“Earmarking also appears to be concentrated on particular types of revenue sources. </w:t>
      </w:r>
    </w:p>
    <w:p w14:paraId="5DCFE657"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The largest share of allocation channels comes from sector-specific and business levies, followed by administrative or regulatory charges, natural-resource revenues and environmental levies. Broad-based taxes such as general consumption or income taxes account for a much smaller share of these statutory links. </w:t>
      </w:r>
    </w:p>
    <w:p w14:paraId="0BC471BF"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So earmarking in this sample is primarily built around relatively targeted or sector-specific revenue instruments.”</w:t>
      </w:r>
    </w:p>
    <w:p w14:paraId="771D283E" w14:textId="6D210F94"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p>
    <w:p w14:paraId="66E9973F"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31B1E219"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5B9CACCE"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64ED1BCB"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5882B586"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5D37B16F"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33AEF563"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17F85D17" w14:textId="77777777" w:rsidR="003B4900" w:rsidRDefault="003B4900" w:rsidP="0042028D">
      <w:pPr>
        <w:spacing w:after="0" w:line="240" w:lineRule="auto"/>
        <w:rPr>
          <w:rFonts w:ascii="Segoe UI" w:eastAsia="Times New Roman" w:hAnsi="Segoe UI" w:cs="Segoe UI"/>
          <w:b/>
          <w:bCs/>
          <w:color w:val="000000"/>
          <w:kern w:val="0"/>
          <w:sz w:val="32"/>
          <w:szCs w:val="32"/>
          <w14:ligatures w14:val="none"/>
        </w:rPr>
      </w:pPr>
    </w:p>
    <w:p w14:paraId="22BE9CF2" w14:textId="5A08A03E"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lastRenderedPageBreak/>
        <w:t>Slide 18 — Destinations — ~35 sec</w:t>
      </w:r>
    </w:p>
    <w:p w14:paraId="0597A737"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“On the destination side, earmarked revenues are also concentrated in particular functions. Transport is the single largest destination in terms of statutory allocation links, followed by several economic and administrative functions. Agriculture, sport, education, communications and environmental functions also appear prominently. </w:t>
      </w:r>
    </w:p>
    <w:p w14:paraId="5E239443" w14:textId="15FBAE8D" w:rsidR="00E8325D" w:rsidRPr="003B4900" w:rsidRDefault="00E8325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And some functions recur across several countries, rather than being driven by one country alone</w:t>
      </w:r>
    </w:p>
    <w:p w14:paraId="25F69E68" w14:textId="3DBC15E2" w:rsidR="00E8325D" w:rsidRPr="003B4900" w:rsidRDefault="0042028D" w:rsidP="00E8325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So earmarking is not confined to the classic health-and-education examples—it finances a much broader set of government functions</w:t>
      </w:r>
    </w:p>
    <w:p w14:paraId="6A9D7A6B" w14:textId="77777777" w:rsidR="00E8325D" w:rsidRPr="003B4900" w:rsidRDefault="00E8325D" w:rsidP="00E8325D">
      <w:pPr>
        <w:spacing w:after="0" w:line="240" w:lineRule="auto"/>
        <w:rPr>
          <w:rFonts w:ascii="Segoe UI" w:eastAsia="Times New Roman" w:hAnsi="Segoe UI" w:cs="Segoe UI"/>
          <w:color w:val="000000"/>
          <w:kern w:val="0"/>
          <w:sz w:val="32"/>
          <w:szCs w:val="32"/>
          <w14:ligatures w14:val="none"/>
        </w:rPr>
      </w:pPr>
    </w:p>
    <w:p w14:paraId="4513085A" w14:textId="73641363"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p>
    <w:p w14:paraId="063430FA" w14:textId="77777777"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Slide 19 — Ghana — ~50 sec</w:t>
      </w:r>
    </w:p>
    <w:p w14:paraId="1B4796DA"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“The legal inventory tells us what is earmarked, but it does not tell us how large these arrangements are in budgetary terms. Ghana gives us an illustration of that next layer. </w:t>
      </w:r>
    </w:p>
    <w:p w14:paraId="2472ED3B"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Budget allocations to the selected earmarked funds represented around 4 to 6 percent of the total budget for much of the period, before rising sharply to around 8½ percent in 2025 and 2026. </w:t>
      </w:r>
    </w:p>
    <w:p w14:paraId="6803C793"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The increase is largely driven by the National Health Fund and the Ghana Education Trust Fund, while the Road Fund remains smaller and relatively stable. </w:t>
      </w:r>
    </w:p>
    <w:p w14:paraId="740C35C1" w14:textId="77777777"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So in Ghana, these arrangements are not only legally visible—they represent a material and recently increasing part of the budget.”</w:t>
      </w:r>
    </w:p>
    <w:p w14:paraId="371F95E0" w14:textId="77777777" w:rsidR="00E8325D" w:rsidRPr="003B4900" w:rsidRDefault="00E8325D" w:rsidP="0042028D">
      <w:pPr>
        <w:spacing w:after="0" w:line="240" w:lineRule="auto"/>
        <w:rPr>
          <w:rFonts w:ascii="Segoe UI" w:eastAsia="Times New Roman" w:hAnsi="Segoe UI" w:cs="Segoe UI"/>
          <w:color w:val="000000"/>
          <w:kern w:val="0"/>
          <w:sz w:val="32"/>
          <w:szCs w:val="32"/>
          <w14:ligatures w14:val="none"/>
        </w:rPr>
      </w:pPr>
    </w:p>
    <w:p w14:paraId="5D3D97BE" w14:textId="3EF42441"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This is a budget-allocation illustration, not evidence of actual execution or of a causal effect of earmarking.”</w:t>
      </w:r>
    </w:p>
    <w:p w14:paraId="6B6262CF" w14:textId="77777777" w:rsidR="003B4900" w:rsidRDefault="003B4900" w:rsidP="0042028D">
      <w:pPr>
        <w:spacing w:after="0" w:line="240" w:lineRule="auto"/>
        <w:rPr>
          <w:rFonts w:ascii="Segoe UI" w:eastAsia="Times New Roman" w:hAnsi="Segoe UI" w:cs="Segoe UI"/>
          <w:color w:val="000000"/>
          <w:kern w:val="0"/>
          <w:sz w:val="32"/>
          <w:szCs w:val="32"/>
          <w14:ligatures w14:val="none"/>
        </w:rPr>
      </w:pPr>
    </w:p>
    <w:p w14:paraId="35E2E82B" w14:textId="2E180AC8" w:rsidR="00607C13"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lastRenderedPageBreak/>
        <w:t>Slides 20–23 — Country architectures</w:t>
      </w:r>
    </w:p>
    <w:p w14:paraId="77D2D5C5" w14:textId="0EDA2B1D" w:rsidR="00607C13"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Finally, the aggregate statistics hide very different source-to-destination architectures. In these diagrams, each flow represents statutory allocation links—not amounts of money—so the purpose is to compare legal structure across countries.</w:t>
      </w:r>
    </w:p>
    <w:p w14:paraId="6C67B074" w14:textId="77777777" w:rsidR="00607C13" w:rsidRPr="003B4900" w:rsidRDefault="00607C13" w:rsidP="0042028D">
      <w:pPr>
        <w:spacing w:after="0" w:line="240" w:lineRule="auto"/>
        <w:rPr>
          <w:rFonts w:ascii="Segoe UI" w:eastAsia="Times New Roman" w:hAnsi="Segoe UI" w:cs="Segoe UI"/>
          <w:color w:val="000000"/>
          <w:kern w:val="0"/>
          <w:sz w:val="32"/>
          <w:szCs w:val="32"/>
          <w14:ligatures w14:val="none"/>
        </w:rPr>
      </w:pPr>
    </w:p>
    <w:p w14:paraId="7F77E68B" w14:textId="77777777"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Benin</w:t>
      </w:r>
    </w:p>
    <w:p w14:paraId="35D456CA" w14:textId="64503692"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Benin is a relatively concentrated case. A small number of revenue-source categories feed only a few destinations, particularly broadcasting and sport. So the architecture is narrow and specialized.</w:t>
      </w:r>
    </w:p>
    <w:p w14:paraId="6D0105A7" w14:textId="77777777" w:rsidR="00607C13" w:rsidRPr="003B4900" w:rsidRDefault="00607C13" w:rsidP="0042028D">
      <w:pPr>
        <w:spacing w:after="0" w:line="240" w:lineRule="auto"/>
        <w:rPr>
          <w:rFonts w:ascii="Segoe UI" w:eastAsia="Times New Roman" w:hAnsi="Segoe UI" w:cs="Segoe UI"/>
          <w:b/>
          <w:bCs/>
          <w:color w:val="000000"/>
          <w:kern w:val="0"/>
          <w:sz w:val="32"/>
          <w:szCs w:val="32"/>
          <w14:ligatures w14:val="none"/>
        </w:rPr>
      </w:pPr>
    </w:p>
    <w:p w14:paraId="74CB9B50" w14:textId="59AF016D" w:rsidR="00607C13" w:rsidRPr="003B4900" w:rsidRDefault="00607C13"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 xml:space="preserve">Cote </w:t>
      </w:r>
      <w:proofErr w:type="spellStart"/>
      <w:r w:rsidRPr="003B4900">
        <w:rPr>
          <w:rFonts w:ascii="Segoe UI" w:eastAsia="Times New Roman" w:hAnsi="Segoe UI" w:cs="Segoe UI"/>
          <w:b/>
          <w:bCs/>
          <w:color w:val="000000"/>
          <w:kern w:val="0"/>
          <w:sz w:val="32"/>
          <w:szCs w:val="32"/>
          <w14:ligatures w14:val="none"/>
        </w:rPr>
        <w:t>divoire</w:t>
      </w:r>
      <w:proofErr w:type="spellEnd"/>
      <w:r w:rsidRPr="003B4900">
        <w:rPr>
          <w:rFonts w:ascii="Segoe UI" w:eastAsia="Times New Roman" w:hAnsi="Segoe UI" w:cs="Segoe UI"/>
          <w:b/>
          <w:bCs/>
          <w:color w:val="000000"/>
          <w:kern w:val="0"/>
          <w:sz w:val="32"/>
          <w:szCs w:val="32"/>
          <w14:ligatures w14:val="none"/>
        </w:rPr>
        <w:t xml:space="preserve"> </w:t>
      </w:r>
    </w:p>
    <w:p w14:paraId="353EC172" w14:textId="46041849" w:rsidR="0042028D" w:rsidRPr="003B4900" w:rsidRDefault="0042028D" w:rsidP="003B4900">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The second example is almost the opposite: many different types of revenues are linked to a wide range of functions, with transport particularly prominent. This is a much more diversified statutory architecture</w:t>
      </w:r>
    </w:p>
    <w:p w14:paraId="28E19ED3" w14:textId="77777777" w:rsidR="00607C13" w:rsidRPr="003B4900" w:rsidRDefault="00607C13" w:rsidP="0042028D">
      <w:pPr>
        <w:spacing w:after="0" w:line="240" w:lineRule="auto"/>
        <w:rPr>
          <w:rFonts w:ascii="Segoe UI" w:eastAsia="Times New Roman" w:hAnsi="Segoe UI" w:cs="Segoe UI"/>
          <w:color w:val="000000"/>
          <w:kern w:val="0"/>
          <w:sz w:val="32"/>
          <w:szCs w:val="32"/>
          <w14:ligatures w14:val="none"/>
        </w:rPr>
      </w:pPr>
    </w:p>
    <w:p w14:paraId="438FF134" w14:textId="77777777"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Nigeria</w:t>
      </w:r>
    </w:p>
    <w:p w14:paraId="042539FA" w14:textId="1DA67EB2" w:rsidR="0042028D"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Nigeria is concentrated on the source side but diversified on the destination side. Most of the statutory links originate from income/profit-related revenues, with a smaller natural-resource component, while the proceeds are assigned across several functions including tertiary education, security, economic affairs and communications.</w:t>
      </w:r>
    </w:p>
    <w:p w14:paraId="04F78969" w14:textId="77777777" w:rsidR="00607C13" w:rsidRPr="003B4900" w:rsidRDefault="00607C13" w:rsidP="0042028D">
      <w:pPr>
        <w:spacing w:after="0" w:line="240" w:lineRule="auto"/>
        <w:rPr>
          <w:rFonts w:ascii="Segoe UI" w:eastAsia="Times New Roman" w:hAnsi="Segoe UI" w:cs="Segoe UI"/>
          <w:color w:val="000000"/>
          <w:kern w:val="0"/>
          <w:sz w:val="32"/>
          <w:szCs w:val="32"/>
          <w14:ligatures w14:val="none"/>
        </w:rPr>
      </w:pPr>
    </w:p>
    <w:p w14:paraId="232DD662" w14:textId="77777777" w:rsidR="0042028D" w:rsidRPr="003B4900" w:rsidRDefault="0042028D" w:rsidP="0042028D">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South Africa</w:t>
      </w:r>
    </w:p>
    <w:p w14:paraId="06B4A4CF" w14:textId="06C07741" w:rsidR="00607C13" w:rsidRPr="003B4900" w:rsidRDefault="0042028D" w:rsidP="0042028D">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t xml:space="preserve">South Africa shows another model again. The source base is more diversified, including payroll and social contributions, financial and transaction taxes, excises and other levies. Destinations are also distinctive, with strong links to social </w:t>
      </w:r>
      <w:r w:rsidRPr="003B4900">
        <w:rPr>
          <w:rFonts w:ascii="Segoe UI" w:eastAsia="Times New Roman" w:hAnsi="Segoe UI" w:cs="Segoe UI"/>
          <w:color w:val="000000"/>
          <w:kern w:val="0"/>
          <w:sz w:val="32"/>
          <w:szCs w:val="32"/>
          <w14:ligatures w14:val="none"/>
        </w:rPr>
        <w:lastRenderedPageBreak/>
        <w:t>protection—particularly unemployment and sickness—as well as education and other functions.</w:t>
      </w:r>
    </w:p>
    <w:p w14:paraId="741BFC33" w14:textId="77777777" w:rsidR="00607C13" w:rsidRPr="003B4900" w:rsidRDefault="00607C13" w:rsidP="0042028D">
      <w:pPr>
        <w:spacing w:after="0" w:line="240" w:lineRule="auto"/>
        <w:rPr>
          <w:rFonts w:ascii="Segoe UI" w:eastAsia="Times New Roman" w:hAnsi="Segoe UI" w:cs="Segoe UI"/>
          <w:color w:val="000000"/>
          <w:kern w:val="0"/>
          <w:sz w:val="32"/>
          <w:szCs w:val="32"/>
          <w14:ligatures w14:val="none"/>
        </w:rPr>
      </w:pPr>
    </w:p>
    <w:p w14:paraId="777F62CC" w14:textId="77777777" w:rsidR="00607C13" w:rsidRPr="003B4900" w:rsidRDefault="0042028D" w:rsidP="00607C13">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 xml:space="preserve">So cross-country heterogeneity is not only about how much governments earmark. </w:t>
      </w:r>
    </w:p>
    <w:p w14:paraId="5730C9A5" w14:textId="20ABBD06" w:rsidR="0042028D" w:rsidRPr="003B4900" w:rsidRDefault="0042028D" w:rsidP="00607C13">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Countries also differ fundamentally in what they earmark and what they use those revenues to finance</w:t>
      </w:r>
    </w:p>
    <w:p w14:paraId="448E67BF" w14:textId="77777777" w:rsidR="00607C13" w:rsidRPr="003B4900" w:rsidRDefault="00607C13" w:rsidP="00607C13">
      <w:pPr>
        <w:spacing w:after="0" w:line="240" w:lineRule="auto"/>
        <w:rPr>
          <w:rFonts w:ascii="Segoe UI" w:eastAsia="Times New Roman" w:hAnsi="Segoe UI" w:cs="Segoe UI"/>
          <w:b/>
          <w:bCs/>
          <w:color w:val="000000"/>
          <w:kern w:val="0"/>
          <w:sz w:val="32"/>
          <w:szCs w:val="32"/>
          <w14:ligatures w14:val="none"/>
        </w:rPr>
      </w:pPr>
    </w:p>
    <w:p w14:paraId="52DBC29F" w14:textId="2A80815B" w:rsidR="003B4900" w:rsidRPr="003B4900" w:rsidRDefault="003B4900" w:rsidP="00607C13">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Conclusion</w:t>
      </w:r>
    </w:p>
    <w:p w14:paraId="6D4FF543" w14:textId="77777777" w:rsidR="00607C13" w:rsidRPr="003B4900" w:rsidRDefault="00607C13" w:rsidP="00607C13">
      <w:pPr>
        <w:spacing w:after="0" w:line="240" w:lineRule="auto"/>
        <w:rPr>
          <w:rFonts w:ascii="Segoe UI" w:eastAsia="Times New Roman" w:hAnsi="Segoe UI" w:cs="Segoe UI"/>
          <w:b/>
          <w:bCs/>
          <w:color w:val="000000"/>
          <w:kern w:val="0"/>
          <w:sz w:val="32"/>
          <w:szCs w:val="32"/>
          <w14:ligatures w14:val="none"/>
        </w:rPr>
      </w:pPr>
    </w:p>
    <w:p w14:paraId="5E5479EE" w14:textId="16CD8A84" w:rsidR="003B4900" w:rsidRPr="003B4900" w:rsidRDefault="003B4900" w:rsidP="00607C13">
      <w:pPr>
        <w:spacing w:after="0" w:line="240" w:lineRule="auto"/>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xxx</w:t>
      </w:r>
    </w:p>
    <w:p w14:paraId="15B52D0E" w14:textId="77777777" w:rsidR="003B4900" w:rsidRPr="003B4900" w:rsidRDefault="003B4900" w:rsidP="003B4900">
      <w:pPr>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t>So the main message is: we do not yet know whether earmarking improves DRM, but we now have a framework and a database that make that question measurable</w:t>
      </w:r>
    </w:p>
    <w:p w14:paraId="00D910F6" w14:textId="226C4CD7" w:rsidR="00607C13" w:rsidRPr="003B4900" w:rsidRDefault="00607C13">
      <w:pPr>
        <w:rPr>
          <w:rFonts w:ascii="Segoe UI" w:eastAsia="Times New Roman" w:hAnsi="Segoe UI" w:cs="Segoe UI"/>
          <w:b/>
          <w:bCs/>
          <w:color w:val="000000"/>
          <w:kern w:val="0"/>
          <w:sz w:val="32"/>
          <w:szCs w:val="32"/>
          <w14:ligatures w14:val="none"/>
        </w:rPr>
      </w:pPr>
      <w:r w:rsidRPr="003B4900">
        <w:rPr>
          <w:rFonts w:ascii="Segoe UI" w:eastAsia="Times New Roman" w:hAnsi="Segoe UI" w:cs="Segoe UI"/>
          <w:b/>
          <w:bCs/>
          <w:color w:val="000000"/>
          <w:kern w:val="0"/>
          <w:sz w:val="32"/>
          <w:szCs w:val="32"/>
          <w14:ligatures w14:val="none"/>
        </w:rPr>
        <w:br w:type="page"/>
      </w:r>
    </w:p>
    <w:p w14:paraId="2FCC92AC" w14:textId="77777777" w:rsidR="00607C13" w:rsidRPr="003B4900" w:rsidRDefault="00607C13" w:rsidP="00607C13">
      <w:pPr>
        <w:spacing w:after="0" w:line="240" w:lineRule="auto"/>
        <w:rPr>
          <w:rFonts w:ascii="Segoe UI" w:eastAsia="Times New Roman" w:hAnsi="Segoe UI" w:cs="Segoe UI"/>
          <w:color w:val="000000"/>
          <w:kern w:val="0"/>
          <w:sz w:val="32"/>
          <w:szCs w:val="32"/>
          <w14:ligatures w14:val="none"/>
        </w:rPr>
      </w:pPr>
    </w:p>
    <w:p w14:paraId="7D13B9CA" w14:textId="77777777" w:rsidR="0042028D" w:rsidRPr="003B4900" w:rsidRDefault="0042028D" w:rsidP="00F03A03">
      <w:pPr>
        <w:spacing w:after="0" w:line="240" w:lineRule="auto"/>
        <w:rPr>
          <w:rFonts w:ascii="Segoe UI" w:eastAsia="Times New Roman" w:hAnsi="Segoe UI" w:cs="Segoe UI"/>
          <w:color w:val="000000"/>
          <w:kern w:val="0"/>
          <w:sz w:val="32"/>
          <w:szCs w:val="32"/>
          <w14:ligatures w14:val="none"/>
        </w:rPr>
      </w:pPr>
    </w:p>
    <w:p w14:paraId="2FFF8F1D" w14:textId="5E4AD1C0" w:rsidR="00F03A03" w:rsidRPr="003B4900" w:rsidRDefault="00B84B72" w:rsidP="00F03A03">
      <w:pPr>
        <w:spacing w:after="0" w:line="240" w:lineRule="auto"/>
        <w:rPr>
          <w:rFonts w:ascii="Segoe UI" w:eastAsia="Times New Roman" w:hAnsi="Segoe UI" w:cs="Segoe UI"/>
          <w:color w:val="000000"/>
          <w:kern w:val="0"/>
          <w:sz w:val="32"/>
          <w:szCs w:val="32"/>
          <w14:ligatures w14:val="none"/>
        </w:rPr>
      </w:pPr>
      <w:r w:rsidRPr="003B4900">
        <w:rPr>
          <w:rFonts w:ascii="Segoe UI" w:eastAsia="Times New Roman" w:hAnsi="Segoe UI" w:cs="Segoe UI"/>
          <w:color w:val="000000"/>
          <w:kern w:val="0"/>
          <w:sz w:val="32"/>
          <w:szCs w:val="32"/>
          <w14:ligatures w14:val="none"/>
        </w:rPr>
        <w:drawing>
          <wp:inline distT="0" distB="0" distL="0" distR="0" wp14:anchorId="775D8CBC" wp14:editId="08A4869D">
            <wp:extent cx="5760720" cy="3599815"/>
            <wp:effectExtent l="0" t="0" r="0" b="635"/>
            <wp:docPr id="1567168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8755" name=""/>
                    <pic:cNvPicPr/>
                  </pic:nvPicPr>
                  <pic:blipFill>
                    <a:blip r:embed="rId5"/>
                    <a:stretch>
                      <a:fillRect/>
                    </a:stretch>
                  </pic:blipFill>
                  <pic:spPr>
                    <a:xfrm>
                      <a:off x="0" y="0"/>
                      <a:ext cx="5760720" cy="3599815"/>
                    </a:xfrm>
                    <a:prstGeom prst="rect">
                      <a:avLst/>
                    </a:prstGeom>
                  </pic:spPr>
                </pic:pic>
              </a:graphicData>
            </a:graphic>
          </wp:inline>
        </w:drawing>
      </w:r>
    </w:p>
    <w:sectPr w:rsidR="00F03A03" w:rsidRPr="003B4900" w:rsidSect="00C919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3F1A"/>
    <w:multiLevelType w:val="multilevel"/>
    <w:tmpl w:val="01DA7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81022"/>
    <w:multiLevelType w:val="multilevel"/>
    <w:tmpl w:val="498C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64DB4"/>
    <w:multiLevelType w:val="multilevel"/>
    <w:tmpl w:val="5E78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249534">
    <w:abstractNumId w:val="2"/>
  </w:num>
  <w:num w:numId="2" w16cid:durableId="448010346">
    <w:abstractNumId w:val="0"/>
  </w:num>
  <w:num w:numId="3" w16cid:durableId="438109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03"/>
    <w:rsid w:val="002B552B"/>
    <w:rsid w:val="002E5B23"/>
    <w:rsid w:val="003333EB"/>
    <w:rsid w:val="003B4900"/>
    <w:rsid w:val="0042028D"/>
    <w:rsid w:val="0059362A"/>
    <w:rsid w:val="00607C13"/>
    <w:rsid w:val="00640FFB"/>
    <w:rsid w:val="00715A3B"/>
    <w:rsid w:val="008E51DB"/>
    <w:rsid w:val="00916293"/>
    <w:rsid w:val="00AC0E36"/>
    <w:rsid w:val="00B84B72"/>
    <w:rsid w:val="00BE4725"/>
    <w:rsid w:val="00C9195C"/>
    <w:rsid w:val="00C91BD0"/>
    <w:rsid w:val="00D73A8C"/>
    <w:rsid w:val="00E8325D"/>
    <w:rsid w:val="00F03A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7E2C"/>
  <w15:chartTrackingRefBased/>
  <w15:docId w15:val="{A027BE31-F038-4D78-8FBC-DC3685B4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03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03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03A0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03A0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03A0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03A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3A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3A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3A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3A0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03A0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03A0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03A0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03A0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03A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3A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3A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3A03"/>
    <w:rPr>
      <w:rFonts w:eastAsiaTheme="majorEastAsia" w:cstheme="majorBidi"/>
      <w:color w:val="272727" w:themeColor="text1" w:themeTint="D8"/>
    </w:rPr>
  </w:style>
  <w:style w:type="paragraph" w:styleId="Titre">
    <w:name w:val="Title"/>
    <w:basedOn w:val="Normal"/>
    <w:next w:val="Normal"/>
    <w:link w:val="TitreCar"/>
    <w:uiPriority w:val="10"/>
    <w:qFormat/>
    <w:rsid w:val="00F03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3A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3A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3A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3A03"/>
    <w:pPr>
      <w:spacing w:before="160"/>
      <w:jc w:val="center"/>
    </w:pPr>
    <w:rPr>
      <w:i/>
      <w:iCs/>
      <w:color w:val="404040" w:themeColor="text1" w:themeTint="BF"/>
    </w:rPr>
  </w:style>
  <w:style w:type="character" w:customStyle="1" w:styleId="CitationCar">
    <w:name w:val="Citation Car"/>
    <w:basedOn w:val="Policepardfaut"/>
    <w:link w:val="Citation"/>
    <w:uiPriority w:val="29"/>
    <w:rsid w:val="00F03A03"/>
    <w:rPr>
      <w:i/>
      <w:iCs/>
      <w:color w:val="404040" w:themeColor="text1" w:themeTint="BF"/>
    </w:rPr>
  </w:style>
  <w:style w:type="paragraph" w:styleId="Paragraphedeliste">
    <w:name w:val="List Paragraph"/>
    <w:basedOn w:val="Normal"/>
    <w:uiPriority w:val="34"/>
    <w:qFormat/>
    <w:rsid w:val="00F03A03"/>
    <w:pPr>
      <w:ind w:left="720"/>
      <w:contextualSpacing/>
    </w:pPr>
  </w:style>
  <w:style w:type="character" w:styleId="Accentuationintense">
    <w:name w:val="Intense Emphasis"/>
    <w:basedOn w:val="Policepardfaut"/>
    <w:uiPriority w:val="21"/>
    <w:qFormat/>
    <w:rsid w:val="00F03A03"/>
    <w:rPr>
      <w:i/>
      <w:iCs/>
      <w:color w:val="0F4761" w:themeColor="accent1" w:themeShade="BF"/>
    </w:rPr>
  </w:style>
  <w:style w:type="paragraph" w:styleId="Citationintense">
    <w:name w:val="Intense Quote"/>
    <w:basedOn w:val="Normal"/>
    <w:next w:val="Normal"/>
    <w:link w:val="CitationintenseCar"/>
    <w:uiPriority w:val="30"/>
    <w:qFormat/>
    <w:rsid w:val="00F03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03A03"/>
    <w:rPr>
      <w:i/>
      <w:iCs/>
      <w:color w:val="0F4761" w:themeColor="accent1" w:themeShade="BF"/>
    </w:rPr>
  </w:style>
  <w:style w:type="character" w:styleId="Rfrenceintense">
    <w:name w:val="Intense Reference"/>
    <w:basedOn w:val="Policepardfaut"/>
    <w:uiPriority w:val="32"/>
    <w:qFormat/>
    <w:rsid w:val="00F03A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9</Pages>
  <Words>1515</Words>
  <Characters>8066</Characters>
  <Application>Microsoft Office Word</Application>
  <DocSecurity>0</DocSecurity>
  <Lines>130</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Amani</dc:creator>
  <cp:keywords/>
  <dc:description/>
  <cp:lastModifiedBy>Alexandra Amani</cp:lastModifiedBy>
  <cp:revision>2</cp:revision>
  <dcterms:created xsi:type="dcterms:W3CDTF">2026-08-27T00:41:00Z</dcterms:created>
  <dcterms:modified xsi:type="dcterms:W3CDTF">2026-08-27T11:11:00Z</dcterms:modified>
</cp:coreProperties>
</file>