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C1C3102" w14:textId="46395208" w:rsidR="00D21F67" w:rsidRDefault="00DA4BC2" w:rsidP="00186B5A">
      <w:pPr>
        <w:spacing w:after="160"/>
        <w:jc w:val="both"/>
        <w:rPr>
          <w:rFonts w:ascii="Times New Roman" w:hAnsi="Times New Roman" w:cs="Times New Roman"/>
          <w:b/>
          <w:bCs/>
          <w:color w:val="1F3864"/>
          <w:sz w:val="24"/>
          <w:szCs w:val="24"/>
          <w:lang w:val="en-GB"/>
        </w:rPr>
      </w:pPr>
      <w:r w:rsidRPr="00DA4BC2">
        <w:rPr>
          <w:rFonts w:ascii="Times New Roman" w:hAnsi="Times New Roman" w:cs="Times New Roman"/>
          <w:b/>
          <w:bCs/>
          <w:color w:val="1F3864"/>
          <w:sz w:val="24"/>
          <w:szCs w:val="24"/>
          <w:lang w:val="en-GB"/>
        </w:rPr>
        <w:t>L</w:t>
      </w:r>
      <w:r>
        <w:rPr>
          <w:rFonts w:ascii="Times New Roman" w:hAnsi="Times New Roman" w:cs="Times New Roman"/>
          <w:b/>
          <w:bCs/>
          <w:color w:val="1F3864"/>
          <w:sz w:val="24"/>
          <w:szCs w:val="24"/>
          <w:lang w:val="en-GB"/>
        </w:rPr>
        <w:t>o</w:t>
      </w:r>
      <w:r w:rsidRPr="00DA4BC2">
        <w:rPr>
          <w:rFonts w:ascii="Times New Roman" w:hAnsi="Times New Roman" w:cs="Times New Roman"/>
          <w:b/>
          <w:bCs/>
          <w:color w:val="1F3864"/>
          <w:sz w:val="24"/>
          <w:szCs w:val="24"/>
          <w:lang w:val="en-GB"/>
        </w:rPr>
        <w:t>R</w:t>
      </w:r>
      <w:r>
        <w:rPr>
          <w:rFonts w:ascii="Times New Roman" w:hAnsi="Times New Roman" w:cs="Times New Roman"/>
          <w:b/>
          <w:bCs/>
          <w:color w:val="1F3864"/>
          <w:sz w:val="24"/>
          <w:szCs w:val="24"/>
          <w:lang w:val="en-GB"/>
        </w:rPr>
        <w:t>e</w:t>
      </w:r>
      <w:r w:rsidRPr="00DA4BC2">
        <w:rPr>
          <w:rFonts w:ascii="Times New Roman" w:hAnsi="Times New Roman" w:cs="Times New Roman"/>
          <w:b/>
          <w:bCs/>
          <w:color w:val="1F3864"/>
          <w:sz w:val="24"/>
          <w:szCs w:val="24"/>
          <w:lang w:val="en-GB"/>
        </w:rPr>
        <w:t xml:space="preserve">ON: accessible </w:t>
      </w:r>
      <w:r w:rsidR="00D452AE" w:rsidRPr="00D452AE">
        <w:rPr>
          <w:rFonts w:ascii="Times New Roman" w:hAnsi="Times New Roman" w:cs="Times New Roman"/>
          <w:b/>
          <w:bCs/>
          <w:color w:val="1F3864"/>
          <w:sz w:val="24"/>
          <w:szCs w:val="24"/>
          <w:lang w:val="en-GB"/>
        </w:rPr>
        <w:t>application</w:t>
      </w:r>
      <w:r w:rsidRPr="00DA4BC2">
        <w:rPr>
          <w:rFonts w:ascii="Times New Roman" w:hAnsi="Times New Roman" w:cs="Times New Roman"/>
          <w:b/>
          <w:bCs/>
          <w:color w:val="1F3864"/>
          <w:sz w:val="24"/>
          <w:szCs w:val="24"/>
          <w:lang w:val="en-GB"/>
        </w:rPr>
        <w:t xml:space="preserve"> </w:t>
      </w:r>
      <w:r w:rsidR="00D452AE">
        <w:rPr>
          <w:rFonts w:ascii="Times New Roman" w:hAnsi="Times New Roman" w:cs="Times New Roman"/>
          <w:b/>
          <w:bCs/>
          <w:color w:val="1F3864"/>
          <w:sz w:val="24"/>
          <w:szCs w:val="24"/>
          <w:lang w:val="en-GB"/>
        </w:rPr>
        <w:t xml:space="preserve">for microbial </w:t>
      </w:r>
      <w:r w:rsidR="00D452AE" w:rsidRPr="00DA4BC2">
        <w:rPr>
          <w:rFonts w:ascii="Times New Roman" w:hAnsi="Times New Roman" w:cs="Times New Roman"/>
          <w:b/>
          <w:bCs/>
          <w:color w:val="1F3864"/>
          <w:sz w:val="24"/>
          <w:szCs w:val="24"/>
          <w:lang w:val="en-GB"/>
        </w:rPr>
        <w:t>community profiling</w:t>
      </w:r>
      <w:r w:rsidR="00D452AE">
        <w:rPr>
          <w:rFonts w:ascii="Times New Roman" w:hAnsi="Times New Roman" w:cs="Times New Roman"/>
          <w:b/>
          <w:bCs/>
          <w:color w:val="1F3864"/>
          <w:sz w:val="24"/>
          <w:szCs w:val="24"/>
          <w:lang w:val="en-GB"/>
        </w:rPr>
        <w:t xml:space="preserve"> </w:t>
      </w:r>
      <w:r w:rsidRPr="00DA4BC2">
        <w:rPr>
          <w:rFonts w:ascii="Times New Roman" w:hAnsi="Times New Roman" w:cs="Times New Roman"/>
          <w:b/>
          <w:bCs/>
          <w:color w:val="1F3864"/>
          <w:sz w:val="24"/>
          <w:szCs w:val="24"/>
          <w:lang w:val="en-GB"/>
        </w:rPr>
        <w:t xml:space="preserve">with standard and full-length markers from long-read sequencing data </w:t>
      </w:r>
    </w:p>
    <w:p w14:paraId="2E514144" w14:textId="66CE6E75" w:rsidR="006A2195" w:rsidRPr="00D21F67" w:rsidRDefault="00FF5A73" w:rsidP="00186B5A">
      <w:pPr>
        <w:spacing w:after="160"/>
        <w:jc w:val="both"/>
        <w:rPr>
          <w:rFonts w:ascii="Times New Roman" w:hAnsi="Times New Roman" w:cs="Times New Roman"/>
        </w:rPr>
      </w:pPr>
      <w:r w:rsidRPr="00D21F67">
        <w:rPr>
          <w:rFonts w:ascii="Times New Roman" w:hAnsi="Times New Roman" w:cs="Times New Roman"/>
          <w:b/>
          <w:bCs/>
        </w:rPr>
        <w:t>Roberto Scarponi</w:t>
      </w:r>
      <w:r w:rsidRPr="00D21F67">
        <w:rPr>
          <w:rFonts w:ascii="Times New Roman" w:hAnsi="Times New Roman" w:cs="Times New Roman"/>
          <w:vertAlign w:val="superscript"/>
        </w:rPr>
        <w:t>1</w:t>
      </w:r>
      <w:r w:rsidRPr="00D21F67">
        <w:rPr>
          <w:rFonts w:ascii="Times New Roman" w:hAnsi="Times New Roman" w:cs="Times New Roman"/>
          <w:b/>
          <w:bCs/>
        </w:rPr>
        <w:t>, Angela Conti</w:t>
      </w:r>
      <w:r w:rsidRPr="00D21F67">
        <w:rPr>
          <w:rFonts w:ascii="Times New Roman" w:hAnsi="Times New Roman" w:cs="Times New Roman"/>
          <w:vertAlign w:val="superscript"/>
        </w:rPr>
        <w:t>1,*</w:t>
      </w:r>
      <w:r w:rsidRPr="00D21F67">
        <w:rPr>
          <w:rFonts w:ascii="Times New Roman" w:hAnsi="Times New Roman" w:cs="Times New Roman"/>
          <w:b/>
          <w:bCs/>
        </w:rPr>
        <w:t>,</w:t>
      </w:r>
      <w:r w:rsidR="006F3ABF">
        <w:rPr>
          <w:rFonts w:ascii="Times New Roman" w:hAnsi="Times New Roman" w:cs="Times New Roman"/>
          <w:b/>
          <w:bCs/>
        </w:rPr>
        <w:t xml:space="preserve"> Debora Casagrande Pierantoni, Alex Giannoni, Beatrice Strinati, Katarina Stojikov, Vincent Robert, Wieland Meyer, Laura Corte and</w:t>
      </w:r>
      <w:r w:rsidRPr="00D21F67">
        <w:rPr>
          <w:rFonts w:ascii="Times New Roman" w:hAnsi="Times New Roman" w:cs="Times New Roman"/>
          <w:b/>
          <w:bCs/>
        </w:rPr>
        <w:t xml:space="preserve"> Gianluigi Cardinali</w:t>
      </w:r>
      <w:r w:rsidRPr="00D21F67">
        <w:rPr>
          <w:rFonts w:ascii="Times New Roman" w:hAnsi="Times New Roman" w:cs="Times New Roman"/>
          <w:vertAlign w:val="superscript"/>
        </w:rPr>
        <w:t>1,</w:t>
      </w:r>
    </w:p>
    <w:p w14:paraId="7E419568" w14:textId="77777777" w:rsidR="006A2195" w:rsidRPr="00296230" w:rsidRDefault="00FF5A73" w:rsidP="00186B5A">
      <w:pPr>
        <w:spacing w:after="40"/>
        <w:jc w:val="both"/>
        <w:rPr>
          <w:rFonts w:ascii="Times New Roman" w:hAnsi="Times New Roman" w:cs="Times New Roman"/>
          <w:lang w:val="en-GB"/>
        </w:rPr>
      </w:pPr>
      <w:r w:rsidRPr="00296230">
        <w:rPr>
          <w:rFonts w:ascii="Times New Roman" w:hAnsi="Times New Roman" w:cs="Times New Roman"/>
          <w:vertAlign w:val="superscript"/>
          <w:lang w:val="en-GB"/>
        </w:rPr>
        <w:t>1</w:t>
      </w:r>
      <w:r w:rsidRPr="00296230">
        <w:rPr>
          <w:rFonts w:ascii="Times New Roman" w:hAnsi="Times New Roman" w:cs="Times New Roman"/>
          <w:lang w:val="en-GB"/>
        </w:rPr>
        <w:t xml:space="preserve"> Department of Pharmaceutical Sciences, University of Perugia, 06123 Perugia, Italy</w:t>
      </w:r>
    </w:p>
    <w:p w14:paraId="350DB077" w14:textId="278B561E" w:rsidR="006A2195" w:rsidRPr="00296230" w:rsidRDefault="00FF5A73" w:rsidP="00186B5A">
      <w:pPr>
        <w:spacing w:after="320"/>
        <w:jc w:val="both"/>
        <w:rPr>
          <w:rFonts w:ascii="Times New Roman" w:hAnsi="Times New Roman" w:cs="Times New Roman"/>
          <w:lang w:val="en-GB"/>
        </w:rPr>
      </w:pPr>
      <w:r w:rsidRPr="00296230">
        <w:rPr>
          <w:rFonts w:ascii="Times New Roman" w:hAnsi="Times New Roman" w:cs="Times New Roman"/>
          <w:color w:val="444444"/>
          <w:lang w:val="en-GB"/>
        </w:rPr>
        <w:t xml:space="preserve">* Corresponding authors: angela.conti@unipg.it; </w:t>
      </w:r>
    </w:p>
    <w:p w14:paraId="69379E78" w14:textId="77777777" w:rsidR="006A2195" w:rsidRPr="00296230" w:rsidRDefault="006A2195" w:rsidP="00186B5A">
      <w:pPr>
        <w:pBdr>
          <w:bottom w:val="single" w:sz="8" w:space="1" w:color="1F3864"/>
        </w:pBdr>
        <w:spacing w:after="320"/>
        <w:jc w:val="both"/>
        <w:rPr>
          <w:rFonts w:ascii="Times New Roman" w:hAnsi="Times New Roman" w:cs="Times New Roman"/>
          <w:lang w:val="en-GB"/>
        </w:rPr>
      </w:pPr>
    </w:p>
    <w:p w14:paraId="15C74840" w14:textId="77777777" w:rsidR="006A2195" w:rsidRPr="00296230" w:rsidRDefault="00FF5A73" w:rsidP="00186B5A">
      <w:pPr>
        <w:spacing w:after="120"/>
        <w:jc w:val="both"/>
        <w:rPr>
          <w:rFonts w:ascii="Times New Roman" w:hAnsi="Times New Roman" w:cs="Times New Roman"/>
          <w:lang w:val="en-GB"/>
        </w:rPr>
      </w:pPr>
      <w:r w:rsidRPr="00296230">
        <w:rPr>
          <w:rFonts w:ascii="Times New Roman" w:hAnsi="Times New Roman" w:cs="Times New Roman"/>
          <w:b/>
          <w:bCs/>
          <w:color w:val="1F3864"/>
          <w:lang w:val="en-GB"/>
        </w:rPr>
        <w:t>Abstract</w:t>
      </w:r>
    </w:p>
    <w:p w14:paraId="31FCE555" w14:textId="523A6C69" w:rsidR="006A2195" w:rsidRPr="00296230" w:rsidRDefault="008A6E34" w:rsidP="008A6E34">
      <w:pPr>
        <w:spacing w:before="80" w:after="80" w:line="276" w:lineRule="auto"/>
        <w:jc w:val="both"/>
        <w:rPr>
          <w:rFonts w:ascii="Times New Roman" w:hAnsi="Times New Roman" w:cs="Times New Roman"/>
          <w:lang w:val="en-GB"/>
        </w:rPr>
      </w:pPr>
      <w:r w:rsidRPr="008A6E34">
        <w:rPr>
          <w:rFonts w:ascii="Times New Roman" w:hAnsi="Times New Roman" w:cs="Times New Roman"/>
          <w:lang w:val="en-GB"/>
        </w:rPr>
        <w:t>Bioinformatic analysis of long-read amplicon data from Oxford Nanopore Technologies (ONT) platforms typically requires command-line proficiency, workflow management systems, and access to high-performance computing infrastructure — creating a significant bottleneck between data generation and ecological interpretation in standard microbiology laboratories. Here we present LOREON (Long-Read ONT metabarcoding pipeline), an open-source, cross-platform application that integrates minimap2-based reference alignment, SAMtools processing, and DuckDB-powered OTU aggregation within a graphical interface requiring no command-line interaction. LOREON supports three metabarcoding strategies — standard ITS, extended</w:t>
      </w:r>
      <w:r w:rsidR="00655869">
        <w:rPr>
          <w:rFonts w:ascii="Times New Roman" w:hAnsi="Times New Roman" w:cs="Times New Roman"/>
          <w:lang w:val="en-GB"/>
        </w:rPr>
        <w:t xml:space="preserve"> 18</w:t>
      </w:r>
      <w:r w:rsidR="00655869" w:rsidRPr="008A6E34">
        <w:rPr>
          <w:rFonts w:ascii="Times New Roman" w:hAnsi="Times New Roman" w:cs="Times New Roman"/>
          <w:lang w:val="en-GB"/>
        </w:rPr>
        <w:t>–</w:t>
      </w:r>
      <w:r w:rsidRPr="008A6E34">
        <w:rPr>
          <w:rFonts w:ascii="Times New Roman" w:hAnsi="Times New Roman" w:cs="Times New Roman"/>
          <w:lang w:val="en-GB"/>
        </w:rPr>
        <w:t xml:space="preserve">ITS–LSU (~5 kb), and 16S rRNA — and runs on macOS, Linux, and Windows, including consumer-grade hardware with as few as four CPU cores and 15 GB of RAM. Using synthetic and experimentally generated mock communities, we show that extending the fungal barcode from the canonical ITS1–5.8S–ITS2 region to the full </w:t>
      </w:r>
      <w:r w:rsidR="00655869">
        <w:rPr>
          <w:rFonts w:ascii="Times New Roman" w:hAnsi="Times New Roman" w:cs="Times New Roman"/>
          <w:lang w:val="en-GB"/>
        </w:rPr>
        <w:t>18</w:t>
      </w:r>
      <w:r w:rsidR="00655869" w:rsidRPr="008A6E34">
        <w:rPr>
          <w:rFonts w:ascii="Times New Roman" w:hAnsi="Times New Roman" w:cs="Times New Roman"/>
          <w:lang w:val="en-GB"/>
        </w:rPr>
        <w:t>–</w:t>
      </w:r>
      <w:r w:rsidRPr="008A6E34">
        <w:rPr>
          <w:rFonts w:ascii="Times New Roman" w:hAnsi="Times New Roman" w:cs="Times New Roman"/>
          <w:lang w:val="en-GB"/>
        </w:rPr>
        <w:t xml:space="preserve">ITS–LSU locus substantially improves taxonomic assignment. In wet fungal mock communities, the extended marker achieved 2.8-fold higher area under the precision–recall curve (0.451 versus 0.162) than the standard barcode, and a positive F1 advantage in all 24 pairwise comparisons across six communities and operationally relevant abundance thresholds (mean </w:t>
      </w:r>
      <w:r w:rsidRPr="008A6E34">
        <w:rPr>
          <w:rFonts w:ascii="Times New Roman" w:hAnsi="Times New Roman" w:cs="Times New Roman"/>
        </w:rPr>
        <w:t>Δ</w:t>
      </w:r>
      <w:r w:rsidRPr="008A6E34">
        <w:rPr>
          <w:rFonts w:ascii="Times New Roman" w:hAnsi="Times New Roman" w:cs="Times New Roman"/>
          <w:lang w:val="en-GB"/>
        </w:rPr>
        <w:t>F1 = 0.224). For communities composed of congeneric species, the standard barcode produced qualitatively inverted taxonomic profiles — assigning up to 86% of reads to false-positive taxa — whereas the extended marker correctly identified the dominant community members and confined residual errors within the correct genus. Computational benchmarking against the EPI2ME wf-16s workflow on identical data demonstrated equivalent total analysis time with 32-fold lower orchestration overhead, 57-fold faster OTU aggregation, and 1.4-fold lower peak memory consumption, with a time-to-first-analysis of approximately 15 minutes from a fresh installation.</w:t>
      </w:r>
    </w:p>
    <w:p w14:paraId="4DF6AF71" w14:textId="77777777" w:rsidR="006A2195" w:rsidRPr="00296230" w:rsidRDefault="00FF5A73" w:rsidP="00186B5A">
      <w:pPr>
        <w:spacing w:after="320"/>
        <w:jc w:val="both"/>
        <w:rPr>
          <w:rFonts w:ascii="Times New Roman" w:hAnsi="Times New Roman" w:cs="Times New Roman"/>
          <w:lang w:val="en-GB"/>
        </w:rPr>
      </w:pPr>
      <w:r w:rsidRPr="00296230">
        <w:rPr>
          <w:rFonts w:ascii="Times New Roman" w:hAnsi="Times New Roman" w:cs="Times New Roman"/>
          <w:b/>
          <w:bCs/>
          <w:lang w:val="en-GB"/>
        </w:rPr>
        <w:t xml:space="preserve">Keywords: </w:t>
      </w:r>
      <w:r w:rsidRPr="00296230">
        <w:rPr>
          <w:rFonts w:ascii="Times New Roman" w:hAnsi="Times New Roman" w:cs="Times New Roman"/>
          <w:i/>
          <w:iCs/>
          <w:lang w:val="en-GB"/>
        </w:rPr>
        <w:t>Oxford Nanopore Technologies; metagenomics; metabarcoding; ITS; 16S rRNA; bioinformatics pipeline; graphical user interface; fungal diversity</w:t>
      </w:r>
    </w:p>
    <w:p w14:paraId="0BB5596C" w14:textId="77777777" w:rsidR="006A2195" w:rsidRPr="00296230" w:rsidRDefault="006A2195" w:rsidP="00186B5A">
      <w:pPr>
        <w:pBdr>
          <w:bottom w:val="single" w:sz="8" w:space="1" w:color="1F3864"/>
        </w:pBdr>
        <w:spacing w:after="320"/>
        <w:jc w:val="both"/>
        <w:rPr>
          <w:rFonts w:ascii="Times New Roman" w:hAnsi="Times New Roman" w:cs="Times New Roman"/>
          <w:lang w:val="en-GB"/>
        </w:rPr>
      </w:pPr>
    </w:p>
    <w:p w14:paraId="47342FC5" w14:textId="68D97B47" w:rsidR="006A2195" w:rsidRPr="007D6084" w:rsidRDefault="00FF5A73" w:rsidP="00186B5A">
      <w:pPr>
        <w:pStyle w:val="Titolo1"/>
        <w:jc w:val="both"/>
        <w:rPr>
          <w:rFonts w:ascii="Times New Roman" w:hAnsi="Times New Roman" w:cs="Times New Roman"/>
          <w:sz w:val="22"/>
          <w:szCs w:val="22"/>
          <w:lang w:val="en-GB"/>
        </w:rPr>
      </w:pPr>
      <w:r w:rsidRPr="007D6084">
        <w:rPr>
          <w:rFonts w:ascii="Times New Roman" w:hAnsi="Times New Roman" w:cs="Times New Roman"/>
          <w:sz w:val="22"/>
          <w:szCs w:val="22"/>
          <w:lang w:val="en-GB"/>
        </w:rPr>
        <w:t>1. Introduction</w:t>
      </w:r>
    </w:p>
    <w:p w14:paraId="368E9C80" w14:textId="73884984"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The development of bioinformatic infrastructure for microbial community analysis has historically been driven by advances in sequencing technology. Each major transition in sequencing platforms has not only increased the volume and quality of sequence data, but has also demanded fundamentally different computational approaches to the same biological question: which taxa are present in a sample, and in what relative abundance.</w:t>
      </w:r>
    </w:p>
    <w:p w14:paraId="1816B6E4" w14:textId="6B6E2623"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 xml:space="preserve">The first generation of high-throughput amplicon sequencing, based on Roche 454 pyrosequencing, introduced the concept of operational taxonomic units (OTUs) as the standard currency for describing </w:t>
      </w:r>
      <w:r w:rsidRPr="00B424AD">
        <w:rPr>
          <w:rFonts w:ascii="Times New Roman" w:hAnsi="Times New Roman" w:cs="Times New Roman"/>
          <w:lang w:val="en-GB"/>
        </w:rPr>
        <w:lastRenderedPageBreak/>
        <w:t>microbial diversity. Mothur</w:t>
      </w:r>
      <w:r w:rsidR="00F427C1">
        <w:rPr>
          <w:rFonts w:ascii="Times New Roman" w:hAnsi="Times New Roman" w:cs="Times New Roman"/>
          <w:lang w:val="en-GB"/>
        </w:rPr>
        <w:t xml:space="preserve"> </w:t>
      </w:r>
      <w:r w:rsidR="00F427C1">
        <w:rPr>
          <w:rFonts w:ascii="Times New Roman" w:hAnsi="Times New Roman" w:cs="Times New Roman"/>
          <w:lang w:val="en-GB"/>
        </w:rPr>
        <w:fldChar w:fldCharType="begin"/>
      </w:r>
      <w:r w:rsidR="00F427C1">
        <w:rPr>
          <w:rFonts w:ascii="Times New Roman" w:hAnsi="Times New Roman" w:cs="Times New Roman"/>
          <w:lang w:val="en-GB"/>
        </w:rPr>
        <w:instrText xml:space="preserve"> ADDIN EN.CITE &lt;EndNote&gt;&lt;Cite&gt;&lt;Author&gt;Schloss&lt;/Author&gt;&lt;Year&gt;2009&lt;/Year&gt;&lt;RecNum&gt;3&lt;/RecNum&gt;&lt;DisplayText&gt;&lt;style size="10"&gt;[1]&lt;/style&gt;&lt;/DisplayText&gt;&lt;record&gt;&lt;rec-number&gt;3&lt;/rec-number&gt;&lt;foreign-keys&gt;&lt;key app="EN" db-id="a5ewd5adyz0t5pes20q5xvarvd2d0vvvt5zf" timestamp="1782892814"&gt;3&lt;/key&gt;&lt;/foreign-keys&gt;&lt;ref-type name="Journal Article"&gt;17&lt;/ref-type&gt;&lt;contributors&gt;&lt;authors&gt;&lt;author&gt;Schloss, Patrick D&lt;/author&gt;&lt;author&gt;Westcott, Sarah L&lt;/author&gt;&lt;author&gt;Ryabin, Thomas&lt;/author&gt;&lt;author&gt;Hall, Justine R&lt;/author&gt;&lt;author&gt;Hartmann, Martin&lt;/author&gt;&lt;author&gt;Hollister, Emily B&lt;/author&gt;&lt;author&gt;Lesniewski, Ryan A&lt;/author&gt;&lt;author&gt;Oakley, Brian B&lt;/author&gt;&lt;author&gt;Parks, Donovan H&lt;/author&gt;&lt;author&gt;Robinson, Courtney J&lt;/author&gt;&lt;/authors&gt;&lt;/contributors&gt;&lt;titles&gt;&lt;title&gt;Introducing mothur: open-source, platform-independent, community-supported software for describing and comparing microbial communities&lt;/title&gt;&lt;secondary-title&gt;Applied and environmental microbiology&lt;/secondary-title&gt;&lt;/titles&gt;&lt;periodical&gt;&lt;full-title&gt;Applied and environmental microbiology&lt;/full-title&gt;&lt;/periodical&gt;&lt;pages&gt;7537-7541&lt;/pages&gt;&lt;volume&gt;75&lt;/volume&gt;&lt;number&gt;23&lt;/number&gt;&lt;dates&gt;&lt;year&gt;2009&lt;/year&gt;&lt;/dates&gt;&lt;isbn&gt;0099-2240&lt;/isbn&gt;&lt;urls&gt;&lt;/urls&gt;&lt;/record&gt;&lt;/Cite&gt;&lt;/EndNote&gt;</w:instrText>
      </w:r>
      <w:r w:rsidR="00F427C1">
        <w:rPr>
          <w:rFonts w:ascii="Times New Roman" w:hAnsi="Times New Roman" w:cs="Times New Roman"/>
          <w:lang w:val="en-GB"/>
        </w:rPr>
        <w:fldChar w:fldCharType="separate"/>
      </w:r>
      <w:r w:rsidR="00F427C1" w:rsidRPr="00F427C1">
        <w:rPr>
          <w:rFonts w:ascii="Times New Roman" w:hAnsi="Times New Roman" w:cs="Times New Roman"/>
          <w:noProof/>
          <w:sz w:val="20"/>
          <w:lang w:val="en-GB"/>
        </w:rPr>
        <w:t>[1]</w:t>
      </w:r>
      <w:r w:rsidR="00F427C1">
        <w:rPr>
          <w:rFonts w:ascii="Times New Roman" w:hAnsi="Times New Roman" w:cs="Times New Roman"/>
          <w:lang w:val="en-GB"/>
        </w:rPr>
        <w:fldChar w:fldCharType="end"/>
      </w:r>
      <w:r w:rsidR="00F427C1">
        <w:rPr>
          <w:rFonts w:ascii="Times New Roman" w:hAnsi="Times New Roman" w:cs="Times New Roman"/>
          <w:lang w:val="en-GB"/>
        </w:rPr>
        <w:t xml:space="preserve"> </w:t>
      </w:r>
      <w:r w:rsidRPr="00B424AD">
        <w:rPr>
          <w:rFonts w:ascii="Times New Roman" w:hAnsi="Times New Roman" w:cs="Times New Roman"/>
          <w:lang w:val="en-GB"/>
        </w:rPr>
        <w:t xml:space="preserve">provided the first comprehensive analytical framework for this paradigm, implementing distance-based clustering at a 97% sequence similarity threshold to group reads into OTUs. </w:t>
      </w:r>
      <w:r w:rsidR="00642CF9">
        <w:rPr>
          <w:rFonts w:ascii="Times New Roman" w:hAnsi="Times New Roman" w:cs="Times New Roman"/>
          <w:lang w:val="en-GB"/>
        </w:rPr>
        <w:t>The</w:t>
      </w:r>
      <w:r w:rsidRPr="00B424AD">
        <w:rPr>
          <w:rFonts w:ascii="Times New Roman" w:hAnsi="Times New Roman" w:cs="Times New Roman"/>
          <w:lang w:val="en-GB"/>
        </w:rPr>
        <w:t xml:space="preserve"> arbitrary similarity threshold imposed an intrinsic </w:t>
      </w:r>
      <w:r w:rsidR="00642CF9">
        <w:rPr>
          <w:rFonts w:ascii="Times New Roman" w:hAnsi="Times New Roman" w:cs="Times New Roman"/>
          <w:lang w:val="en-GB"/>
        </w:rPr>
        <w:t>limitation</w:t>
      </w:r>
      <w:r w:rsidRPr="00B424AD">
        <w:rPr>
          <w:rFonts w:ascii="Times New Roman" w:hAnsi="Times New Roman" w:cs="Times New Roman"/>
          <w:lang w:val="en-GB"/>
        </w:rPr>
        <w:t xml:space="preserve"> on taxonomic resolution, collapsing genuinely distinct taxa that shared more than 97% marker similarity into a single unit </w:t>
      </w:r>
      <w:r w:rsidR="00F427C1">
        <w:rPr>
          <w:rFonts w:ascii="Times New Roman" w:hAnsi="Times New Roman" w:cs="Times New Roman"/>
          <w:lang w:val="en-GB"/>
        </w:rPr>
        <w:fldChar w:fldCharType="begin"/>
      </w:r>
      <w:r w:rsidR="00F427C1">
        <w:rPr>
          <w:rFonts w:ascii="Times New Roman" w:hAnsi="Times New Roman" w:cs="Times New Roman"/>
          <w:lang w:val="en-GB"/>
        </w:rPr>
        <w:instrText xml:space="preserve"> ADDIN EN.CITE &lt;EndNote&gt;&lt;Cite&gt;&lt;Author&gt;Callahan&lt;/Author&gt;&lt;Year&gt;2017&lt;/Year&gt;&lt;RecNum&gt;5&lt;/RecNum&gt;&lt;DisplayText&gt;&lt;style size="10"&gt;[2]&lt;/style&gt;&lt;/DisplayText&gt;&lt;record&gt;&lt;rec-number&gt;5&lt;/rec-number&gt;&lt;foreign-keys&gt;&lt;key app="EN" db-id="a5ewd5adyz0t5pes20q5xvarvd2d0vvvt5zf" timestamp="1782893041"&gt;5&lt;/key&gt;&lt;/foreign-keys&gt;&lt;ref-type name="Journal Article"&gt;17&lt;/ref-type&gt;&lt;contributors&gt;&lt;authors&gt;&lt;author&gt;Callahan, Benjamin J&lt;/author&gt;&lt;author&gt;McMurdie, Paul J&lt;/author&gt;&lt;author&gt;Holmes, Susan P&lt;/author&gt;&lt;/authors&gt;&lt;/contributors&gt;&lt;titles&gt;&lt;title&gt;Exact sequence variants should replace operational taxonomic units in marker-gene data analysis&lt;/title&gt;&lt;secondary-title&gt;The ISME journal&lt;/secondary-title&gt;&lt;/titles&gt;&lt;periodical&gt;&lt;full-title&gt;The ISME journal&lt;/full-title&gt;&lt;/periodical&gt;&lt;pages&gt;2639-2643&lt;/pages&gt;&lt;volume&gt;11&lt;/volume&gt;&lt;number&gt;12&lt;/number&gt;&lt;dates&gt;&lt;year&gt;2017&lt;/year&gt;&lt;/dates&gt;&lt;isbn&gt;1751-7362&lt;/isbn&gt;&lt;urls&gt;&lt;/urls&gt;&lt;/record&gt;&lt;/Cite&gt;&lt;/EndNote&gt;</w:instrText>
      </w:r>
      <w:r w:rsidR="00F427C1">
        <w:rPr>
          <w:rFonts w:ascii="Times New Roman" w:hAnsi="Times New Roman" w:cs="Times New Roman"/>
          <w:lang w:val="en-GB"/>
        </w:rPr>
        <w:fldChar w:fldCharType="separate"/>
      </w:r>
      <w:r w:rsidR="00F427C1" w:rsidRPr="00F427C1">
        <w:rPr>
          <w:rFonts w:ascii="Times New Roman" w:hAnsi="Times New Roman" w:cs="Times New Roman"/>
          <w:noProof/>
          <w:sz w:val="20"/>
          <w:lang w:val="en-GB"/>
        </w:rPr>
        <w:t>[2]</w:t>
      </w:r>
      <w:r w:rsidR="00F427C1">
        <w:rPr>
          <w:rFonts w:ascii="Times New Roman" w:hAnsi="Times New Roman" w:cs="Times New Roman"/>
          <w:lang w:val="en-GB"/>
        </w:rPr>
        <w:fldChar w:fldCharType="end"/>
      </w:r>
      <w:r w:rsidRPr="00B424AD">
        <w:rPr>
          <w:rFonts w:ascii="Times New Roman" w:hAnsi="Times New Roman" w:cs="Times New Roman"/>
          <w:lang w:val="en-GB"/>
        </w:rPr>
        <w:t>.</w:t>
      </w:r>
    </w:p>
    <w:p w14:paraId="3A72FAE2" w14:textId="566B1624"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 xml:space="preserve">The transition to Illumina short-read sequencing delivered substantially higher throughput and lower per-base error rates, but also shorter reads (250–300 bp) with a qualitatively different error profile. This shift catalysed the development of denoising algorithms, most notably DADA2 </w:t>
      </w:r>
      <w:r w:rsidR="00F427C1">
        <w:rPr>
          <w:rFonts w:ascii="Times New Roman" w:hAnsi="Times New Roman" w:cs="Times New Roman"/>
          <w:lang w:val="en-GB"/>
        </w:rPr>
        <w:fldChar w:fldCharType="begin"/>
      </w:r>
      <w:r w:rsidR="00F427C1">
        <w:rPr>
          <w:rFonts w:ascii="Times New Roman" w:hAnsi="Times New Roman" w:cs="Times New Roman"/>
          <w:lang w:val="en-GB"/>
        </w:rPr>
        <w:instrText xml:space="preserve"> ADDIN EN.CITE &lt;EndNote&gt;&lt;Cite&gt;&lt;Author&gt;Callahan&lt;/Author&gt;&lt;Year&gt;2016&lt;/Year&gt;&lt;RecNum&gt;4&lt;/RecNum&gt;&lt;DisplayText&gt;&lt;style size="10"&gt;[3]&lt;/style&gt;&lt;/DisplayText&gt;&lt;record&gt;&lt;rec-number&gt;4&lt;/rec-number&gt;&lt;foreign-keys&gt;&lt;key app="EN" db-id="a5ewd5adyz0t5pes20q5xvarvd2d0vvvt5zf" timestamp="1782892912"&gt;4&lt;/key&gt;&lt;/foreign-keys&gt;&lt;ref-type name="Journal Article"&gt;17&lt;/ref-type&gt;&lt;contributors&gt;&lt;authors&gt;&lt;author&gt;Callahan, Benjamin J&lt;/author&gt;&lt;author&gt;McMurdie, Paul J&lt;/author&gt;&lt;author&gt;Rosen, Michael J&lt;/author&gt;&lt;author&gt;Han, Andrew W&lt;/author&gt;&lt;author&gt;Johnson, Amy Jo A&lt;/author&gt;&lt;author&gt;Holmes, Susan P&lt;/author&gt;&lt;/authors&gt;&lt;/contributors&gt;&lt;titles&gt;&lt;title&gt;DADA2: High-resolution sample inference from Illumina amplicon data&lt;/title&gt;&lt;secondary-title&gt;Nature methods&lt;/secondary-title&gt;&lt;/titles&gt;&lt;periodical&gt;&lt;full-title&gt;Nature methods&lt;/full-title&gt;&lt;/periodical&gt;&lt;pages&gt;581-583&lt;/pages&gt;&lt;volume&gt;13&lt;/volume&gt;&lt;number&gt;7&lt;/number&gt;&lt;dates&gt;&lt;year&gt;2016&lt;/year&gt;&lt;/dates&gt;&lt;isbn&gt;1548-7091&lt;/isbn&gt;&lt;urls&gt;&lt;/urls&gt;&lt;/record&gt;&lt;/Cite&gt;&lt;/EndNote&gt;</w:instrText>
      </w:r>
      <w:r w:rsidR="00F427C1">
        <w:rPr>
          <w:rFonts w:ascii="Times New Roman" w:hAnsi="Times New Roman" w:cs="Times New Roman"/>
          <w:lang w:val="en-GB"/>
        </w:rPr>
        <w:fldChar w:fldCharType="separate"/>
      </w:r>
      <w:r w:rsidR="00F427C1" w:rsidRPr="00F427C1">
        <w:rPr>
          <w:rFonts w:ascii="Times New Roman" w:hAnsi="Times New Roman" w:cs="Times New Roman"/>
          <w:noProof/>
          <w:sz w:val="20"/>
          <w:lang w:val="en-GB"/>
        </w:rPr>
        <w:t>[3]</w:t>
      </w:r>
      <w:r w:rsidR="00F427C1">
        <w:rPr>
          <w:rFonts w:ascii="Times New Roman" w:hAnsi="Times New Roman" w:cs="Times New Roman"/>
          <w:lang w:val="en-GB"/>
        </w:rPr>
        <w:fldChar w:fldCharType="end"/>
      </w:r>
      <w:r w:rsidRPr="00B424AD">
        <w:rPr>
          <w:rFonts w:ascii="Times New Roman" w:hAnsi="Times New Roman" w:cs="Times New Roman"/>
          <w:lang w:val="en-GB"/>
        </w:rPr>
        <w:t>, which replaced arbitrary clustering thresholds with a statistical error model learned from each sequencing ru</w:t>
      </w:r>
      <w:r w:rsidR="00F427C1">
        <w:rPr>
          <w:rFonts w:ascii="Times New Roman" w:hAnsi="Times New Roman" w:cs="Times New Roman"/>
          <w:lang w:val="en-GB"/>
        </w:rPr>
        <w:t>n</w:t>
      </w:r>
      <w:r w:rsidRPr="00B424AD">
        <w:rPr>
          <w:rFonts w:ascii="Times New Roman" w:hAnsi="Times New Roman" w:cs="Times New Roman"/>
          <w:lang w:val="en-GB"/>
        </w:rPr>
        <w:t>. The resulting amplicon sequence variants (ASVs) are exact biological sequences resolved at single-nucleotide precision, reproducible across studies, and free from the information loss inherent in OTU clustering</w:t>
      </w:r>
      <w:r w:rsidR="00F427C1">
        <w:rPr>
          <w:rFonts w:ascii="Times New Roman" w:hAnsi="Times New Roman" w:cs="Times New Roman"/>
          <w:lang w:val="en-GB"/>
        </w:rPr>
        <w:t xml:space="preserve"> </w:t>
      </w:r>
      <w:r w:rsidR="00F427C1">
        <w:rPr>
          <w:rFonts w:ascii="Times New Roman" w:hAnsi="Times New Roman" w:cs="Times New Roman"/>
          <w:lang w:val="en-GB"/>
        </w:rPr>
        <w:fldChar w:fldCharType="begin"/>
      </w:r>
      <w:r w:rsidR="00F427C1">
        <w:rPr>
          <w:rFonts w:ascii="Times New Roman" w:hAnsi="Times New Roman" w:cs="Times New Roman"/>
          <w:lang w:val="en-GB"/>
        </w:rPr>
        <w:instrText xml:space="preserve"> ADDIN EN.CITE &lt;EndNote&gt;&lt;Cite&gt;&lt;Author&gt;Fasolo&lt;/Author&gt;&lt;Year&gt;2024&lt;/Year&gt;&lt;RecNum&gt;6&lt;/RecNum&gt;&lt;DisplayText&gt;&lt;style size="10"&gt;[4]&lt;/style&gt;&lt;/DisplayText&gt;&lt;record&gt;&lt;rec-number&gt;6&lt;/rec-number&gt;&lt;foreign-keys&gt;&lt;key app="EN" db-id="a5ewd5adyz0t5pes20q5xvarvd2d0vvvt5zf" timestamp="1782893172"&gt;6&lt;/key&gt;&lt;/foreign-keys&gt;&lt;ref-type name="Journal Article"&gt;17&lt;/ref-type&gt;&lt;contributors&gt;&lt;authors&gt;&lt;author&gt;Fasolo, Andrea&lt;/author&gt;&lt;author&gt;Deb, Saptarathi&lt;/author&gt;&lt;author&gt;Stevanato, Piergiorgio&lt;/author&gt;&lt;author&gt;Concheri, Giuseppe&lt;/author&gt;&lt;author&gt;Squartini, Andrea&lt;/author&gt;&lt;/authors&gt;&lt;/contributors&gt;&lt;titles&gt;&lt;title&gt;ASV vs OTUs clustering: Effects on alpha, beta, and gamma diversities in microbiome metabarcoding studies&lt;/title&gt;&lt;secondary-title&gt;PLoS One&lt;/secondary-title&gt;&lt;/titles&gt;&lt;periodical&gt;&lt;full-title&gt;PLoS One&lt;/full-title&gt;&lt;/periodical&gt;&lt;pages&gt;e0309065&lt;/pages&gt;&lt;volume&gt;19&lt;/volume&gt;&lt;number&gt;10&lt;/number&gt;&lt;dates&gt;&lt;year&gt;2024&lt;/year&gt;&lt;/dates&gt;&lt;isbn&gt;1932-6203&lt;/isbn&gt;&lt;urls&gt;&lt;/urls&gt;&lt;/record&gt;&lt;/Cite&gt;&lt;/EndNote&gt;</w:instrText>
      </w:r>
      <w:r w:rsidR="00F427C1">
        <w:rPr>
          <w:rFonts w:ascii="Times New Roman" w:hAnsi="Times New Roman" w:cs="Times New Roman"/>
          <w:lang w:val="en-GB"/>
        </w:rPr>
        <w:fldChar w:fldCharType="separate"/>
      </w:r>
      <w:r w:rsidR="00F427C1" w:rsidRPr="00F427C1">
        <w:rPr>
          <w:rFonts w:ascii="Times New Roman" w:hAnsi="Times New Roman" w:cs="Times New Roman"/>
          <w:noProof/>
          <w:sz w:val="20"/>
          <w:lang w:val="en-GB"/>
        </w:rPr>
        <w:t>[4]</w:t>
      </w:r>
      <w:r w:rsidR="00F427C1">
        <w:rPr>
          <w:rFonts w:ascii="Times New Roman" w:hAnsi="Times New Roman" w:cs="Times New Roman"/>
          <w:lang w:val="en-GB"/>
        </w:rPr>
        <w:fldChar w:fldCharType="end"/>
      </w:r>
      <w:r w:rsidRPr="00B424AD">
        <w:rPr>
          <w:rFonts w:ascii="Times New Roman" w:hAnsi="Times New Roman" w:cs="Times New Roman"/>
          <w:lang w:val="en-GB"/>
        </w:rPr>
        <w:t>. QIIME 2</w:t>
      </w:r>
      <w:r w:rsidR="00714E9B">
        <w:rPr>
          <w:rFonts w:ascii="Times New Roman" w:hAnsi="Times New Roman" w:cs="Times New Roman"/>
          <w:lang w:val="en-GB"/>
        </w:rPr>
        <w:t xml:space="preserve"> </w:t>
      </w:r>
      <w:r w:rsidR="00714E9B">
        <w:rPr>
          <w:rFonts w:ascii="Times New Roman" w:hAnsi="Times New Roman" w:cs="Times New Roman"/>
          <w:lang w:val="en-GB"/>
        </w:rPr>
        <w:fldChar w:fldCharType="begin"/>
      </w:r>
      <w:r w:rsidR="00714E9B">
        <w:rPr>
          <w:rFonts w:ascii="Times New Roman" w:hAnsi="Times New Roman" w:cs="Times New Roman"/>
          <w:lang w:val="en-GB"/>
        </w:rPr>
        <w:instrText xml:space="preserve"> ADDIN EN.CITE &lt;EndNote&gt;&lt;Cite&gt;&lt;Author&gt;Bolyen&lt;/Author&gt;&lt;Year&gt;2019&lt;/Year&gt;&lt;RecNum&gt;8&lt;/RecNum&gt;&lt;DisplayText&gt;&lt;style size="10"&gt;[5]&lt;/style&gt;&lt;/DisplayText&gt;&lt;record&gt;&lt;rec-number&gt;8&lt;/rec-number&gt;&lt;foreign-keys&gt;&lt;key app="EN" db-id="a5ewd5adyz0t5pes20q5xvarvd2d0vvvt5zf" timestamp="1782909378"&gt;8&lt;/key&gt;&lt;/foreign-keys&gt;&lt;ref-type name="Journal Article"&gt;17&lt;/ref-type&gt;&lt;contributors&gt;&lt;authors&gt;&lt;author&gt;Bolyen, Evan&lt;/author&gt;&lt;author&gt;Rideout, Jai Ram&lt;/author&gt;&lt;author&gt;Dillon, Matthew R&lt;/author&gt;&lt;author&gt;Bokulich, Nicholas A&lt;/author&gt;&lt;author&gt;Abnet, Christian C&lt;/author&gt;&lt;author&gt;Al-Ghalith, Gabriel A&lt;/author&gt;&lt;author&gt;Alexander, Harriet&lt;/author&gt;&lt;author&gt;Alm, Eric J&lt;/author&gt;&lt;author&gt;Arumugam, Manimozhiyan&lt;/author&gt;&lt;author&gt;Asnicar, Francesco&lt;/author&gt;&lt;/authors&gt;&lt;/contributors&gt;&lt;titles&gt;&lt;title&gt;Reproducible, interactive, scalable and extensible microbiome data science using QIIME 2&lt;/title&gt;&lt;secondary-title&gt;Nature biotechnology&lt;/secondary-title&gt;&lt;/titles&gt;&lt;periodical&gt;&lt;full-title&gt;Nature biotechnology&lt;/full-title&gt;&lt;/periodical&gt;&lt;pages&gt;852-857&lt;/pages&gt;&lt;volume&gt;37&lt;/volume&gt;&lt;number&gt;8&lt;/number&gt;&lt;dates&gt;&lt;year&gt;2019&lt;/year&gt;&lt;/dates&gt;&lt;isbn&gt;1087-0156&lt;/isbn&gt;&lt;urls&gt;&lt;/urls&gt;&lt;/record&gt;&lt;/Cite&gt;&lt;/EndNote&gt;</w:instrText>
      </w:r>
      <w:r w:rsidR="00714E9B">
        <w:rPr>
          <w:rFonts w:ascii="Times New Roman" w:hAnsi="Times New Roman" w:cs="Times New Roman"/>
          <w:lang w:val="en-GB"/>
        </w:rPr>
        <w:fldChar w:fldCharType="separate"/>
      </w:r>
      <w:r w:rsidR="00714E9B" w:rsidRPr="00714E9B">
        <w:rPr>
          <w:rFonts w:ascii="Times New Roman" w:hAnsi="Times New Roman" w:cs="Times New Roman"/>
          <w:noProof/>
          <w:sz w:val="20"/>
          <w:lang w:val="en-GB"/>
        </w:rPr>
        <w:t>[5]</w:t>
      </w:r>
      <w:r w:rsidR="00714E9B">
        <w:rPr>
          <w:rFonts w:ascii="Times New Roman" w:hAnsi="Times New Roman" w:cs="Times New Roman"/>
          <w:lang w:val="en-GB"/>
        </w:rPr>
        <w:fldChar w:fldCharType="end"/>
      </w:r>
      <w:r w:rsidRPr="00B424AD">
        <w:rPr>
          <w:rFonts w:ascii="Times New Roman" w:hAnsi="Times New Roman" w:cs="Times New Roman"/>
          <w:lang w:val="en-GB"/>
        </w:rPr>
        <w:t xml:space="preserve"> subsequently sought to integrate multiple analytical approaches — including both OTU clustering and ASV inference — within a unified, reproducible framework. While QIIME 2 represented a significant advance in standardisation and provenance tracking, its reliance on a proprietary artifact system, command-line proficiency, and containerisation technologies has maintained a substantial accessibility barrier for laboratories without dedicated bioinformatic support</w:t>
      </w:r>
      <w:r w:rsidR="00B679DA">
        <w:rPr>
          <w:rFonts w:ascii="Times New Roman" w:hAnsi="Times New Roman" w:cs="Times New Roman"/>
          <w:lang w:val="en-GB"/>
        </w:rPr>
        <w:t xml:space="preserve"> </w:t>
      </w:r>
      <w:r w:rsidR="00B679DA">
        <w:rPr>
          <w:rFonts w:ascii="Times New Roman" w:hAnsi="Times New Roman" w:cs="Times New Roman"/>
          <w:lang w:val="en-GB"/>
        </w:rPr>
        <w:fldChar w:fldCharType="begin"/>
      </w:r>
      <w:r w:rsidR="00B679DA">
        <w:rPr>
          <w:rFonts w:ascii="Times New Roman" w:hAnsi="Times New Roman" w:cs="Times New Roman"/>
          <w:lang w:val="en-GB"/>
        </w:rPr>
        <w:instrText xml:space="preserve"> ADDIN EN.CITE &lt;EndNote&gt;&lt;Cite&gt;&lt;Author&gt;Hakimzadeh&lt;/Author&gt;&lt;Year&gt;2024&lt;/Year&gt;&lt;RecNum&gt;9&lt;/RecNum&gt;&lt;DisplayText&gt;&lt;style size="10"&gt;[6]&lt;/style&gt;&lt;/DisplayText&gt;&lt;record&gt;&lt;rec-number&gt;9&lt;/rec-number&gt;&lt;foreign-keys&gt;&lt;key app="EN" db-id="a5ewd5adyz0t5pes20q5xvarvd2d0vvvt5zf" timestamp="1782910008"&gt;9&lt;/key&gt;&lt;/foreign-keys&gt;&lt;ref-type name="Journal Article"&gt;17&lt;/ref-type&gt;&lt;contributors&gt;&lt;authors&gt;&lt;author&gt;Hakimzadeh, Ali&lt;/author&gt;&lt;author&gt;Abdala Asbun, Alejandro&lt;/author&gt;&lt;author&gt;Albanese, Davide&lt;/author&gt;&lt;author&gt;Bernard, Maria&lt;/author&gt;&lt;author&gt;Buchner, Dominik&lt;/author&gt;&lt;author&gt;Callahan, Benjamin&lt;/author&gt;&lt;author&gt;Caporaso, J Gregory&lt;/author&gt;&lt;author&gt;Curd, Emily&lt;/author&gt;&lt;author&gt;Djemiel, Christophe&lt;/author&gt;&lt;author&gt;Brandström Durling, Mikael&lt;/author&gt;&lt;/authors&gt;&lt;/contributors&gt;&lt;titles&gt;&lt;title&gt;A pile of pipelines: An overview of the bioinformatics software for metabarcoding data analyses&lt;/title&gt;&lt;secondary-title&gt;Molecular ecology resources&lt;/secondary-title&gt;&lt;/titles&gt;&lt;periodical&gt;&lt;full-title&gt;Molecular Ecology Resources&lt;/full-title&gt;&lt;/periodical&gt;&lt;pages&gt;e13847&lt;/pages&gt;&lt;volume&gt;24&lt;/volume&gt;&lt;number&gt;5&lt;/number&gt;&lt;dates&gt;&lt;year&gt;2024&lt;/year&gt;&lt;/dates&gt;&lt;isbn&gt;1755-098X&lt;/isbn&gt;&lt;urls&gt;&lt;/urls&gt;&lt;/record&gt;&lt;/Cite&gt;&lt;/EndNote&gt;</w:instrText>
      </w:r>
      <w:r w:rsidR="00B679DA">
        <w:rPr>
          <w:rFonts w:ascii="Times New Roman" w:hAnsi="Times New Roman" w:cs="Times New Roman"/>
          <w:lang w:val="en-GB"/>
        </w:rPr>
        <w:fldChar w:fldCharType="separate"/>
      </w:r>
      <w:r w:rsidR="00B679DA" w:rsidRPr="00B679DA">
        <w:rPr>
          <w:rFonts w:ascii="Times New Roman" w:hAnsi="Times New Roman" w:cs="Times New Roman"/>
          <w:noProof/>
          <w:sz w:val="20"/>
          <w:lang w:val="en-GB"/>
        </w:rPr>
        <w:t>[6]</w:t>
      </w:r>
      <w:r w:rsidR="00B679DA">
        <w:rPr>
          <w:rFonts w:ascii="Times New Roman" w:hAnsi="Times New Roman" w:cs="Times New Roman"/>
          <w:lang w:val="en-GB"/>
        </w:rPr>
        <w:fldChar w:fldCharType="end"/>
      </w:r>
      <w:r w:rsidRPr="00B424AD">
        <w:rPr>
          <w:rFonts w:ascii="Times New Roman" w:hAnsi="Times New Roman" w:cs="Times New Roman"/>
          <w:lang w:val="en-GB"/>
        </w:rPr>
        <w:t>.</w:t>
      </w:r>
    </w:p>
    <w:p w14:paraId="680F7076" w14:textId="3544B93A"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Long-read sequencing technologies, particularly Oxford Nanopore Technologies (ONT) platforms such as the portable MinION</w:t>
      </w:r>
      <w:r w:rsidR="00D0386B">
        <w:rPr>
          <w:rFonts w:ascii="Times New Roman" w:hAnsi="Times New Roman" w:cs="Times New Roman"/>
          <w:lang w:val="en-GB"/>
        </w:rPr>
        <w:t xml:space="preserve"> </w:t>
      </w:r>
      <w:r w:rsidR="00D0386B">
        <w:rPr>
          <w:rFonts w:ascii="Times New Roman" w:hAnsi="Times New Roman" w:cs="Times New Roman"/>
          <w:lang w:val="en-GB"/>
        </w:rPr>
        <w:fldChar w:fldCharType="begin">
          <w:fldData xml:space="preserve">PEVuZE5vdGU+PENpdGU+PEF1dGhvcj5KYWluPC9BdXRob3I+PFllYXI+MjAxODwvWWVhcj48UmVj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</w:fldData>
        </w:fldChar>
      </w:r>
      <w:r w:rsidR="00B40D7C">
        <w:rPr>
          <w:rFonts w:ascii="Times New Roman" w:hAnsi="Times New Roman" w:cs="Times New Roman"/>
          <w:lang w:val="en-GB"/>
        </w:rPr>
        <w:instrText xml:space="preserve"> ADDIN EN.CITE </w:instrText>
      </w:r>
      <w:r w:rsidR="00B40D7C">
        <w:rPr>
          <w:rFonts w:ascii="Times New Roman" w:hAnsi="Times New Roman" w:cs="Times New Roman"/>
          <w:lang w:val="en-GB"/>
        </w:rPr>
        <w:fldChar w:fldCharType="begin">
          <w:fldData xml:space="preserve">PEVuZE5vdGU+PENpdGU+PEF1dGhvcj5KYWluPC9BdXRob3I+PFllYXI+MjAxODwvWWVhcj48UmVj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</w:fldData>
        </w:fldChar>
      </w:r>
      <w:r w:rsidR="00B40D7C">
        <w:rPr>
          <w:rFonts w:ascii="Times New Roman" w:hAnsi="Times New Roman" w:cs="Times New Roman"/>
          <w:lang w:val="en-GB"/>
        </w:rPr>
        <w:instrText xml:space="preserve"> ADDIN EN.CITE.DATA </w:instrText>
      </w:r>
      <w:r w:rsidR="00B40D7C">
        <w:rPr>
          <w:rFonts w:ascii="Times New Roman" w:hAnsi="Times New Roman" w:cs="Times New Roman"/>
          <w:lang w:val="en-GB"/>
        </w:rPr>
      </w:r>
      <w:r w:rsidR="00B40D7C">
        <w:rPr>
          <w:rFonts w:ascii="Times New Roman" w:hAnsi="Times New Roman" w:cs="Times New Roman"/>
          <w:lang w:val="en-GB"/>
        </w:rPr>
        <w:fldChar w:fldCharType="end"/>
      </w:r>
      <w:r w:rsidR="00D0386B">
        <w:rPr>
          <w:rFonts w:ascii="Times New Roman" w:hAnsi="Times New Roman" w:cs="Times New Roman"/>
          <w:lang w:val="en-GB"/>
        </w:rPr>
      </w:r>
      <w:r w:rsidR="00D0386B">
        <w:rPr>
          <w:rFonts w:ascii="Times New Roman" w:hAnsi="Times New Roman" w:cs="Times New Roman"/>
          <w:lang w:val="en-GB"/>
        </w:rPr>
        <w:fldChar w:fldCharType="separate"/>
      </w:r>
      <w:r w:rsidR="00B40D7C" w:rsidRPr="00B40D7C">
        <w:rPr>
          <w:rFonts w:ascii="Times New Roman" w:hAnsi="Times New Roman" w:cs="Times New Roman"/>
          <w:noProof/>
          <w:sz w:val="20"/>
          <w:lang w:val="en-GB"/>
        </w:rPr>
        <w:t>[7-9]</w:t>
      </w:r>
      <w:r w:rsidR="00D0386B">
        <w:rPr>
          <w:rFonts w:ascii="Times New Roman" w:hAnsi="Times New Roman" w:cs="Times New Roman"/>
          <w:lang w:val="en-GB"/>
        </w:rPr>
        <w:fldChar w:fldCharType="end"/>
      </w:r>
      <w:r w:rsidRPr="00B424AD">
        <w:rPr>
          <w:rFonts w:ascii="Times New Roman" w:hAnsi="Times New Roman" w:cs="Times New Roman"/>
          <w:lang w:val="en-GB"/>
        </w:rPr>
        <w:t>, now represent a third paradigm shift that is at once technological and conceptual</w:t>
      </w:r>
      <w:r w:rsidR="00C2278B">
        <w:rPr>
          <w:rFonts w:ascii="Times New Roman" w:hAnsi="Times New Roman" w:cs="Times New Roman"/>
          <w:lang w:val="en-GB"/>
        </w:rPr>
        <w:t xml:space="preserve"> </w:t>
      </w:r>
      <w:r w:rsidR="00C2278B">
        <w:rPr>
          <w:rFonts w:ascii="Times New Roman" w:hAnsi="Times New Roman" w:cs="Times New Roman"/>
          <w:lang w:val="en-GB"/>
        </w:rPr>
        <w:fldChar w:fldCharType="begin"/>
      </w:r>
      <w:r w:rsidR="00B40D7C">
        <w:rPr>
          <w:rFonts w:ascii="Times New Roman" w:hAnsi="Times New Roman" w:cs="Times New Roman"/>
          <w:lang w:val="en-GB"/>
        </w:rPr>
        <w:instrText xml:space="preserve"> ADDIN EN.CITE &lt;EndNote&gt;&lt;Cite&gt;&lt;Author&gt;Heeger&lt;/Author&gt;&lt;Year&gt;2018&lt;/Year&gt;&lt;RecNum&gt;1&lt;/RecNum&gt;&lt;DisplayText&gt;&lt;style size="10"&gt;[10,11]&lt;/style&gt;&lt;/DisplayText&gt;&lt;record&gt;&lt;rec-number&gt;1&lt;/rec-number&gt;&lt;foreign-keys&gt;&lt;key app="EN" db-id="a5ewd5adyz0t5pes20q5xvarvd2d0vvvt5zf" timestamp="1782892506"&gt;1&lt;/key&gt;&lt;/foreign-keys&gt;&lt;ref-type name="Journal Article"&gt;17&lt;/ref-type&gt;&lt;contributors&gt;&lt;authors&gt;&lt;author&gt;Heeger, Felix&lt;/author&gt;&lt;author&gt;Bourne, Elizabeth C&lt;/author&gt;&lt;author&gt;Baschien, Christiane&lt;/author&gt;&lt;author&gt;Yurkov, Andrey&lt;/author&gt;&lt;author&gt;Bunk, Boyke&lt;/author&gt;&lt;author&gt;Spröer, Cathrin&lt;/author&gt;&lt;author&gt;Overmann, Jörg&lt;/author&gt;&lt;author&gt;Mazzoni, Camila J&lt;/author&gt;&lt;author&gt;Monaghan, Michael T&lt;/author&gt;&lt;/authors&gt;&lt;/contributors&gt;&lt;titles&gt;&lt;title&gt;Long‐read DNA metabarcoding of ribosomal RNA in the analysis of fungi from aquatic environments&lt;/title&gt;&lt;secondary-title&gt;Molecular Ecology Resources&lt;/secondary-title&gt;&lt;/titles&gt;&lt;periodical&gt;&lt;full-title&gt;Molecular Ecology Resources&lt;/full-title&gt;&lt;/periodical&gt;&lt;pages&gt;1500-1514&lt;/pages&gt;&lt;volume&gt;18&lt;/volume&gt;&lt;number&gt;6&lt;/number&gt;&lt;dates&gt;&lt;year&gt;2018&lt;/year&gt;&lt;/dates&gt;&lt;isbn&gt;1755-098X&lt;/isbn&gt;&lt;urls&gt;&lt;/urls&gt;&lt;/record&gt;&lt;/Cite&gt;&lt;Cite&gt;&lt;Author&gt;Albastaki&lt;/Author&gt;&lt;Year&gt;2026&lt;/Year&gt;&lt;RecNum&gt;15&lt;/RecNum&gt;&lt;record&gt;&lt;rec-number&gt;15&lt;/rec-number&gt;&lt;foreign-keys&gt;&lt;key app="EN" db-id="a5ewd5adyz0t5pes20q5xvarvd2d0vvvt5zf" timestamp="1782910697"&gt;15&lt;/key&gt;&lt;/foreign-keys&gt;&lt;ref-type name="Journal Article"&gt;17&lt;/ref-type&gt;&lt;contributors&gt;&lt;authors&gt;&lt;author&gt;Albastaki, Abdulla&lt;/author&gt;&lt;author&gt;Smith, Judith&lt;/author&gt;&lt;/authors&gt;&lt;/contributors&gt;&lt;titles&gt;&lt;title&gt;Choosing Between Short-Read 16S, Full-Length ONT 16S, and Long-Read Shotgun Metagenomics for Soil Microbiome Studies: A Critical Review of the Benchmarking Evidence&lt;/title&gt;&lt;secondary-title&gt;Microorganisms&lt;/secondary-title&gt;&lt;/titles&gt;&lt;periodical&gt;&lt;full-title&gt;Microorganisms&lt;/full-title&gt;&lt;/periodical&gt;&lt;pages&gt;1132&lt;/pages&gt;&lt;volume&gt;14&lt;/volume&gt;&lt;number&gt;5&lt;/number&gt;&lt;dates&gt;&lt;year&gt;2026&lt;/year&gt;&lt;/dates&gt;&lt;isbn&gt;2076-2607&lt;/isbn&gt;&lt;urls&gt;&lt;/urls&gt;&lt;/record&gt;&lt;/Cite&gt;&lt;/EndNote&gt;</w:instrText>
      </w:r>
      <w:r w:rsidR="00C2278B">
        <w:rPr>
          <w:rFonts w:ascii="Times New Roman" w:hAnsi="Times New Roman" w:cs="Times New Roman"/>
          <w:lang w:val="en-GB"/>
        </w:rPr>
        <w:fldChar w:fldCharType="separate"/>
      </w:r>
      <w:r w:rsidR="00B40D7C" w:rsidRPr="00B40D7C">
        <w:rPr>
          <w:rFonts w:ascii="Times New Roman" w:hAnsi="Times New Roman" w:cs="Times New Roman"/>
          <w:noProof/>
          <w:sz w:val="20"/>
          <w:lang w:val="en-GB"/>
        </w:rPr>
        <w:t>[10,11]</w:t>
      </w:r>
      <w:r w:rsidR="00C2278B">
        <w:rPr>
          <w:rFonts w:ascii="Times New Roman" w:hAnsi="Times New Roman" w:cs="Times New Roman"/>
          <w:lang w:val="en-GB"/>
        </w:rPr>
        <w:fldChar w:fldCharType="end"/>
      </w:r>
      <w:r w:rsidRPr="00B424AD">
        <w:rPr>
          <w:rFonts w:ascii="Times New Roman" w:hAnsi="Times New Roman" w:cs="Times New Roman"/>
          <w:lang w:val="en-GB"/>
        </w:rPr>
        <w:t>. Rather than sequencing short, hypervariable sub-regions of taxonomic markers, ONT enables the routine generation of reads spanning complete or near-complete marker genes in a single pass</w:t>
      </w:r>
      <w:r w:rsidR="00C2278B">
        <w:rPr>
          <w:rFonts w:ascii="Times New Roman" w:hAnsi="Times New Roman" w:cs="Times New Roman"/>
          <w:lang w:val="en-GB"/>
        </w:rPr>
        <w:t xml:space="preserve"> </w:t>
      </w:r>
      <w:r w:rsidR="00C2278B">
        <w:rPr>
          <w:rFonts w:ascii="Times New Roman" w:hAnsi="Times New Roman" w:cs="Times New Roman"/>
          <w:lang w:val="en-GB"/>
        </w:rPr>
        <w:fldChar w:fldCharType="begin">
          <w:fldData xml:space="preserve">PEVuZE5vdGU+PENpdGU+PEF1dGhvcj5XdXJ6YmFjaGVyPC9BdXRob3I+PFllYXI+MjAxOTwvWWVh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</w:fldData>
        </w:fldChar>
      </w:r>
      <w:r w:rsidR="00B40D7C">
        <w:rPr>
          <w:rFonts w:ascii="Times New Roman" w:hAnsi="Times New Roman" w:cs="Times New Roman"/>
          <w:lang w:val="en-GB"/>
        </w:rPr>
        <w:instrText xml:space="preserve"> ADDIN EN.CITE </w:instrText>
      </w:r>
      <w:r w:rsidR="00B40D7C">
        <w:rPr>
          <w:rFonts w:ascii="Times New Roman" w:hAnsi="Times New Roman" w:cs="Times New Roman"/>
          <w:lang w:val="en-GB"/>
        </w:rPr>
        <w:fldChar w:fldCharType="begin">
          <w:fldData xml:space="preserve">PEVuZE5vdGU+PENpdGU+PEF1dGhvcj5XdXJ6YmFjaGVyPC9BdXRob3I+PFllYXI+MjAxOTwvWWVh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</w:fldData>
        </w:fldChar>
      </w:r>
      <w:r w:rsidR="00B40D7C">
        <w:rPr>
          <w:rFonts w:ascii="Times New Roman" w:hAnsi="Times New Roman" w:cs="Times New Roman"/>
          <w:lang w:val="en-GB"/>
        </w:rPr>
        <w:instrText xml:space="preserve"> ADDIN EN.CITE.DATA </w:instrText>
      </w:r>
      <w:r w:rsidR="00B40D7C">
        <w:rPr>
          <w:rFonts w:ascii="Times New Roman" w:hAnsi="Times New Roman" w:cs="Times New Roman"/>
          <w:lang w:val="en-GB"/>
        </w:rPr>
      </w:r>
      <w:r w:rsidR="00B40D7C">
        <w:rPr>
          <w:rFonts w:ascii="Times New Roman" w:hAnsi="Times New Roman" w:cs="Times New Roman"/>
          <w:lang w:val="en-GB"/>
        </w:rPr>
        <w:fldChar w:fldCharType="end"/>
      </w:r>
      <w:r w:rsidR="00C2278B">
        <w:rPr>
          <w:rFonts w:ascii="Times New Roman" w:hAnsi="Times New Roman" w:cs="Times New Roman"/>
          <w:lang w:val="en-GB"/>
        </w:rPr>
      </w:r>
      <w:r w:rsidR="00C2278B">
        <w:rPr>
          <w:rFonts w:ascii="Times New Roman" w:hAnsi="Times New Roman" w:cs="Times New Roman"/>
          <w:lang w:val="en-GB"/>
        </w:rPr>
        <w:fldChar w:fldCharType="separate"/>
      </w:r>
      <w:r w:rsidR="00B40D7C" w:rsidRPr="00B40D7C">
        <w:rPr>
          <w:rFonts w:ascii="Times New Roman" w:hAnsi="Times New Roman" w:cs="Times New Roman"/>
          <w:noProof/>
          <w:sz w:val="20"/>
          <w:lang w:val="en-GB"/>
        </w:rPr>
        <w:t>[12-14]</w:t>
      </w:r>
      <w:r w:rsidR="00C2278B">
        <w:rPr>
          <w:rFonts w:ascii="Times New Roman" w:hAnsi="Times New Roman" w:cs="Times New Roman"/>
          <w:lang w:val="en-GB"/>
        </w:rPr>
        <w:fldChar w:fldCharType="end"/>
      </w:r>
      <w:r w:rsidRPr="00B424AD">
        <w:rPr>
          <w:rFonts w:ascii="Times New Roman" w:hAnsi="Times New Roman" w:cs="Times New Roman"/>
          <w:lang w:val="en-GB"/>
        </w:rPr>
        <w:t xml:space="preserve">. This capability fundamentally alters the analytical logic: instead of constructing biological units from fragmented sequences reads can be directly aligned against curated reference databases using general-purpose sequence aligners such as </w:t>
      </w:r>
      <w:r w:rsidRPr="009B4B2E">
        <w:rPr>
          <w:rFonts w:ascii="Times New Roman" w:hAnsi="Times New Roman" w:cs="Times New Roman"/>
          <w:i/>
          <w:iCs/>
          <w:lang w:val="en-GB"/>
        </w:rPr>
        <w:t>minimap2</w:t>
      </w:r>
      <w:r w:rsidR="00845641">
        <w:rPr>
          <w:rFonts w:ascii="Times New Roman" w:hAnsi="Times New Roman" w:cs="Times New Roman"/>
          <w:lang w:val="en-GB"/>
        </w:rPr>
        <w:t xml:space="preserve"> </w:t>
      </w:r>
      <w:r w:rsidR="00845641">
        <w:rPr>
          <w:rFonts w:ascii="Times New Roman" w:hAnsi="Times New Roman" w:cs="Times New Roman"/>
          <w:lang w:val="en-GB"/>
        </w:rPr>
        <w:fldChar w:fldCharType="begin"/>
      </w:r>
      <w:r w:rsidR="00845641">
        <w:rPr>
          <w:rFonts w:ascii="Times New Roman" w:hAnsi="Times New Roman" w:cs="Times New Roman"/>
          <w:lang w:val="en-GB"/>
        </w:rPr>
        <w:instrText xml:space="preserve"> ADDIN EN.CITE &lt;EndNote&gt;&lt;Cite&gt;&lt;Author&gt;Li&lt;/Author&gt;&lt;Year&gt;2018&lt;/Year&gt;&lt;RecNum&gt;17&lt;/RecNum&gt;&lt;DisplayText&gt;&lt;style size="10"&gt;[15]&lt;/style&gt;&lt;/DisplayText&gt;&lt;record&gt;&lt;rec-number&gt;17&lt;/rec-number&gt;&lt;foreign-keys&gt;&lt;key app="EN" db-id="a5ewd5adyz0t5pes20q5xvarvd2d0vvvt5zf" timestamp="1782910796"&gt;17&lt;/key&gt;&lt;/foreign-keys&gt;&lt;ref-type name="Journal Article"&gt;17&lt;/ref-type&gt;&lt;contributors&gt;&lt;authors&gt;&lt;author&gt;Li, Heng&lt;/author&gt;&lt;/authors&gt;&lt;/contributors&gt;&lt;titles&gt;&lt;title&gt;Minimap2: pairwise alignment for nucleotide sequences&lt;/title&gt;&lt;secondary-title&gt;Bioinformatics&lt;/secondary-title&gt;&lt;/titles&gt;&lt;periodical&gt;&lt;full-title&gt;Bioinformatics&lt;/full-title&gt;&lt;/periodical&gt;&lt;pages&gt;3094-3100&lt;/pages&gt;&lt;volume&gt;34&lt;/volume&gt;&lt;number&gt;18&lt;/number&gt;&lt;dates&gt;&lt;year&gt;2018&lt;/year&gt;&lt;/dates&gt;&lt;isbn&gt;1367-4803&lt;/isbn&gt;&lt;urls&gt;&lt;/urls&gt;&lt;/record&gt;&lt;/Cite&gt;&lt;/EndNote&gt;</w:instrText>
      </w:r>
      <w:r w:rsidR="00845641">
        <w:rPr>
          <w:rFonts w:ascii="Times New Roman" w:hAnsi="Times New Roman" w:cs="Times New Roman"/>
          <w:lang w:val="en-GB"/>
        </w:rPr>
        <w:fldChar w:fldCharType="separate"/>
      </w:r>
      <w:r w:rsidR="00845641" w:rsidRPr="00845641">
        <w:rPr>
          <w:rFonts w:ascii="Times New Roman" w:hAnsi="Times New Roman" w:cs="Times New Roman"/>
          <w:noProof/>
          <w:sz w:val="20"/>
          <w:lang w:val="en-GB"/>
        </w:rPr>
        <w:t>[15]</w:t>
      </w:r>
      <w:r w:rsidR="00845641">
        <w:rPr>
          <w:rFonts w:ascii="Times New Roman" w:hAnsi="Times New Roman" w:cs="Times New Roman"/>
          <w:lang w:val="en-GB"/>
        </w:rPr>
        <w:fldChar w:fldCharType="end"/>
      </w:r>
      <w:r w:rsidRPr="00B424AD">
        <w:rPr>
          <w:rFonts w:ascii="Times New Roman" w:hAnsi="Times New Roman" w:cs="Times New Roman"/>
          <w:lang w:val="en-GB"/>
        </w:rPr>
        <w:t>. Taxonomic assignment thus becomes an alignment and mapping problem, with the potential for substantially higher resolution when sufficiently long and informative marker sequences are employed</w:t>
      </w:r>
      <w:r w:rsidR="00845641">
        <w:rPr>
          <w:rFonts w:ascii="Times New Roman" w:hAnsi="Times New Roman" w:cs="Times New Roman"/>
          <w:lang w:val="en-GB"/>
        </w:rPr>
        <w:t xml:space="preserve"> </w:t>
      </w:r>
      <w:r w:rsidRPr="00B424AD">
        <w:rPr>
          <w:rFonts w:ascii="Times New Roman" w:hAnsi="Times New Roman" w:cs="Times New Roman"/>
          <w:lang w:val="en-GB"/>
        </w:rPr>
        <w:t xml:space="preserve"> </w:t>
      </w:r>
      <w:r w:rsidR="00D51CBF">
        <w:rPr>
          <w:rFonts w:ascii="Times New Roman" w:hAnsi="Times New Roman" w:cs="Times New Roman"/>
          <w:lang w:val="en-GB"/>
        </w:rPr>
        <w:fldChar w:fldCharType="begin"/>
      </w:r>
      <w:r w:rsidR="00D51CBF">
        <w:rPr>
          <w:rFonts w:ascii="Times New Roman" w:hAnsi="Times New Roman" w:cs="Times New Roman"/>
          <w:lang w:val="en-GB"/>
        </w:rPr>
        <w:instrText xml:space="preserve"> ADDIN EN.CITE &lt;EndNote&gt;&lt;Cite&gt;&lt;Author&gt;Aslani&lt;/Author&gt;&lt;Year&gt;2022&lt;/Year&gt;&lt;RecNum&gt;18&lt;/RecNum&gt;&lt;DisplayText&gt;&lt;style size="10"&gt;[16,17]&lt;/style&gt;&lt;/DisplayText&gt;&lt;record&gt;&lt;rec-number&gt;18&lt;/rec-number&gt;&lt;foreign-keys&gt;&lt;key app="EN" db-id="a5ewd5adyz0t5pes20q5xvarvd2d0vvvt5zf" timestamp="1782910846"&gt;18&lt;/key&gt;&lt;/foreign-keys&gt;&lt;ref-type name="Journal Article"&gt;17&lt;/ref-type&gt;&lt;contributors&gt;&lt;authors&gt;&lt;author&gt;Aslani, Farzad&lt;/author&gt;&lt;author&gt;Geisen, Stefan&lt;/author&gt;&lt;author&gt;Ning, Daliang&lt;/author&gt;&lt;author&gt;Tedersoo, Leho&lt;/author&gt;&lt;author&gt;Bahram, Mohammad&lt;/author&gt;&lt;/authors&gt;&lt;/contributors&gt;&lt;titles&gt;&lt;title&gt;Towards revealing the global diversity and community assembly of soil eukaryotes&lt;/title&gt;&lt;secondary-title&gt;Ecology letters&lt;/secondary-title&gt;&lt;/titles&gt;&lt;periodical&gt;&lt;full-title&gt;Ecology letters&lt;/full-title&gt;&lt;/periodical&gt;&lt;pages&gt;65-76&lt;/pages&gt;&lt;volume&gt;25&lt;/volume&gt;&lt;number&gt;1&lt;/number&gt;&lt;dates&gt;&lt;year&gt;2022&lt;/year&gt;&lt;/dates&gt;&lt;isbn&gt;1461-023X&lt;/isbn&gt;&lt;urls&gt;&lt;/urls&gt;&lt;/record&gt;&lt;/Cite&gt;&lt;Cite&gt;&lt;Author&gt;Pearman&lt;/Author&gt;&lt;Year&gt;2020&lt;/Year&gt;&lt;RecNum&gt;19&lt;/RecNum&gt;&lt;record&gt;&lt;rec-number&gt;19&lt;/rec-number&gt;&lt;foreign-keys&gt;&lt;key app="EN" db-id="a5ewd5adyz0t5pes20q5xvarvd2d0vvvt5zf" timestamp="1782910951"&gt;19&lt;/key&gt;&lt;/foreign-keys&gt;&lt;ref-type name="Journal Article"&gt;17&lt;/ref-type&gt;&lt;contributors&gt;&lt;authors&gt;&lt;author&gt;Pearman, William S&lt;/author&gt;&lt;author&gt;Freed, Nikki E&lt;/author&gt;&lt;author&gt;Silander, Olin K&lt;/author&gt;&lt;/authors&gt;&lt;/contributors&gt;&lt;titles&gt;&lt;title&gt;Testing the advantages and disadvantages of short-and long-read eukaryotic metagenomics using simulated reads&lt;/title&gt;&lt;secondary-title&gt;BMC bioinformatics&lt;/secondary-title&gt;&lt;/titles&gt;&lt;periodical&gt;&lt;full-title&gt;BMC bioinformatics&lt;/full-title&gt;&lt;/periodical&gt;&lt;pages&gt;220&lt;/pages&gt;&lt;volume&gt;21&lt;/volume&gt;&lt;number&gt;1&lt;/number&gt;&lt;dates&gt;&lt;year&gt;2020&lt;/year&gt;&lt;/dates&gt;&lt;isbn&gt;1471-2105&lt;/isbn&gt;&lt;urls&gt;&lt;/urls&gt;&lt;/record&gt;&lt;/Cite&gt;&lt;/EndNote&gt;</w:instrText>
      </w:r>
      <w:r w:rsidR="00D51CBF">
        <w:rPr>
          <w:rFonts w:ascii="Times New Roman" w:hAnsi="Times New Roman" w:cs="Times New Roman"/>
          <w:lang w:val="en-GB"/>
        </w:rPr>
        <w:fldChar w:fldCharType="separate"/>
      </w:r>
      <w:r w:rsidR="00D51CBF" w:rsidRPr="00D51CBF">
        <w:rPr>
          <w:rFonts w:ascii="Times New Roman" w:hAnsi="Times New Roman" w:cs="Times New Roman"/>
          <w:noProof/>
          <w:sz w:val="20"/>
          <w:lang w:val="en-GB"/>
        </w:rPr>
        <w:t>[16,17]</w:t>
      </w:r>
      <w:r w:rsidR="00D51CBF">
        <w:rPr>
          <w:rFonts w:ascii="Times New Roman" w:hAnsi="Times New Roman" w:cs="Times New Roman"/>
          <w:lang w:val="en-GB"/>
        </w:rPr>
        <w:fldChar w:fldCharType="end"/>
      </w:r>
    </w:p>
    <w:p w14:paraId="335A6032" w14:textId="369B173F"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 xml:space="preserve">This shift </w:t>
      </w:r>
      <w:r w:rsidR="008D1BE0">
        <w:rPr>
          <w:rFonts w:ascii="Times New Roman" w:hAnsi="Times New Roman" w:cs="Times New Roman"/>
          <w:lang w:val="en-GB"/>
        </w:rPr>
        <w:t>is particularly significant</w:t>
      </w:r>
      <w:r w:rsidRPr="00B424AD">
        <w:rPr>
          <w:rFonts w:ascii="Times New Roman" w:hAnsi="Times New Roman" w:cs="Times New Roman"/>
          <w:lang w:val="en-GB"/>
        </w:rPr>
        <w:t xml:space="preserve"> for fungal metabarcoding</w:t>
      </w:r>
      <w:r w:rsidR="00BB10F6">
        <w:rPr>
          <w:rFonts w:ascii="Times New Roman" w:hAnsi="Times New Roman" w:cs="Times New Roman"/>
          <w:lang w:val="en-GB"/>
        </w:rPr>
        <w:t xml:space="preserve">, which is strongly limited by the particular length </w:t>
      </w:r>
      <w:r w:rsidR="003806B3">
        <w:rPr>
          <w:rFonts w:ascii="Times New Roman" w:hAnsi="Times New Roman" w:cs="Times New Roman"/>
          <w:lang w:val="en-GB"/>
        </w:rPr>
        <w:t>and structure of the barcoding marker</w:t>
      </w:r>
      <w:r w:rsidR="00580C83">
        <w:rPr>
          <w:rFonts w:ascii="Times New Roman" w:hAnsi="Times New Roman" w:cs="Times New Roman"/>
          <w:lang w:val="en-GB"/>
        </w:rPr>
        <w:t xml:space="preserve"> </w:t>
      </w:r>
      <w:r w:rsidR="00580C83">
        <w:rPr>
          <w:rFonts w:ascii="Times New Roman" w:hAnsi="Times New Roman" w:cs="Times New Roman"/>
          <w:lang w:val="en-GB"/>
        </w:rPr>
        <w:fldChar w:fldCharType="begin"/>
      </w:r>
      <w:r w:rsidR="00580C83">
        <w:rPr>
          <w:rFonts w:ascii="Times New Roman" w:hAnsi="Times New Roman" w:cs="Times New Roman"/>
          <w:lang w:val="en-GB"/>
        </w:rPr>
        <w:instrText xml:space="preserve"> ADDIN EN.CITE &lt;EndNote&gt;&lt;Cite&gt;&lt;Author&gt;Nilsson&lt;/Author&gt;&lt;Year&gt;2019&lt;/Year&gt;&lt;RecNum&gt;20&lt;/RecNum&gt;&lt;DisplayText&gt;&lt;style size="10"&gt;[18,19]&lt;/style&gt;&lt;/DisplayText&gt;&lt;record&gt;&lt;rec-number&gt;20&lt;/rec-number&gt;&lt;foreign-keys&gt;&lt;key app="EN" db-id="a5ewd5adyz0t5pes20q5xvarvd2d0vvvt5zf" timestamp="1782912285"&gt;20&lt;/key&gt;&lt;/foreign-keys&gt;&lt;ref-type name="Journal Article"&gt;17&lt;/ref-type&gt;&lt;contributors&gt;&lt;authors&gt;&lt;author&gt;Nilsson, R Henrik&lt;/author&gt;&lt;author&gt;Anslan, Sten&lt;/author&gt;&lt;author&gt;Bahram, Mohammad&lt;/author&gt;&lt;author&gt;Wurzbacher, Christian&lt;/author&gt;&lt;author&gt;Baldrian, Petr&lt;/author&gt;&lt;author&gt;Tedersoo, Leho&lt;/author&gt;&lt;/authors&gt;&lt;/contributors&gt;&lt;titles&gt;&lt;title&gt;Mycobiome diversity: high-throughput sequencing and identification of fungi&lt;/title&gt;&lt;secondary-title&gt;Nature Reviews Microbiology&lt;/secondary-title&gt;&lt;/titles&gt;&lt;periodical&gt;&lt;full-title&gt;Nature Reviews Microbiology&lt;/full-title&gt;&lt;/periodical&gt;&lt;pages&gt;95-109&lt;/pages&gt;&lt;volume&gt;17&lt;/volume&gt;&lt;number&gt;2&lt;/number&gt;&lt;dates&gt;&lt;year&gt;2019&lt;/year&gt;&lt;/dates&gt;&lt;isbn&gt;1740-1526&lt;/isbn&gt;&lt;urls&gt;&lt;/urls&gt;&lt;/record&gt;&lt;/Cite&gt;&lt;Cite&gt;&lt;Author&gt;Lücking&lt;/Author&gt;&lt;Year&gt;2020&lt;/Year&gt;&lt;RecNum&gt;21&lt;/RecNum&gt;&lt;record&gt;&lt;rec-number&gt;21&lt;/rec-number&gt;&lt;foreign-keys&gt;&lt;key app="EN" db-id="a5ewd5adyz0t5pes20q5xvarvd2d0vvvt5zf" timestamp="1782912322"&gt;21&lt;/key&gt;&lt;/foreign-keys&gt;&lt;ref-type name="Journal Article"&gt;17&lt;/ref-type&gt;&lt;contributors&gt;&lt;authors&gt;&lt;author&gt;Lücking, Robert&lt;/author&gt;&lt;author&gt;Aime, M Catherine&lt;/author&gt;&lt;author&gt;Robbertse, Barbara&lt;/author&gt;&lt;author&gt;Miller, Andrew N&lt;/author&gt;&lt;author&gt;Ariyawansa, Hiran A&lt;/author&gt;&lt;author&gt;Aoki, Takayuki&lt;/author&gt;&lt;author&gt;Cardinali, Gianluigi&lt;/author&gt;&lt;author&gt;Crous, Pedro W&lt;/author&gt;&lt;author&gt;Druzhinina, Irina S&lt;/author&gt;&lt;author&gt;Geiser, David M&lt;/author&gt;&lt;/authors&gt;&lt;/contributors&gt;&lt;titles&gt;&lt;title&gt;Unambiguous identification of fungi: where do we stand and how accurate and precise is fungal DNA barcoding?&lt;/title&gt;&lt;secondary-title&gt;IMA fungus&lt;/secondary-title&gt;&lt;/titles&gt;&lt;periodical&gt;&lt;full-title&gt;IMA fungus&lt;/full-title&gt;&lt;/periodical&gt;&lt;pages&gt;14&lt;/pages&gt;&lt;volume&gt;11&lt;/volume&gt;&lt;number&gt;1&lt;/number&gt;&lt;dates&gt;&lt;year&gt;2020&lt;/year&gt;&lt;/dates&gt;&lt;isbn&gt;2210-6359&lt;/isbn&gt;&lt;urls&gt;&lt;/urls&gt;&lt;/record&gt;&lt;/Cite&gt;&lt;/EndNote&gt;</w:instrText>
      </w:r>
      <w:r w:rsidR="00580C83">
        <w:rPr>
          <w:rFonts w:ascii="Times New Roman" w:hAnsi="Times New Roman" w:cs="Times New Roman"/>
          <w:lang w:val="en-GB"/>
        </w:rPr>
        <w:fldChar w:fldCharType="separate"/>
      </w:r>
      <w:r w:rsidR="00580C83" w:rsidRPr="00580C83">
        <w:rPr>
          <w:rFonts w:ascii="Times New Roman" w:hAnsi="Times New Roman" w:cs="Times New Roman"/>
          <w:noProof/>
          <w:sz w:val="20"/>
          <w:lang w:val="en-GB"/>
        </w:rPr>
        <w:t>[18,19]</w:t>
      </w:r>
      <w:r w:rsidR="00580C83">
        <w:rPr>
          <w:rFonts w:ascii="Times New Roman" w:hAnsi="Times New Roman" w:cs="Times New Roman"/>
          <w:lang w:val="en-GB"/>
        </w:rPr>
        <w:fldChar w:fldCharType="end"/>
      </w:r>
      <w:r w:rsidRPr="00B424AD">
        <w:rPr>
          <w:rFonts w:ascii="Times New Roman" w:hAnsi="Times New Roman" w:cs="Times New Roman"/>
          <w:lang w:val="en-GB"/>
        </w:rPr>
        <w:t xml:space="preserve">. Since the formal adoption of the internal transcribed spacer (ITS) region as the universal DNA barcode for Fungi </w:t>
      </w:r>
      <w:r w:rsidR="0029656C">
        <w:rPr>
          <w:rFonts w:ascii="Times New Roman" w:hAnsi="Times New Roman" w:cs="Times New Roman"/>
          <w:lang w:val="en-GB"/>
        </w:rPr>
        <w:fldChar w:fldCharType="begin"/>
      </w:r>
      <w:r w:rsidR="0029656C">
        <w:rPr>
          <w:rFonts w:ascii="Times New Roman" w:hAnsi="Times New Roman" w:cs="Times New Roman"/>
          <w:lang w:val="en-GB"/>
        </w:rPr>
        <w:instrText xml:space="preserve"> ADDIN EN.CITE &lt;EndNote&gt;&lt;Cite&gt;&lt;Author&gt;Schoch&lt;/Author&gt;&lt;Year&gt;2012&lt;/Year&gt;&lt;RecNum&gt;22&lt;/RecNum&gt;&lt;DisplayText&gt;&lt;style size="10"&gt;[20]&lt;/style&gt;&lt;/DisplayText&gt;&lt;record&gt;&lt;rec-number&gt;22&lt;/rec-number&gt;&lt;foreign-keys&gt;&lt;key app="EN" db-id="a5ewd5adyz0t5pes20q5xvarvd2d0vvvt5zf" timestamp="1782912372"&gt;22&lt;/key&gt;&lt;/foreign-keys&gt;&lt;ref-type name="Journal Article"&gt;17&lt;/ref-type&gt;&lt;contributors&gt;&lt;authors&gt;&lt;author&gt;Schoch, Conrad L&lt;/author&gt;&lt;author&gt;Seifert, Keith A&lt;/author&gt;&lt;author&gt;Huhndorf, Sabine&lt;/author&gt;&lt;author&gt;Robert, Vincent&lt;/author&gt;&lt;author&gt;Spouge, John L&lt;/author&gt;&lt;author&gt;Levesque, C André&lt;/author&gt;&lt;author&gt;Chen, Wen&lt;/author&gt;&lt;author&gt;Fungal Barcoding Consortium&lt;/author&gt;&lt;author&gt;Fungal Barcoding Consortium Author List&lt;/author&gt;&lt;author&gt;Bolchacova, Elena&lt;/author&gt;&lt;/authors&gt;&lt;/contributors&gt;&lt;titles&gt;&lt;title&gt;Nuclear ribosomal internal transcribed spacer (ITS) region as a universal DNA barcode marker for Fungi&lt;/title&gt;&lt;secondary-title&gt;Proceedings of the national academy of Sciences&lt;/secondary-title&gt;&lt;/titles&gt;&lt;periodical&gt;&lt;full-title&gt;Proceedings of the national academy of Sciences&lt;/full-title&gt;&lt;/periodical&gt;&lt;pages&gt;6241-6246&lt;/pages&gt;&lt;volume&gt;109&lt;/volume&gt;&lt;number&gt;16&lt;/number&gt;&lt;dates&gt;&lt;year&gt;2012&lt;/year&gt;&lt;/dates&gt;&lt;isbn&gt;0027-8424&lt;/isbn&gt;&lt;urls&gt;&lt;/urls&gt;&lt;/record&gt;&lt;/Cite&gt;&lt;/EndNote&gt;</w:instrText>
      </w:r>
      <w:r w:rsidR="0029656C">
        <w:rPr>
          <w:rFonts w:ascii="Times New Roman" w:hAnsi="Times New Roman" w:cs="Times New Roman"/>
          <w:lang w:val="en-GB"/>
        </w:rPr>
        <w:fldChar w:fldCharType="separate"/>
      </w:r>
      <w:r w:rsidR="0029656C" w:rsidRPr="0029656C">
        <w:rPr>
          <w:rFonts w:ascii="Times New Roman" w:hAnsi="Times New Roman" w:cs="Times New Roman"/>
          <w:noProof/>
          <w:sz w:val="20"/>
          <w:lang w:val="en-GB"/>
        </w:rPr>
        <w:t>[20]</w:t>
      </w:r>
      <w:r w:rsidR="0029656C">
        <w:rPr>
          <w:rFonts w:ascii="Times New Roman" w:hAnsi="Times New Roman" w:cs="Times New Roman"/>
          <w:lang w:val="en-GB"/>
        </w:rPr>
        <w:fldChar w:fldCharType="end"/>
      </w:r>
      <w:r w:rsidRPr="00B424AD">
        <w:rPr>
          <w:rFonts w:ascii="Times New Roman" w:hAnsi="Times New Roman" w:cs="Times New Roman"/>
          <w:lang w:val="en-GB"/>
        </w:rPr>
        <w:t>, community analyses have been largely confined to the ITS1 or ITS2 sub-regions (~200–400 bp) — a constraint imposed in part by the read-length limitations of short-read sequencing platforms. However, the ITS region alone provides limited phylogenetic resolution for many fungal lineages,</w:t>
      </w:r>
      <w:r w:rsidR="00D71494">
        <w:rPr>
          <w:rFonts w:ascii="Times New Roman" w:hAnsi="Times New Roman" w:cs="Times New Roman"/>
          <w:lang w:val="en-GB"/>
        </w:rPr>
        <w:t xml:space="preserve"> situation worsened when the marker is reduced to the sole ITS2</w:t>
      </w:r>
      <w:r w:rsidR="0029656C">
        <w:rPr>
          <w:rFonts w:ascii="Times New Roman" w:hAnsi="Times New Roman" w:cs="Times New Roman"/>
          <w:lang w:val="en-GB"/>
        </w:rPr>
        <w:t xml:space="preserve"> </w:t>
      </w:r>
      <w:r w:rsidR="0029656C">
        <w:rPr>
          <w:rFonts w:ascii="Times New Roman" w:hAnsi="Times New Roman" w:cs="Times New Roman"/>
          <w:lang w:val="en-GB"/>
        </w:rPr>
        <w:fldChar w:fldCharType="begin">
          <w:fldData xml:space="preserve">PEVuZE5vdGU+PENpdGU+PEF1dGhvcj5XaW5hbmQ8L0F1dGhvcj48WWVhcj4yMDI1PC9ZZWFyPjxS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</w:fldData>
        </w:fldChar>
      </w:r>
      <w:r w:rsidR="008A2F14">
        <w:rPr>
          <w:rFonts w:ascii="Times New Roman" w:hAnsi="Times New Roman" w:cs="Times New Roman"/>
          <w:lang w:val="en-GB"/>
        </w:rPr>
        <w:instrText xml:space="preserve"> ADDIN EN.CITE </w:instrText>
      </w:r>
      <w:r w:rsidR="008A2F14">
        <w:rPr>
          <w:rFonts w:ascii="Times New Roman" w:hAnsi="Times New Roman" w:cs="Times New Roman"/>
          <w:lang w:val="en-GB"/>
        </w:rPr>
        <w:fldChar w:fldCharType="begin">
          <w:fldData xml:space="preserve">PEVuZE5vdGU+PENpdGU+PEF1dGhvcj5XaW5hbmQ8L0F1dGhvcj48WWVhcj4yMDI1PC9ZZWFyPjxS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</w:fldData>
        </w:fldChar>
      </w:r>
      <w:r w:rsidR="008A2F14">
        <w:rPr>
          <w:rFonts w:ascii="Times New Roman" w:hAnsi="Times New Roman" w:cs="Times New Roman"/>
          <w:lang w:val="en-GB"/>
        </w:rPr>
        <w:instrText xml:space="preserve"> ADDIN EN.CITE.DATA </w:instrText>
      </w:r>
      <w:r w:rsidR="008A2F14">
        <w:rPr>
          <w:rFonts w:ascii="Times New Roman" w:hAnsi="Times New Roman" w:cs="Times New Roman"/>
          <w:lang w:val="en-GB"/>
        </w:rPr>
      </w:r>
      <w:r w:rsidR="008A2F14">
        <w:rPr>
          <w:rFonts w:ascii="Times New Roman" w:hAnsi="Times New Roman" w:cs="Times New Roman"/>
          <w:lang w:val="en-GB"/>
        </w:rPr>
        <w:fldChar w:fldCharType="end"/>
      </w:r>
      <w:r w:rsidR="0029656C">
        <w:rPr>
          <w:rFonts w:ascii="Times New Roman" w:hAnsi="Times New Roman" w:cs="Times New Roman"/>
          <w:lang w:val="en-GB"/>
        </w:rPr>
      </w:r>
      <w:r w:rsidR="0029656C">
        <w:rPr>
          <w:rFonts w:ascii="Times New Roman" w:hAnsi="Times New Roman" w:cs="Times New Roman"/>
          <w:lang w:val="en-GB"/>
        </w:rPr>
        <w:fldChar w:fldCharType="separate"/>
      </w:r>
      <w:r w:rsidR="008A2F14" w:rsidRPr="008A2F14">
        <w:rPr>
          <w:rFonts w:ascii="Times New Roman" w:hAnsi="Times New Roman" w:cs="Times New Roman"/>
          <w:noProof/>
          <w:sz w:val="20"/>
          <w:lang w:val="en-GB"/>
        </w:rPr>
        <w:t>[21-23]</w:t>
      </w:r>
      <w:r w:rsidR="0029656C">
        <w:rPr>
          <w:rFonts w:ascii="Times New Roman" w:hAnsi="Times New Roman" w:cs="Times New Roman"/>
          <w:lang w:val="en-GB"/>
        </w:rPr>
        <w:fldChar w:fldCharType="end"/>
      </w:r>
      <w:r w:rsidR="00D71494">
        <w:rPr>
          <w:rFonts w:ascii="Times New Roman" w:hAnsi="Times New Roman" w:cs="Times New Roman"/>
          <w:lang w:val="en-GB"/>
        </w:rPr>
        <w:t xml:space="preserve">. Moreover, </w:t>
      </w:r>
      <w:r w:rsidRPr="00B424AD">
        <w:rPr>
          <w:rFonts w:ascii="Times New Roman" w:hAnsi="Times New Roman" w:cs="Times New Roman"/>
          <w:lang w:val="en-GB"/>
        </w:rPr>
        <w:t>its high length variability</w:t>
      </w:r>
      <w:r w:rsidR="00D71494">
        <w:rPr>
          <w:rFonts w:ascii="Times New Roman" w:hAnsi="Times New Roman" w:cs="Times New Roman"/>
          <w:lang w:val="en-GB"/>
        </w:rPr>
        <w:t xml:space="preserve">, intra-genome heterogeneity </w:t>
      </w:r>
      <w:r w:rsidR="00DD50B7">
        <w:rPr>
          <w:rFonts w:ascii="Times New Roman" w:hAnsi="Times New Roman" w:cs="Times New Roman"/>
          <w:lang w:val="en-GB"/>
        </w:rPr>
        <w:fldChar w:fldCharType="begin">
          <w:fldData xml:space="preserve">PEVuZE5vdGU+PENpdGU+PEF1dGhvcj5Db2xhYmVsbGE8L0F1dGhvcj48WWVhcj4yMDIxPC9ZZWFy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</w:fldData>
        </w:fldChar>
      </w:r>
      <w:r w:rsidR="00DD50B7">
        <w:rPr>
          <w:rFonts w:ascii="Times New Roman" w:hAnsi="Times New Roman" w:cs="Times New Roman"/>
          <w:lang w:val="en-GB"/>
        </w:rPr>
        <w:instrText xml:space="preserve"> ADDIN EN.CITE </w:instrText>
      </w:r>
      <w:r w:rsidR="00DD50B7">
        <w:rPr>
          <w:rFonts w:ascii="Times New Roman" w:hAnsi="Times New Roman" w:cs="Times New Roman"/>
          <w:lang w:val="en-GB"/>
        </w:rPr>
        <w:fldChar w:fldCharType="begin">
          <w:fldData xml:space="preserve">PEVuZE5vdGU+PENpdGU+PEF1dGhvcj5Db2xhYmVsbGE8L0F1dGhvcj48WWVhcj4yMDIxPC9ZZWFy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</w:fldData>
        </w:fldChar>
      </w:r>
      <w:r w:rsidR="00DD50B7">
        <w:rPr>
          <w:rFonts w:ascii="Times New Roman" w:hAnsi="Times New Roman" w:cs="Times New Roman"/>
          <w:lang w:val="en-GB"/>
        </w:rPr>
        <w:instrText xml:space="preserve"> ADDIN EN.CITE.DATA </w:instrText>
      </w:r>
      <w:r w:rsidR="00DD50B7">
        <w:rPr>
          <w:rFonts w:ascii="Times New Roman" w:hAnsi="Times New Roman" w:cs="Times New Roman"/>
          <w:lang w:val="en-GB"/>
        </w:rPr>
      </w:r>
      <w:r w:rsidR="00DD50B7">
        <w:rPr>
          <w:rFonts w:ascii="Times New Roman" w:hAnsi="Times New Roman" w:cs="Times New Roman"/>
          <w:lang w:val="en-GB"/>
        </w:rPr>
        <w:fldChar w:fldCharType="end"/>
      </w:r>
      <w:r w:rsidR="00DD50B7">
        <w:rPr>
          <w:rFonts w:ascii="Times New Roman" w:hAnsi="Times New Roman" w:cs="Times New Roman"/>
          <w:lang w:val="en-GB"/>
        </w:rPr>
      </w:r>
      <w:r w:rsidR="00DD50B7">
        <w:rPr>
          <w:rFonts w:ascii="Times New Roman" w:hAnsi="Times New Roman" w:cs="Times New Roman"/>
          <w:lang w:val="en-GB"/>
        </w:rPr>
        <w:fldChar w:fldCharType="separate"/>
      </w:r>
      <w:r w:rsidR="00DD50B7" w:rsidRPr="00DD50B7">
        <w:rPr>
          <w:rFonts w:ascii="Times New Roman" w:hAnsi="Times New Roman" w:cs="Times New Roman"/>
          <w:noProof/>
          <w:sz w:val="20"/>
          <w:lang w:val="en-GB"/>
        </w:rPr>
        <w:t>[24,25]</w:t>
      </w:r>
      <w:r w:rsidR="00DD50B7">
        <w:rPr>
          <w:rFonts w:ascii="Times New Roman" w:hAnsi="Times New Roman" w:cs="Times New Roman"/>
          <w:lang w:val="en-GB"/>
        </w:rPr>
        <w:fldChar w:fldCharType="end"/>
      </w:r>
      <w:r w:rsidR="00DD50B7">
        <w:rPr>
          <w:rFonts w:ascii="Times New Roman" w:hAnsi="Times New Roman" w:cs="Times New Roman"/>
          <w:lang w:val="en-GB"/>
        </w:rPr>
        <w:t xml:space="preserve"> </w:t>
      </w:r>
      <w:r w:rsidRPr="00B424AD">
        <w:rPr>
          <w:rFonts w:ascii="Times New Roman" w:hAnsi="Times New Roman" w:cs="Times New Roman"/>
          <w:lang w:val="en-GB"/>
        </w:rPr>
        <w:t xml:space="preserve">and intraspecific polymorphism </w:t>
      </w:r>
      <w:r w:rsidR="00D71494">
        <w:rPr>
          <w:rFonts w:ascii="Times New Roman" w:hAnsi="Times New Roman" w:cs="Times New Roman"/>
          <w:lang w:val="en-GB"/>
        </w:rPr>
        <w:t xml:space="preserve">further </w:t>
      </w:r>
      <w:r w:rsidRPr="00B424AD">
        <w:rPr>
          <w:rFonts w:ascii="Times New Roman" w:hAnsi="Times New Roman" w:cs="Times New Roman"/>
          <w:lang w:val="en-GB"/>
        </w:rPr>
        <w:t>complicate</w:t>
      </w:r>
      <w:r w:rsidR="00D71494">
        <w:rPr>
          <w:rFonts w:ascii="Times New Roman" w:hAnsi="Times New Roman" w:cs="Times New Roman"/>
          <w:lang w:val="en-GB"/>
        </w:rPr>
        <w:t xml:space="preserve"> </w:t>
      </w:r>
      <w:r w:rsidR="00E6180B">
        <w:rPr>
          <w:rFonts w:ascii="Times New Roman" w:hAnsi="Times New Roman" w:cs="Times New Roman"/>
          <w:lang w:val="en-GB"/>
        </w:rPr>
        <w:t xml:space="preserve">even PCR amplification, and both </w:t>
      </w:r>
      <w:r w:rsidRPr="00B424AD">
        <w:rPr>
          <w:rFonts w:ascii="Times New Roman" w:hAnsi="Times New Roman" w:cs="Times New Roman"/>
          <w:lang w:val="en-GB"/>
        </w:rPr>
        <w:t>alignment-based and clustering-based analyses</w:t>
      </w:r>
      <w:r w:rsidR="00273221">
        <w:rPr>
          <w:rFonts w:ascii="Times New Roman" w:hAnsi="Times New Roman" w:cs="Times New Roman"/>
          <w:lang w:val="en-GB"/>
        </w:rPr>
        <w:t xml:space="preserve"> </w:t>
      </w:r>
      <w:r w:rsidR="00273221">
        <w:rPr>
          <w:rFonts w:ascii="Times New Roman" w:hAnsi="Times New Roman" w:cs="Times New Roman"/>
          <w:lang w:val="en-GB"/>
        </w:rPr>
        <w:fldChar w:fldCharType="begin">
          <w:fldData xml:space="preserve">PEVuZE5vdGU+PENpdGU+PEF1dGhvcj5OaWxzc29uPC9BdXRob3I+PFllYXI+MjAwODwvWWVhcj48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=
</w:fldData>
        </w:fldChar>
      </w:r>
      <w:r w:rsidR="001101E5">
        <w:rPr>
          <w:rFonts w:ascii="Times New Roman" w:hAnsi="Times New Roman" w:cs="Times New Roman"/>
          <w:lang w:val="en-GB"/>
        </w:rPr>
        <w:instrText xml:space="preserve"> ADDIN EN.CITE </w:instrText>
      </w:r>
      <w:r w:rsidR="001101E5">
        <w:rPr>
          <w:rFonts w:ascii="Times New Roman" w:hAnsi="Times New Roman" w:cs="Times New Roman"/>
          <w:lang w:val="en-GB"/>
        </w:rPr>
        <w:fldChar w:fldCharType="begin">
          <w:fldData xml:space="preserve">PEVuZE5vdGU+PENpdGU+PEF1dGhvcj5OaWxzc29uPC9BdXRob3I+PFllYXI+MjAwODwvWWVhcj48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=
</w:fldData>
        </w:fldChar>
      </w:r>
      <w:r w:rsidR="001101E5">
        <w:rPr>
          <w:rFonts w:ascii="Times New Roman" w:hAnsi="Times New Roman" w:cs="Times New Roman"/>
          <w:lang w:val="en-GB"/>
        </w:rPr>
        <w:instrText xml:space="preserve"> ADDIN EN.CITE.DATA </w:instrText>
      </w:r>
      <w:r w:rsidR="001101E5">
        <w:rPr>
          <w:rFonts w:ascii="Times New Roman" w:hAnsi="Times New Roman" w:cs="Times New Roman"/>
          <w:lang w:val="en-GB"/>
        </w:rPr>
      </w:r>
      <w:r w:rsidR="001101E5">
        <w:rPr>
          <w:rFonts w:ascii="Times New Roman" w:hAnsi="Times New Roman" w:cs="Times New Roman"/>
          <w:lang w:val="en-GB"/>
        </w:rPr>
        <w:fldChar w:fldCharType="end"/>
      </w:r>
      <w:r w:rsidR="00273221">
        <w:rPr>
          <w:rFonts w:ascii="Times New Roman" w:hAnsi="Times New Roman" w:cs="Times New Roman"/>
          <w:lang w:val="en-GB"/>
        </w:rPr>
      </w:r>
      <w:r w:rsidR="00273221">
        <w:rPr>
          <w:rFonts w:ascii="Times New Roman" w:hAnsi="Times New Roman" w:cs="Times New Roman"/>
          <w:lang w:val="en-GB"/>
        </w:rPr>
        <w:fldChar w:fldCharType="separate"/>
      </w:r>
      <w:r w:rsidR="001101E5" w:rsidRPr="001101E5">
        <w:rPr>
          <w:rFonts w:ascii="Times New Roman" w:hAnsi="Times New Roman" w:cs="Times New Roman"/>
          <w:noProof/>
          <w:sz w:val="20"/>
          <w:lang w:val="en-GB"/>
        </w:rPr>
        <w:t>[26-28]</w:t>
      </w:r>
      <w:r w:rsidR="00273221">
        <w:rPr>
          <w:rFonts w:ascii="Times New Roman" w:hAnsi="Times New Roman" w:cs="Times New Roman"/>
          <w:lang w:val="en-GB"/>
        </w:rPr>
        <w:fldChar w:fldCharType="end"/>
      </w:r>
      <w:r w:rsidRPr="00B424AD">
        <w:rPr>
          <w:rFonts w:ascii="Times New Roman" w:hAnsi="Times New Roman" w:cs="Times New Roman"/>
          <w:lang w:val="en-GB"/>
        </w:rPr>
        <w:t xml:space="preserve">. Long-read sequencing removes this constraint, enabling the use of extended marker regions — for example, the complete 18S–ITS–LSU amplicon spanning approximately 4,500–5,000 bp — that combine conserved anchoring elements with multiple variable domains and provide roughly an order of magnitude more phylogenetically informative sites than ITS2 alone </w:t>
      </w:r>
      <w:r w:rsidR="001A668F">
        <w:rPr>
          <w:rFonts w:ascii="Times New Roman" w:hAnsi="Times New Roman" w:cs="Times New Roman"/>
          <w:lang w:val="en-GB"/>
        </w:rPr>
        <w:fldChar w:fldCharType="begin">
          <w:fldData xml:space="preserve">PEVuZE5vdGU+PENpdGU+PEF1dGhvcj5CaXN0YTwvQXV0aG9yPjxZZWFyPjIwMjY8L1llYXI+PFJl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</w:fldData>
        </w:fldChar>
      </w:r>
      <w:r w:rsidR="001101E5">
        <w:rPr>
          <w:rFonts w:ascii="Times New Roman" w:hAnsi="Times New Roman" w:cs="Times New Roman"/>
          <w:lang w:val="en-GB"/>
        </w:rPr>
        <w:instrText xml:space="preserve"> ADDIN EN.CITE </w:instrText>
      </w:r>
      <w:r w:rsidR="001101E5">
        <w:rPr>
          <w:rFonts w:ascii="Times New Roman" w:hAnsi="Times New Roman" w:cs="Times New Roman"/>
          <w:lang w:val="en-GB"/>
        </w:rPr>
        <w:fldChar w:fldCharType="begin">
          <w:fldData xml:space="preserve">PEVuZE5vdGU+PENpdGU+PEF1dGhvcj5CaXN0YTwvQXV0aG9yPjxZZWFyPjIwMjY8L1llYXI+PFJl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</w:fldData>
        </w:fldChar>
      </w:r>
      <w:r w:rsidR="001101E5">
        <w:rPr>
          <w:rFonts w:ascii="Times New Roman" w:hAnsi="Times New Roman" w:cs="Times New Roman"/>
          <w:lang w:val="en-GB"/>
        </w:rPr>
        <w:instrText xml:space="preserve"> ADDIN EN.CITE.DATA </w:instrText>
      </w:r>
      <w:r w:rsidR="001101E5">
        <w:rPr>
          <w:rFonts w:ascii="Times New Roman" w:hAnsi="Times New Roman" w:cs="Times New Roman"/>
          <w:lang w:val="en-GB"/>
        </w:rPr>
      </w:r>
      <w:r w:rsidR="001101E5">
        <w:rPr>
          <w:rFonts w:ascii="Times New Roman" w:hAnsi="Times New Roman" w:cs="Times New Roman"/>
          <w:lang w:val="en-GB"/>
        </w:rPr>
        <w:fldChar w:fldCharType="end"/>
      </w:r>
      <w:r w:rsidR="001A668F">
        <w:rPr>
          <w:rFonts w:ascii="Times New Roman" w:hAnsi="Times New Roman" w:cs="Times New Roman"/>
          <w:lang w:val="en-GB"/>
        </w:rPr>
      </w:r>
      <w:r w:rsidR="001A668F">
        <w:rPr>
          <w:rFonts w:ascii="Times New Roman" w:hAnsi="Times New Roman" w:cs="Times New Roman"/>
          <w:lang w:val="en-GB"/>
        </w:rPr>
        <w:fldChar w:fldCharType="separate"/>
      </w:r>
      <w:r w:rsidR="001101E5" w:rsidRPr="001101E5">
        <w:rPr>
          <w:rFonts w:ascii="Times New Roman" w:hAnsi="Times New Roman" w:cs="Times New Roman"/>
          <w:noProof/>
          <w:sz w:val="20"/>
          <w:lang w:val="en-GB"/>
        </w:rPr>
        <w:t>[29-31]</w:t>
      </w:r>
      <w:r w:rsidR="001A668F">
        <w:rPr>
          <w:rFonts w:ascii="Times New Roman" w:hAnsi="Times New Roman" w:cs="Times New Roman"/>
          <w:lang w:val="en-GB"/>
        </w:rPr>
        <w:fldChar w:fldCharType="end"/>
      </w:r>
      <w:r w:rsidRPr="00B424AD">
        <w:rPr>
          <w:rFonts w:ascii="Times New Roman" w:hAnsi="Times New Roman" w:cs="Times New Roman"/>
          <w:lang w:val="en-GB"/>
        </w:rPr>
        <w:t>.</w:t>
      </w:r>
    </w:p>
    <w:p w14:paraId="2D292546" w14:textId="5AD270DF"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Yet despite simultaneous advances in sequencing accessibility and marker design, the bioinformatic infrastructure for long-read metabarcoding remains fragmented</w:t>
      </w:r>
      <w:r w:rsidR="003E4D06">
        <w:rPr>
          <w:rFonts w:ascii="Times New Roman" w:hAnsi="Times New Roman" w:cs="Times New Roman"/>
          <w:lang w:val="en-GB"/>
        </w:rPr>
        <w:t xml:space="preserve"> </w:t>
      </w:r>
      <w:r w:rsidR="003E4D06">
        <w:rPr>
          <w:rFonts w:ascii="Times New Roman" w:hAnsi="Times New Roman" w:cs="Times New Roman"/>
          <w:lang w:val="en-GB"/>
        </w:rPr>
        <w:fldChar w:fldCharType="begin"/>
      </w:r>
      <w:r w:rsidR="001101E5">
        <w:rPr>
          <w:rFonts w:ascii="Times New Roman" w:hAnsi="Times New Roman" w:cs="Times New Roman"/>
          <w:lang w:val="en-GB"/>
        </w:rPr>
        <w:instrText xml:space="preserve"> ADDIN EN.CITE &lt;EndNote&gt;&lt;Cite&gt;&lt;Author&gt;Mousavi‐Derazmahalleh&lt;/Author&gt;&lt;Year&gt;2021&lt;/Year&gt;&lt;RecNum&gt;38&lt;/RecNum&gt;&lt;DisplayText&gt;&lt;style size="10"&gt;[32]&lt;/style&gt;&lt;/DisplayText&gt;&lt;record&gt;&lt;rec-number&gt;38&lt;/rec-number&gt;&lt;foreign-keys&gt;&lt;key app="EN" db-id="a5ewd5adyz0t5pes20q5xvarvd2d0vvvt5zf" timestamp="1783595481"&gt;38&lt;/key&gt;&lt;/foreign-keys&gt;&lt;ref-type name="Journal Article"&gt;17&lt;/ref-type&gt;&lt;contributors&gt;&lt;authors&gt;&lt;author&gt;Mousavi‐Derazmahalleh, Mahsa&lt;/author&gt;&lt;author&gt;Stott, Audrey&lt;/author&gt;&lt;author&gt;Lines, Rose&lt;/author&gt;&lt;author&gt;Peverley, Georgia&lt;/author&gt;&lt;author&gt;Nester, Georgia&lt;/author&gt;&lt;author&gt;Simpson, Tiffany&lt;/author&gt;&lt;author&gt;Zawierta, Michal&lt;/author&gt;&lt;author&gt;De La Pierre, Marco&lt;/author&gt;&lt;author&gt;Bunce, Michael&lt;/author&gt;&lt;author&gt;Christophersen, Claus T&lt;/author&gt;&lt;/authors&gt;&lt;/contributors&gt;&lt;titles&gt;&lt;title&gt;eDNAFlow, an automated, reproducible and scalable workflow for analysis of environmental DNA sequences exploiting Nextflow and Singularity&lt;/title&gt;&lt;secondary-title&gt;Molecular Ecology Resources&lt;/secondary-title&gt;&lt;/titles&gt;&lt;periodical&gt;&lt;full-title&gt;Molecular Ecology Resources&lt;/full-title&gt;&lt;/periodical&gt;&lt;pages&gt;1697-1704&lt;/pages&gt;&lt;volume&gt;21&lt;/volume&gt;&lt;number&gt;5&lt;/number&gt;&lt;dates&gt;&lt;year&gt;2021&lt;/year&gt;&lt;/dates&gt;&lt;isbn&gt;1755-098X&lt;/isbn&gt;&lt;urls&gt;&lt;/urls&gt;&lt;/record&gt;&lt;/Cite&gt;&lt;/EndNote&gt;</w:instrText>
      </w:r>
      <w:r w:rsidR="003E4D06">
        <w:rPr>
          <w:rFonts w:ascii="Times New Roman" w:hAnsi="Times New Roman" w:cs="Times New Roman"/>
          <w:lang w:val="en-GB"/>
        </w:rPr>
        <w:fldChar w:fldCharType="separate"/>
      </w:r>
      <w:r w:rsidR="001101E5" w:rsidRPr="001101E5">
        <w:rPr>
          <w:rFonts w:ascii="Times New Roman" w:hAnsi="Times New Roman" w:cs="Times New Roman"/>
          <w:noProof/>
          <w:sz w:val="20"/>
          <w:lang w:val="en-GB"/>
        </w:rPr>
        <w:t>[32]</w:t>
      </w:r>
      <w:r w:rsidR="003E4D06">
        <w:rPr>
          <w:rFonts w:ascii="Times New Roman" w:hAnsi="Times New Roman" w:cs="Times New Roman"/>
          <w:lang w:val="en-GB"/>
        </w:rPr>
        <w:fldChar w:fldCharType="end"/>
      </w:r>
      <w:r w:rsidRPr="00B424AD">
        <w:rPr>
          <w:rFonts w:ascii="Times New Roman" w:hAnsi="Times New Roman" w:cs="Times New Roman"/>
          <w:lang w:val="en-GB"/>
        </w:rPr>
        <w:t>. Existing workflows such as Nextflow-based pipelines</w:t>
      </w:r>
      <w:r w:rsidR="0053723C">
        <w:rPr>
          <w:rFonts w:ascii="Times New Roman" w:hAnsi="Times New Roman" w:cs="Times New Roman"/>
          <w:lang w:val="en-GB"/>
        </w:rPr>
        <w:t xml:space="preserve"> </w:t>
      </w:r>
      <w:r w:rsidR="0053723C">
        <w:rPr>
          <w:rFonts w:ascii="Times New Roman" w:hAnsi="Times New Roman" w:cs="Times New Roman"/>
          <w:lang w:val="en-GB"/>
        </w:rPr>
        <w:fldChar w:fldCharType="begin"/>
      </w:r>
      <w:r w:rsidR="001101E5">
        <w:rPr>
          <w:rFonts w:ascii="Times New Roman" w:hAnsi="Times New Roman" w:cs="Times New Roman"/>
          <w:lang w:val="en-GB"/>
        </w:rPr>
        <w:instrText xml:space="preserve"> ADDIN EN.CITE &lt;EndNote&gt;&lt;Cite&gt;&lt;Author&gt;Ewels&lt;/Author&gt;&lt;Year&gt;2020&lt;/Year&gt;&lt;RecNum&gt;35&lt;/RecNum&gt;&lt;DisplayText&gt;&lt;style size="10"&gt;[33]&lt;/style&gt;&lt;/DisplayText&gt;&lt;record&gt;&lt;rec-number&gt;35&lt;/rec-number&gt;&lt;foreign-keys&gt;&lt;key app="EN" db-id="a5ewd5adyz0t5pes20q5xvarvd2d0vvvt5zf" timestamp="1783594485"&gt;35&lt;/key&gt;&lt;/foreign-keys&gt;&lt;ref-type name="Journal Article"&gt;17&lt;/ref-type&gt;&lt;contributors&gt;&lt;authors&gt;&lt;author&gt;Ewels, Philip A&lt;/author&gt;&lt;author&gt;Peltzer, Alexander&lt;/author&gt;&lt;author&gt;Fillinger, Sven&lt;/author&gt;&lt;author&gt;Patel, Harshil&lt;/author&gt;&lt;author&gt;Alneberg, Johannes&lt;/author&gt;&lt;author&gt;Wilm, Andreas&lt;/author&gt;&lt;author&gt;Garcia, Maxime Ulysse&lt;/author&gt;&lt;author&gt;Di Tommaso, Paolo&lt;/author&gt;&lt;author&gt;Nahnsen, Sven&lt;/author&gt;&lt;/authors&gt;&lt;/contributors&gt;&lt;titles&gt;&lt;title&gt;The nf-core framework for community-curated bioinformatics pipelines&lt;/title&gt;&lt;secondary-title&gt;Nature biotechnology&lt;/secondary-title&gt;&lt;/titles&gt;&lt;periodical&gt;&lt;full-title&gt;Nature biotechnology&lt;/full-title&gt;&lt;/periodical&gt;&lt;pages&gt;276-278&lt;/pages&gt;&lt;volume&gt;38&lt;/volume&gt;&lt;number&gt;3&lt;/number&gt;&lt;dates&gt;&lt;year&gt;2020&lt;/year&gt;&lt;/dates&gt;&lt;isbn&gt;1087-0156&lt;/isbn&gt;&lt;urls&gt;&lt;/urls&gt;&lt;/record&gt;&lt;/Cite&gt;&lt;/EndNote&gt;</w:instrText>
      </w:r>
      <w:r w:rsidR="0053723C">
        <w:rPr>
          <w:rFonts w:ascii="Times New Roman" w:hAnsi="Times New Roman" w:cs="Times New Roman"/>
          <w:lang w:val="en-GB"/>
        </w:rPr>
        <w:fldChar w:fldCharType="separate"/>
      </w:r>
      <w:r w:rsidR="001101E5" w:rsidRPr="001101E5">
        <w:rPr>
          <w:rFonts w:ascii="Times New Roman" w:hAnsi="Times New Roman" w:cs="Times New Roman"/>
          <w:noProof/>
          <w:sz w:val="20"/>
          <w:lang w:val="en-GB"/>
        </w:rPr>
        <w:t>[33]</w:t>
      </w:r>
      <w:r w:rsidR="0053723C">
        <w:rPr>
          <w:rFonts w:ascii="Times New Roman" w:hAnsi="Times New Roman" w:cs="Times New Roman"/>
          <w:lang w:val="en-GB"/>
        </w:rPr>
        <w:fldChar w:fldCharType="end"/>
      </w:r>
      <w:r w:rsidRPr="00B424AD">
        <w:rPr>
          <w:rFonts w:ascii="Times New Roman" w:hAnsi="Times New Roman" w:cs="Times New Roman"/>
          <w:lang w:val="en-GB"/>
        </w:rPr>
        <w:t xml:space="preserve"> and the EPI2ME wf-16s workflow (Oxford Nanopore Technologies) require intermediate-to-advanced command-line proficiency, familiarity with containerisation technologies, and significant time investment for initial configuration — </w:t>
      </w:r>
      <w:r w:rsidRPr="009071F6">
        <w:rPr>
          <w:rFonts w:ascii="Times New Roman" w:hAnsi="Times New Roman" w:cs="Times New Roman"/>
          <w:lang w:val="en-GB"/>
        </w:rPr>
        <w:t xml:space="preserve">typically two to four hours for experienced users and considerably </w:t>
      </w:r>
      <w:r w:rsidR="009071F6" w:rsidRPr="009071F6">
        <w:rPr>
          <w:rFonts w:ascii="Times New Roman" w:hAnsi="Times New Roman" w:cs="Times New Roman"/>
          <w:lang w:val="en-GB"/>
        </w:rPr>
        <w:t>more</w:t>
      </w:r>
      <w:r w:rsidRPr="009071F6">
        <w:rPr>
          <w:rFonts w:ascii="Times New Roman" w:hAnsi="Times New Roman" w:cs="Times New Roman"/>
          <w:lang w:val="en-GB"/>
        </w:rPr>
        <w:t xml:space="preserve"> for novices</w:t>
      </w:r>
      <w:r w:rsidR="00C45A3C">
        <w:rPr>
          <w:rFonts w:ascii="Times New Roman" w:hAnsi="Times New Roman" w:cs="Times New Roman"/>
          <w:lang w:val="en-GB"/>
        </w:rPr>
        <w:t xml:space="preserve"> </w:t>
      </w:r>
      <w:r w:rsidR="00C45A3C">
        <w:rPr>
          <w:rFonts w:ascii="Times New Roman" w:hAnsi="Times New Roman" w:cs="Times New Roman"/>
          <w:lang w:val="en-GB"/>
        </w:rPr>
        <w:fldChar w:fldCharType="begin"/>
      </w:r>
      <w:r w:rsidR="001101E5">
        <w:rPr>
          <w:rFonts w:ascii="Times New Roman" w:hAnsi="Times New Roman" w:cs="Times New Roman"/>
          <w:lang w:val="en-GB"/>
        </w:rPr>
        <w:instrText xml:space="preserve"> ADDIN EN.CITE &lt;EndNote&gt;&lt;Cite&gt;&lt;Author&gt;Wratten&lt;/Author&gt;&lt;Year&gt;2021&lt;/Year&gt;&lt;RecNum&gt;36&lt;/RecNum&gt;&lt;DisplayText&gt;&lt;style size="10"&gt;[34]&lt;/style&gt;&lt;/DisplayText&gt;&lt;record&gt;&lt;rec-number&gt;36&lt;/rec-number&gt;&lt;foreign-keys&gt;&lt;key app="EN" db-id="a5ewd5adyz0t5pes20q5xvarvd2d0vvvt5zf" timestamp="1783594872"&gt;36&lt;/key&gt;&lt;/foreign-keys&gt;&lt;ref-type name="Journal Article"&gt;17&lt;/ref-type&gt;&lt;contributors&gt;&lt;authors&gt;&lt;author&gt;Wratten, Laura&lt;/author&gt;&lt;author&gt;Wilm, Andreas&lt;/author&gt;&lt;author&gt;Göke, Jonathan&lt;/author&gt;&lt;/authors&gt;&lt;/contributors&gt;&lt;titles&gt;&lt;title&gt;Reproducible, scalable, and shareable analysis pipelines with bioinformatics workflow managers&lt;/title&gt;&lt;secondary-title&gt;Nature methods&lt;/secondary-title&gt;&lt;/titles&gt;&lt;periodical&gt;&lt;full-title&gt;Nature methods&lt;/full-title&gt;&lt;/periodical&gt;&lt;pages&gt;1161-1168&lt;/pages&gt;&lt;volume&gt;18&lt;/volume&gt;&lt;number&gt;10&lt;/number&gt;&lt;dates&gt;&lt;year&gt;2021&lt;/year&gt;&lt;/dates&gt;&lt;isbn&gt;1548-7091&lt;/isbn&gt;&lt;urls&gt;&lt;/urls&gt;&lt;/record&gt;&lt;/Cite&gt;&lt;/EndNote&gt;</w:instrText>
      </w:r>
      <w:r w:rsidR="00C45A3C">
        <w:rPr>
          <w:rFonts w:ascii="Times New Roman" w:hAnsi="Times New Roman" w:cs="Times New Roman"/>
          <w:lang w:val="en-GB"/>
        </w:rPr>
        <w:fldChar w:fldCharType="separate"/>
      </w:r>
      <w:r w:rsidR="001101E5" w:rsidRPr="001101E5">
        <w:rPr>
          <w:rFonts w:ascii="Times New Roman" w:hAnsi="Times New Roman" w:cs="Times New Roman"/>
          <w:noProof/>
          <w:sz w:val="20"/>
          <w:lang w:val="en-GB"/>
        </w:rPr>
        <w:t>[34]</w:t>
      </w:r>
      <w:r w:rsidR="00C45A3C">
        <w:rPr>
          <w:rFonts w:ascii="Times New Roman" w:hAnsi="Times New Roman" w:cs="Times New Roman"/>
          <w:lang w:val="en-GB"/>
        </w:rPr>
        <w:fldChar w:fldCharType="end"/>
      </w:r>
      <w:r w:rsidRPr="00B424AD">
        <w:rPr>
          <w:rFonts w:ascii="Times New Roman" w:hAnsi="Times New Roman" w:cs="Times New Roman"/>
          <w:lang w:val="en-GB"/>
        </w:rPr>
        <w:t xml:space="preserve">. Web-based alternatives such as Galaxy </w:t>
      </w:r>
      <w:r w:rsidR="00C45A3C">
        <w:rPr>
          <w:rFonts w:ascii="Times New Roman" w:hAnsi="Times New Roman" w:cs="Times New Roman"/>
          <w:lang w:val="en-GB"/>
        </w:rPr>
        <w:fldChar w:fldCharType="begin"/>
      </w:r>
      <w:r w:rsidR="001101E5">
        <w:rPr>
          <w:rFonts w:ascii="Times New Roman" w:hAnsi="Times New Roman" w:cs="Times New Roman"/>
          <w:lang w:val="en-GB"/>
        </w:rPr>
        <w:instrText xml:space="preserve"> ADDIN EN.CITE &lt;EndNote&gt;&lt;Cite&gt;&lt;Year&gt;2022&lt;/Year&gt;&lt;RecNum&gt;37&lt;/RecNum&gt;&lt;DisplayText&gt;&lt;style size="10"&gt;[35]&lt;/style&gt;&lt;/DisplayText&gt;&lt;record&gt;&lt;rec-number&gt;37&lt;/rec-number&gt;&lt;foreign-keys&gt;&lt;key app="EN" db-id="a5ewd5adyz0t5pes20q5xvarvd2d0vvvt5zf" timestamp="1783595060"&gt;37&lt;/key&gt;&lt;/foreign-keys&gt;&lt;ref-type name="Journal Article"&gt;17&lt;/ref-type&gt;&lt;contributors&gt;&lt;/contributors&gt;&lt;titles&gt;&lt;title&gt;The Galaxy platform for accessible, reproducible and collaborative biomedical analyses: 2022 update&lt;/title&gt;&lt;secondary-title&gt;Nucleic acids research&lt;/secondary-title&gt;&lt;/titles&gt;&lt;periodical&gt;&lt;full-title&gt;Nucleic acids research&lt;/full-title&gt;&lt;/periodical&gt;&lt;pages&gt;W345-W351&lt;/pages&gt;&lt;volume&gt;50&lt;/volume&gt;&lt;number&gt;W1&lt;/number&gt;&lt;dates&gt;&lt;year&gt;2022&lt;/year&gt;&lt;/dates&gt;&lt;isbn&gt;0305-1048&lt;/isbn&gt;&lt;urls&gt;&lt;/urls&gt;&lt;/record&gt;&lt;/Cite&gt;&lt;/EndNote&gt;</w:instrText>
      </w:r>
      <w:r w:rsidR="00C45A3C">
        <w:rPr>
          <w:rFonts w:ascii="Times New Roman" w:hAnsi="Times New Roman" w:cs="Times New Roman"/>
          <w:lang w:val="en-GB"/>
        </w:rPr>
        <w:fldChar w:fldCharType="separate"/>
      </w:r>
      <w:r w:rsidR="001101E5" w:rsidRPr="001101E5">
        <w:rPr>
          <w:rFonts w:ascii="Times New Roman" w:hAnsi="Times New Roman" w:cs="Times New Roman"/>
          <w:noProof/>
          <w:sz w:val="20"/>
          <w:lang w:val="en-GB"/>
        </w:rPr>
        <w:t>[35]</w:t>
      </w:r>
      <w:r w:rsidR="00C45A3C">
        <w:rPr>
          <w:rFonts w:ascii="Times New Roman" w:hAnsi="Times New Roman" w:cs="Times New Roman"/>
          <w:lang w:val="en-GB"/>
        </w:rPr>
        <w:fldChar w:fldCharType="end"/>
      </w:r>
      <w:r w:rsidRPr="00B424AD">
        <w:rPr>
          <w:rFonts w:ascii="Times New Roman" w:hAnsi="Times New Roman" w:cs="Times New Roman"/>
          <w:lang w:val="en-GB"/>
        </w:rPr>
        <w:t xml:space="preserve"> alleviate the interface problem but introduce dependencies on internet connectivity and institutional server infrastructure.</w:t>
      </w:r>
      <w:r w:rsidR="00E06AC7">
        <w:rPr>
          <w:rFonts w:ascii="Times New Roman" w:hAnsi="Times New Roman" w:cs="Times New Roman"/>
          <w:lang w:val="en-GB"/>
        </w:rPr>
        <w:t xml:space="preserve"> Few</w:t>
      </w:r>
      <w:r w:rsidRPr="00B424AD">
        <w:rPr>
          <w:rFonts w:ascii="Times New Roman" w:hAnsi="Times New Roman" w:cs="Times New Roman"/>
          <w:lang w:val="en-GB"/>
        </w:rPr>
        <w:t xml:space="preserve"> currently available tool</w:t>
      </w:r>
      <w:r w:rsidR="00E06AC7">
        <w:rPr>
          <w:rFonts w:ascii="Times New Roman" w:hAnsi="Times New Roman" w:cs="Times New Roman"/>
          <w:lang w:val="en-GB"/>
        </w:rPr>
        <w:t>s</w:t>
      </w:r>
      <w:r w:rsidRPr="00B424AD">
        <w:rPr>
          <w:rFonts w:ascii="Times New Roman" w:hAnsi="Times New Roman" w:cs="Times New Roman"/>
          <w:lang w:val="en-GB"/>
        </w:rPr>
        <w:t xml:space="preserve"> combine a native graphical interface operable across </w:t>
      </w:r>
      <w:r w:rsidRPr="00B424AD">
        <w:rPr>
          <w:rFonts w:ascii="Times New Roman" w:hAnsi="Times New Roman" w:cs="Times New Roman"/>
          <w:lang w:val="en-GB"/>
        </w:rPr>
        <w:lastRenderedPageBreak/>
        <w:t>platforms</w:t>
      </w:r>
      <w:r w:rsidR="00E06AC7">
        <w:rPr>
          <w:rFonts w:ascii="Times New Roman" w:hAnsi="Times New Roman" w:cs="Times New Roman"/>
          <w:lang w:val="en-GB"/>
        </w:rPr>
        <w:t xml:space="preserve"> </w:t>
      </w:r>
      <w:r w:rsidR="00E06AC7">
        <w:rPr>
          <w:rFonts w:ascii="Times New Roman" w:hAnsi="Times New Roman" w:cs="Times New Roman"/>
          <w:lang w:val="en-GB"/>
        </w:rPr>
        <w:fldChar w:fldCharType="begin"/>
      </w:r>
      <w:r w:rsidR="00E06AC7">
        <w:rPr>
          <w:rFonts w:ascii="Times New Roman" w:hAnsi="Times New Roman" w:cs="Times New Roman"/>
          <w:lang w:val="en-GB"/>
        </w:rPr>
        <w:instrText xml:space="preserve"> ADDIN EN.CITE &lt;EndNote&gt;&lt;Cite&gt;&lt;Author&gt;Macher&lt;/Author&gt;&lt;Year&gt;2021&lt;/Year&gt;&lt;RecNum&gt;41&lt;/RecNum&gt;&lt;DisplayText&gt;&lt;style size="10"&gt;[36,37]&lt;/style&gt;&lt;/DisplayText&gt;&lt;record&gt;&lt;rec-number&gt;41&lt;/rec-number&gt;&lt;foreign-keys&gt;&lt;key app="EN" db-id="a5ewd5adyz0t5pes20q5xvarvd2d0vvvt5zf" timestamp="1783600647"&gt;41&lt;/key&gt;&lt;/foreign-keys&gt;&lt;ref-type name="Journal Article"&gt;17&lt;/ref-type&gt;&lt;contributors&gt;&lt;authors&gt;&lt;author&gt;Macher, Till‐Hendrik&lt;/author&gt;&lt;author&gt;Beermann, Arne J&lt;/author&gt;&lt;author&gt;Leese, Florian&lt;/author&gt;&lt;/authors&gt;&lt;/contributors&gt;&lt;titles&gt;&lt;title&gt;TaxonTableTools: A comprehensive, platform‐independent graphical user interface software to explore and visualise DNA metabarcoding data&lt;/title&gt;&lt;secondary-title&gt;Molecular Ecology Resources&lt;/secondary-title&gt;&lt;/titles&gt;&lt;periodical&gt;&lt;full-title&gt;Molecular Ecology Resources&lt;/full-title&gt;&lt;/periodical&gt;&lt;pages&gt;1705-1714&lt;/pages&gt;&lt;volume&gt;21&lt;/volume&gt;&lt;number&gt;5&lt;/number&gt;&lt;dates&gt;&lt;year&gt;2021&lt;/year&gt;&lt;/dates&gt;&lt;isbn&gt;1755-098X&lt;/isbn&gt;&lt;urls&gt;&lt;/urls&gt;&lt;/record&gt;&lt;/Cite&gt;&lt;Cite&gt;&lt;Author&gt;Vasar&lt;/Author&gt;&lt;Year&gt;2021&lt;/Year&gt;&lt;RecNum&gt;40&lt;/RecNum&gt;&lt;record&gt;&lt;rec-number&gt;40&lt;/rec-number&gt;&lt;foreign-keys&gt;&lt;key app="EN" db-id="a5ewd5adyz0t5pes20q5xvarvd2d0vvvt5zf" timestamp="1783600640"&gt;40&lt;/key&gt;&lt;/foreign-keys&gt;&lt;ref-type name="Journal Article"&gt;17&lt;/ref-type&gt;&lt;contributors&gt;&lt;authors&gt;&lt;author&gt;Vasar, Martti&lt;/author&gt;&lt;author&gt;Davison, John&lt;/author&gt;&lt;author&gt;Neuenkamp, Lena&lt;/author&gt;&lt;author&gt;Sepp, Siim‐Kaarel&lt;/author&gt;&lt;author&gt;Young, J Peter W&lt;/author&gt;&lt;author&gt;Moora, Mari&lt;/author&gt;&lt;author&gt;Öpik, Maarja&lt;/author&gt;&lt;/authors&gt;&lt;/contributors&gt;&lt;titles&gt;&lt;title&gt;User‐friendly bioinformatics pipeline gDAT (graphical downstream analysis tool) for analysing rDNA sequences&lt;/title&gt;&lt;secondary-title&gt;Molecular Ecology Resources&lt;/secondary-title&gt;&lt;/titles&gt;&lt;periodical&gt;&lt;full-title&gt;Molecular Ecology Resources&lt;/full-title&gt;&lt;/periodical&gt;&lt;pages&gt;1380-1392&lt;/pages&gt;&lt;volume&gt;21&lt;/volume&gt;&lt;number&gt;4&lt;/number&gt;&lt;dates&gt;&lt;year&gt;2021&lt;/year&gt;&lt;/dates&gt;&lt;isbn&gt;1755-098X&lt;/isbn&gt;&lt;urls&gt;&lt;/urls&gt;&lt;/record&gt;&lt;/Cite&gt;&lt;/EndNote&gt;</w:instrText>
      </w:r>
      <w:r w:rsidR="00E06AC7">
        <w:rPr>
          <w:rFonts w:ascii="Times New Roman" w:hAnsi="Times New Roman" w:cs="Times New Roman"/>
          <w:lang w:val="en-GB"/>
        </w:rPr>
        <w:fldChar w:fldCharType="separate"/>
      </w:r>
      <w:r w:rsidR="00E06AC7" w:rsidRPr="00E06AC7">
        <w:rPr>
          <w:rFonts w:ascii="Times New Roman" w:hAnsi="Times New Roman" w:cs="Times New Roman"/>
          <w:noProof/>
          <w:sz w:val="20"/>
          <w:lang w:val="en-GB"/>
        </w:rPr>
        <w:t>[36,37]</w:t>
      </w:r>
      <w:r w:rsidR="00E06AC7">
        <w:rPr>
          <w:rFonts w:ascii="Times New Roman" w:hAnsi="Times New Roman" w:cs="Times New Roman"/>
          <w:lang w:val="en-GB"/>
        </w:rPr>
        <w:fldChar w:fldCharType="end"/>
      </w:r>
      <w:r w:rsidRPr="00B424AD">
        <w:rPr>
          <w:rFonts w:ascii="Times New Roman" w:hAnsi="Times New Roman" w:cs="Times New Roman"/>
          <w:lang w:val="en-GB"/>
        </w:rPr>
        <w:t>,</w:t>
      </w:r>
      <w:r w:rsidR="00E06AC7">
        <w:rPr>
          <w:rFonts w:ascii="Times New Roman" w:hAnsi="Times New Roman" w:cs="Times New Roman"/>
          <w:lang w:val="en-GB"/>
        </w:rPr>
        <w:t xml:space="preserve"> but none of them give</w:t>
      </w:r>
      <w:r w:rsidRPr="00B424AD">
        <w:rPr>
          <w:rFonts w:ascii="Times New Roman" w:hAnsi="Times New Roman" w:cs="Times New Roman"/>
          <w:lang w:val="en-GB"/>
        </w:rPr>
        <w:t xml:space="preserve"> direct support for multiple ONT amplicon marker types including ultra-long ITS, integration of curated reference databases, and computational performance competitive with specialist workflows on standard consumer hardware.</w:t>
      </w:r>
    </w:p>
    <w:p w14:paraId="1E87B05E" w14:textId="7A0635A5" w:rsidR="00B424AD" w:rsidRPr="00B424AD" w:rsidRDefault="00B424AD" w:rsidP="00B32CBD">
      <w:pPr>
        <w:spacing w:before="80" w:after="80" w:line="276" w:lineRule="auto"/>
        <w:jc w:val="both"/>
        <w:rPr>
          <w:rFonts w:ascii="Times New Roman" w:hAnsi="Times New Roman" w:cs="Times New Roman"/>
          <w:lang w:val="en-GB"/>
        </w:rPr>
      </w:pPr>
      <w:r w:rsidRPr="00B424AD">
        <w:rPr>
          <w:rFonts w:ascii="Times New Roman" w:hAnsi="Times New Roman" w:cs="Times New Roman"/>
          <w:lang w:val="en-GB"/>
        </w:rPr>
        <w:t xml:space="preserve">Here we present LOREON (Long-Read ONT metabarcoding pipeline), an open-source, cross-platform application that addresses </w:t>
      </w:r>
      <w:r w:rsidR="00105220">
        <w:rPr>
          <w:rFonts w:ascii="Times New Roman" w:hAnsi="Times New Roman" w:cs="Times New Roman"/>
          <w:lang w:val="en-GB"/>
        </w:rPr>
        <w:t>the above listed</w:t>
      </w:r>
      <w:r w:rsidRPr="00B424AD">
        <w:rPr>
          <w:rFonts w:ascii="Times New Roman" w:hAnsi="Times New Roman" w:cs="Times New Roman"/>
          <w:lang w:val="en-GB"/>
        </w:rPr>
        <w:t xml:space="preserve"> requirements. LOREON integrates </w:t>
      </w:r>
      <w:r w:rsidRPr="00225F00">
        <w:rPr>
          <w:rFonts w:ascii="Times New Roman" w:hAnsi="Times New Roman" w:cs="Times New Roman"/>
          <w:i/>
          <w:iCs/>
          <w:lang w:val="en-GB"/>
        </w:rPr>
        <w:t>minimap2</w:t>
      </w:r>
      <w:r w:rsidRPr="00B424AD">
        <w:rPr>
          <w:rFonts w:ascii="Times New Roman" w:hAnsi="Times New Roman" w:cs="Times New Roman"/>
          <w:lang w:val="en-GB"/>
        </w:rPr>
        <w:t xml:space="preserve"> </w:t>
      </w:r>
      <w:r w:rsidR="009B704B">
        <w:rPr>
          <w:rFonts w:ascii="Times New Roman" w:hAnsi="Times New Roman" w:cs="Times New Roman"/>
          <w:lang w:val="en-GB"/>
        </w:rPr>
        <w:fldChar w:fldCharType="begin"/>
      </w:r>
      <w:r w:rsidR="009B704B">
        <w:rPr>
          <w:rFonts w:ascii="Times New Roman" w:hAnsi="Times New Roman" w:cs="Times New Roman"/>
          <w:lang w:val="en-GB"/>
        </w:rPr>
        <w:instrText xml:space="preserve"> ADDIN EN.CITE &lt;EndNote&gt;&lt;Cite&gt;&lt;Author&gt;Li&lt;/Author&gt;&lt;Year&gt;2018&lt;/Year&gt;&lt;RecNum&gt;17&lt;/RecNum&gt;&lt;DisplayText&gt;&lt;style size="10"&gt;[15]&lt;/style&gt;&lt;/DisplayText&gt;&lt;record&gt;&lt;rec-number&gt;17&lt;/rec-number&gt;&lt;foreign-keys&gt;&lt;key app="EN" db-id="a5ewd5adyz0t5pes20q5xvarvd2d0vvvt5zf" timestamp="1782910796"&gt;17&lt;/key&gt;&lt;/foreign-keys&gt;&lt;ref-type name="Journal Article"&gt;17&lt;/ref-type&gt;&lt;contributors&gt;&lt;authors&gt;&lt;author&gt;Li, Heng&lt;/author&gt;&lt;/authors&gt;&lt;/contributors&gt;&lt;titles&gt;&lt;title&gt;Minimap2: pairwise alignment for nucleotide sequences&lt;/title&gt;&lt;secondary-title&gt;Bioinformatics&lt;/secondary-title&gt;&lt;/titles&gt;&lt;periodical&gt;&lt;full-title&gt;Bioinformatics&lt;/full-title&gt;&lt;/periodical&gt;&lt;pages&gt;3094-3100&lt;/pages&gt;&lt;volume&gt;34&lt;/volume&gt;&lt;number&gt;18&lt;/number&gt;&lt;dates&gt;&lt;year&gt;2018&lt;/year&gt;&lt;/dates&gt;&lt;isbn&gt;1367-4803&lt;/isbn&gt;&lt;urls&gt;&lt;/urls&gt;&lt;/record&gt;&lt;/Cite&gt;&lt;/EndNote&gt;</w:instrText>
      </w:r>
      <w:r w:rsidR="009B704B">
        <w:rPr>
          <w:rFonts w:ascii="Times New Roman" w:hAnsi="Times New Roman" w:cs="Times New Roman"/>
          <w:lang w:val="en-GB"/>
        </w:rPr>
        <w:fldChar w:fldCharType="separate"/>
      </w:r>
      <w:r w:rsidR="009B704B" w:rsidRPr="009B704B">
        <w:rPr>
          <w:rFonts w:ascii="Times New Roman" w:hAnsi="Times New Roman" w:cs="Times New Roman"/>
          <w:noProof/>
          <w:sz w:val="20"/>
          <w:lang w:val="en-GB"/>
        </w:rPr>
        <w:t>[15]</w:t>
      </w:r>
      <w:r w:rsidR="009B704B">
        <w:rPr>
          <w:rFonts w:ascii="Times New Roman" w:hAnsi="Times New Roman" w:cs="Times New Roman"/>
          <w:lang w:val="en-GB"/>
        </w:rPr>
        <w:fldChar w:fldCharType="end"/>
      </w:r>
      <w:r w:rsidRPr="00B424AD">
        <w:rPr>
          <w:rFonts w:ascii="Times New Roman" w:hAnsi="Times New Roman" w:cs="Times New Roman"/>
          <w:lang w:val="en-GB"/>
        </w:rPr>
        <w:t xml:space="preserve"> and SAMtools</w:t>
      </w:r>
      <w:r w:rsidR="009B704B">
        <w:rPr>
          <w:rFonts w:ascii="Times New Roman" w:hAnsi="Times New Roman" w:cs="Times New Roman"/>
          <w:lang w:val="en-GB"/>
        </w:rPr>
        <w:t xml:space="preserve"> </w:t>
      </w:r>
      <w:r w:rsidR="009B704B">
        <w:rPr>
          <w:rFonts w:ascii="Times New Roman" w:hAnsi="Times New Roman" w:cs="Times New Roman"/>
          <w:lang w:val="en-GB"/>
        </w:rPr>
        <w:fldChar w:fldCharType="begin"/>
      </w:r>
      <w:r w:rsidR="009B704B">
        <w:rPr>
          <w:rFonts w:ascii="Times New Roman" w:hAnsi="Times New Roman" w:cs="Times New Roman"/>
          <w:lang w:val="en-GB"/>
        </w:rPr>
        <w:instrText xml:space="preserve"> ADDIN EN.CITE &lt;EndNote&gt;&lt;Cite&gt;&lt;Author&gt;Li&lt;/Author&gt;&lt;Year&gt;2009&lt;/Year&gt;&lt;RecNum&gt;43&lt;/RecNum&gt;&lt;DisplayText&gt;&lt;style size="10"&gt;[38]&lt;/style&gt;&lt;/DisplayText&gt;&lt;record&gt;&lt;rec-number&gt;43&lt;/rec-number&gt;&lt;foreign-keys&gt;&lt;key app="EN" db-id="a5ewd5adyz0t5pes20q5xvarvd2d0vvvt5zf" timestamp="1783600861"&gt;43&lt;/key&gt;&lt;/foreign-keys&gt;&lt;ref-type name="Journal Article"&gt;17&lt;/ref-type&gt;&lt;contributors&gt;&lt;authors&gt;&lt;author&gt;Li, Heng&lt;/author&gt;&lt;author&gt;Handsaker, Bob&lt;/author&gt;&lt;author&gt;Wysoker, Alec&lt;/author&gt;&lt;author&gt;Fennell, Tim&lt;/author&gt;&lt;author&gt;Ruan, Jue&lt;/author&gt;&lt;author&gt;Homer, Nils&lt;/author&gt;&lt;author&gt;Marth, Gabor&lt;/author&gt;&lt;author&gt;Abecasis, Goncalo&lt;/author&gt;&lt;author&gt;Durbin, Richard&lt;/author&gt;&lt;author&gt;Genome Project Data Processing Subgroup&lt;/author&gt;&lt;/authors&gt;&lt;/contributors&gt;&lt;titles&gt;&lt;title&gt;The sequence alignment/map format and SAMtools&lt;/title&gt;&lt;secondary-title&gt;bioinformatics&lt;/secondary-title&gt;&lt;/titles&gt;&lt;periodical&gt;&lt;full-title&gt;Bioinformatics&lt;/full-title&gt;&lt;/periodical&gt;&lt;pages&gt;2078-2079&lt;/pages&gt;&lt;volume&gt;25&lt;/volume&gt;&lt;number&gt;16&lt;/number&gt;&lt;dates&gt;&lt;year&gt;2009&lt;/year&gt;&lt;/dates&gt;&lt;isbn&gt;1367-4811&lt;/isbn&gt;&lt;urls&gt;&lt;/urls&gt;&lt;/record&gt;&lt;/Cite&gt;&lt;/EndNote&gt;</w:instrText>
      </w:r>
      <w:r w:rsidR="009B704B">
        <w:rPr>
          <w:rFonts w:ascii="Times New Roman" w:hAnsi="Times New Roman" w:cs="Times New Roman"/>
          <w:lang w:val="en-GB"/>
        </w:rPr>
        <w:fldChar w:fldCharType="separate"/>
      </w:r>
      <w:r w:rsidR="009B704B" w:rsidRPr="009B704B">
        <w:rPr>
          <w:rFonts w:ascii="Times New Roman" w:hAnsi="Times New Roman" w:cs="Times New Roman"/>
          <w:noProof/>
          <w:sz w:val="20"/>
          <w:lang w:val="en-GB"/>
        </w:rPr>
        <w:t>[38]</w:t>
      </w:r>
      <w:r w:rsidR="009B704B">
        <w:rPr>
          <w:rFonts w:ascii="Times New Roman" w:hAnsi="Times New Roman" w:cs="Times New Roman"/>
          <w:lang w:val="en-GB"/>
        </w:rPr>
        <w:fldChar w:fldCharType="end"/>
      </w:r>
      <w:r w:rsidR="009B704B">
        <w:rPr>
          <w:rFonts w:ascii="Times New Roman" w:hAnsi="Times New Roman" w:cs="Times New Roman"/>
          <w:lang w:val="en-GB"/>
        </w:rPr>
        <w:t xml:space="preserve"> </w:t>
      </w:r>
      <w:r w:rsidRPr="00B424AD">
        <w:rPr>
          <w:rFonts w:ascii="Times New Roman" w:hAnsi="Times New Roman" w:cs="Times New Roman"/>
          <w:lang w:val="en-GB"/>
        </w:rPr>
        <w:t>within a graphical interface requiring no command-line interaction, supports multiple marker strategies and reference databases including UNITE</w:t>
      </w:r>
      <w:r w:rsidR="008642C7">
        <w:rPr>
          <w:rFonts w:ascii="Times New Roman" w:hAnsi="Times New Roman" w:cs="Times New Roman"/>
          <w:lang w:val="en-GB"/>
        </w:rPr>
        <w:t xml:space="preserve"> </w:t>
      </w:r>
      <w:r w:rsidR="008642C7">
        <w:rPr>
          <w:rFonts w:ascii="Times New Roman" w:hAnsi="Times New Roman" w:cs="Times New Roman"/>
          <w:lang w:val="en-GB"/>
        </w:rPr>
        <w:fldChar w:fldCharType="begin"/>
      </w:r>
      <w:r w:rsidR="008642C7">
        <w:rPr>
          <w:rFonts w:ascii="Times New Roman" w:hAnsi="Times New Roman" w:cs="Times New Roman"/>
          <w:lang w:val="en-GB"/>
        </w:rPr>
        <w:instrText xml:space="preserve"> ADDIN EN.CITE &lt;EndNote&gt;&lt;Cite&gt;&lt;Author&gt;Abarenkov&lt;/Author&gt;&lt;Year&gt;2020&lt;/Year&gt;&lt;RecNum&gt;44&lt;/RecNum&gt;&lt;DisplayText&gt;&lt;style size="10"&gt;[39,40]&lt;/style&gt;&lt;/DisplayText&gt;&lt;record&gt;&lt;rec-number&gt;44&lt;/rec-number&gt;&lt;foreign-keys&gt;&lt;key app="EN" db-id="a5ewd5adyz0t5pes20q5xvarvd2d0vvvt5zf" timestamp="1783600987"&gt;44&lt;/key&gt;&lt;/foreign-keys&gt;&lt;ref-type name="Journal Article"&gt;17&lt;/ref-type&gt;&lt;contributors&gt;&lt;authors&gt;&lt;author&gt;Abarenkov, Kessy&lt;/author&gt;&lt;author&gt;Zirk, Allan&lt;/author&gt;&lt;author&gt;Piirmann, Timo&lt;/author&gt;&lt;author&gt;Pöhönen, Raivo&lt;/author&gt;&lt;author&gt;Ivanov, Filipp&lt;/author&gt;&lt;author&gt;Nilsson, R Henrik&lt;/author&gt;&lt;author&gt;Kõljalg, Urmas&lt;/author&gt;&lt;/authors&gt;&lt;/contributors&gt;&lt;titles&gt;&lt;title&gt;UNITE general FASTA release for eukaryotes 2&lt;/title&gt;&lt;secondary-title&gt;(No Title)&lt;/secondary-title&gt;&lt;/titles&gt;&lt;periodical&gt;&lt;full-title&gt;(No Title)&lt;/full-title&gt;&lt;/periodical&gt;&lt;dates&gt;&lt;year&gt;2020&lt;/year&gt;&lt;/dates&gt;&lt;urls&gt;&lt;/urls&gt;&lt;/record&gt;&lt;/Cite&gt;&lt;Cite&gt;&lt;Author&gt;Nilsson&lt;/Author&gt;&lt;Year&gt;2019&lt;/Year&gt;&lt;RecNum&gt;46&lt;/RecNum&gt;&lt;record&gt;&lt;rec-number&gt;46&lt;/rec-number&gt;&lt;foreign-keys&gt;&lt;key app="EN" db-id="a5ewd5adyz0t5pes20q5xvarvd2d0vvvt5zf" timestamp="1783602177"&gt;46&lt;/key&gt;&lt;/foreign-keys&gt;&lt;ref-type name="Journal Article"&gt;17&lt;/ref-type&gt;&lt;contributors&gt;&lt;authors&gt;&lt;author&gt;Nilsson, Rolf Henrik&lt;/author&gt;&lt;author&gt;Larsson, Karl-Henrik&lt;/author&gt;&lt;author&gt;Taylor, Andy F S&lt;/author&gt;&lt;author&gt;Bengtsson-Palme, Johan&lt;/author&gt;&lt;author&gt;Jeppesen, Thomas S&lt;/author&gt;&lt;author&gt;Schigel, Dmitry&lt;/author&gt;&lt;author&gt;Kennedy, Peter&lt;/author&gt;&lt;author&gt;Picard, Kathryn&lt;/author&gt;&lt;author&gt;Glöckner, Frank Oliver&lt;/author&gt;&lt;author&gt;Tedersoo, Leho&lt;/author&gt;&lt;/authors&gt;&lt;/contributors&gt;&lt;titles&gt;&lt;title&gt;The UNITE database for molecular identification of fungi: handling dark taxa and parallel taxonomic classifications&lt;/title&gt;&lt;secondary-title&gt;Nucleic acids research&lt;/secondary-title&gt;&lt;/titles&gt;&lt;periodical&gt;&lt;full-title&gt;Nucleic acids research&lt;/full-title&gt;&lt;/periodical&gt;&lt;pages&gt;D259-D264&lt;/pages&gt;&lt;volume&gt;47&lt;/volume&gt;&lt;number&gt;D1&lt;/number&gt;&lt;dates&gt;&lt;year&gt;2019&lt;/year&gt;&lt;/dates&gt;&lt;isbn&gt;0305-1048&lt;/isbn&gt;&lt;urls&gt;&lt;/urls&gt;&lt;/record&gt;&lt;/Cite&gt;&lt;/EndNote&gt;</w:instrText>
      </w:r>
      <w:r w:rsidR="008642C7">
        <w:rPr>
          <w:rFonts w:ascii="Times New Roman" w:hAnsi="Times New Roman" w:cs="Times New Roman"/>
          <w:lang w:val="en-GB"/>
        </w:rPr>
        <w:fldChar w:fldCharType="separate"/>
      </w:r>
      <w:r w:rsidR="008642C7" w:rsidRPr="008642C7">
        <w:rPr>
          <w:rFonts w:ascii="Times New Roman" w:hAnsi="Times New Roman" w:cs="Times New Roman"/>
          <w:noProof/>
          <w:sz w:val="20"/>
          <w:lang w:val="en-GB"/>
        </w:rPr>
        <w:t>[39,40]</w:t>
      </w:r>
      <w:r w:rsidR="008642C7">
        <w:rPr>
          <w:rFonts w:ascii="Times New Roman" w:hAnsi="Times New Roman" w:cs="Times New Roman"/>
          <w:lang w:val="en-GB"/>
        </w:rPr>
        <w:fldChar w:fldCharType="end"/>
      </w:r>
      <w:r w:rsidRPr="00B424AD">
        <w:rPr>
          <w:rFonts w:ascii="Times New Roman" w:hAnsi="Times New Roman" w:cs="Times New Roman"/>
          <w:lang w:val="en-GB"/>
        </w:rPr>
        <w:t xml:space="preserve">, SILVA </w:t>
      </w:r>
      <w:r w:rsidR="008642C7">
        <w:rPr>
          <w:rFonts w:ascii="Times New Roman" w:hAnsi="Times New Roman" w:cs="Times New Roman"/>
          <w:lang w:val="en-GB"/>
        </w:rPr>
        <w:fldChar w:fldCharType="begin"/>
      </w:r>
      <w:r w:rsidR="008642C7">
        <w:rPr>
          <w:rFonts w:ascii="Times New Roman" w:hAnsi="Times New Roman" w:cs="Times New Roman"/>
          <w:lang w:val="en-GB"/>
        </w:rPr>
        <w:instrText xml:space="preserve"> ADDIN EN.CITE &lt;EndNote&gt;&lt;Cite&gt;&lt;Author&gt;Quast&lt;/Author&gt;&lt;Year&gt;2012&lt;/Year&gt;&lt;RecNum&gt;45&lt;/RecNum&gt;&lt;DisplayText&gt;&lt;style size="10"&gt;[41]&lt;/style&gt;&lt;/DisplayText&gt;&lt;record&gt;&lt;rec-number&gt;45&lt;/rec-number&gt;&lt;foreign-keys&gt;&lt;key app="EN" db-id="a5ewd5adyz0t5pes20q5xvarvd2d0vvvt5zf" timestamp="1783602109"&gt;45&lt;/key&gt;&lt;/foreign-keys&gt;&lt;ref-type name="Journal Article"&gt;17&lt;/ref-type&gt;&lt;contributors&gt;&lt;authors&gt;&lt;author&gt;Quast, Christian&lt;/author&gt;&lt;author&gt;Pruesse, Elmar&lt;/author&gt;&lt;author&gt;Yilmaz, Pelin&lt;/author&gt;&lt;author&gt;Gerken, Jan&lt;/author&gt;&lt;author&gt;Schweer, Timmy&lt;/author&gt;&lt;author&gt;Yarza, Pablo&lt;/author&gt;&lt;author&gt;Peplies, Jörg&lt;/author&gt;&lt;author&gt;Glöckner, Frank Oliver&lt;/author&gt;&lt;/authors&gt;&lt;/contributors&gt;&lt;titles&gt;&lt;title&gt;The SILVA ribosomal RNA gene database project: improved data processing and web-based tools&lt;/title&gt;&lt;secondary-title&gt;Nucleic acids research&lt;/secondary-title&gt;&lt;/titles&gt;&lt;periodical&gt;&lt;full-title&gt;Nucleic acids research&lt;/full-title&gt;&lt;/periodical&gt;&lt;pages&gt;D590-D596&lt;/pages&gt;&lt;volume&gt;41&lt;/volume&gt;&lt;number&gt;D1&lt;/number&gt;&lt;dates&gt;&lt;year&gt;2012&lt;/year&gt;&lt;/dates&gt;&lt;isbn&gt;0305-1048&lt;/isbn&gt;&lt;urls&gt;&lt;/urls&gt;&lt;/record&gt;&lt;/Cite&gt;&lt;/EndNote&gt;</w:instrText>
      </w:r>
      <w:r w:rsidR="008642C7">
        <w:rPr>
          <w:rFonts w:ascii="Times New Roman" w:hAnsi="Times New Roman" w:cs="Times New Roman"/>
          <w:lang w:val="en-GB"/>
        </w:rPr>
        <w:fldChar w:fldCharType="separate"/>
      </w:r>
      <w:r w:rsidR="008642C7" w:rsidRPr="008642C7">
        <w:rPr>
          <w:rFonts w:ascii="Times New Roman" w:hAnsi="Times New Roman" w:cs="Times New Roman"/>
          <w:noProof/>
          <w:sz w:val="20"/>
          <w:lang w:val="en-GB"/>
        </w:rPr>
        <w:t>[41]</w:t>
      </w:r>
      <w:r w:rsidR="008642C7">
        <w:rPr>
          <w:rFonts w:ascii="Times New Roman" w:hAnsi="Times New Roman" w:cs="Times New Roman"/>
          <w:lang w:val="en-GB"/>
        </w:rPr>
        <w:fldChar w:fldCharType="end"/>
      </w:r>
      <w:r w:rsidRPr="00B424AD">
        <w:rPr>
          <w:rFonts w:ascii="Times New Roman" w:hAnsi="Times New Roman" w:cs="Times New Roman"/>
          <w:lang w:val="en-GB"/>
        </w:rPr>
        <w:t xml:space="preserve">, and Eukariome </w:t>
      </w:r>
      <w:r w:rsidR="008642C7">
        <w:rPr>
          <w:rFonts w:ascii="Times New Roman" w:hAnsi="Times New Roman" w:cs="Times New Roman"/>
          <w:lang w:val="en-GB"/>
        </w:rPr>
        <w:fldChar w:fldCharType="begin"/>
      </w:r>
      <w:r w:rsidR="008642C7">
        <w:rPr>
          <w:rFonts w:ascii="Times New Roman" w:hAnsi="Times New Roman" w:cs="Times New Roman"/>
          <w:lang w:val="en-GB"/>
        </w:rPr>
        <w:instrText xml:space="preserve"> ADDIN EN.CITE &lt;EndNote&gt;&lt;Cite&gt;&lt;Author&gt;Tedersoo&lt;/Author&gt;&lt;Year&gt;2024&lt;/Year&gt;&lt;RecNum&gt;47&lt;/RecNum&gt;&lt;DisplayText&gt;&lt;style size="10"&gt;[42]&lt;/style&gt;&lt;/DisplayText&gt;&lt;record&gt;&lt;rec-number&gt;47&lt;/rec-number&gt;&lt;foreign-keys&gt;&lt;key app="EN" db-id="a5ewd5adyz0t5pes20q5xvarvd2d0vvvt5zf" timestamp="1783602205"&gt;47&lt;/key&gt;&lt;/foreign-keys&gt;&lt;ref-type name="Journal Article"&gt;17&lt;/ref-type&gt;&lt;contributors&gt;&lt;authors&gt;&lt;author&gt;Tedersoo, Leho&lt;/author&gt;&lt;author&gt;Hosseyni Moghaddam, Mahdieh S&lt;/author&gt;&lt;author&gt;Mikryukov, Vladimir&lt;/author&gt;&lt;author&gt;Hakimzadeh, Ali&lt;/author&gt;&lt;author&gt;Bahram, Mohammad&lt;/author&gt;&lt;author&gt;Nilsson, R Henrik&lt;/author&gt;&lt;author&gt;Yatsiuk, Iryna&lt;/author&gt;&lt;author&gt;Geisen, Stefan&lt;/author&gt;&lt;author&gt;Schwelm, Arne&lt;/author&gt;&lt;author&gt;Piwosz, Kasia&lt;/author&gt;&lt;/authors&gt;&lt;/contributors&gt;&lt;titles&gt;&lt;title&gt;EUKARYOME: the rRNA gene reference database for identification of all eukaryotes&lt;/title&gt;&lt;secondary-title&gt;Database&lt;/secondary-title&gt;&lt;/titles&gt;&lt;periodical&gt;&lt;full-title&gt;Database&lt;/full-title&gt;&lt;/periodical&gt;&lt;pages&gt;baae043&lt;/pages&gt;&lt;volume&gt;2024&lt;/volume&gt;&lt;dates&gt;&lt;year&gt;2024&lt;/year&gt;&lt;/dates&gt;&lt;isbn&gt;1758-0463&lt;/isbn&gt;&lt;urls&gt;&lt;/urls&gt;&lt;/record&gt;&lt;/Cite&gt;&lt;/EndNote&gt;</w:instrText>
      </w:r>
      <w:r w:rsidR="008642C7">
        <w:rPr>
          <w:rFonts w:ascii="Times New Roman" w:hAnsi="Times New Roman" w:cs="Times New Roman"/>
          <w:lang w:val="en-GB"/>
        </w:rPr>
        <w:fldChar w:fldCharType="separate"/>
      </w:r>
      <w:r w:rsidR="008642C7" w:rsidRPr="008642C7">
        <w:rPr>
          <w:rFonts w:ascii="Times New Roman" w:hAnsi="Times New Roman" w:cs="Times New Roman"/>
          <w:noProof/>
          <w:sz w:val="20"/>
          <w:lang w:val="en-GB"/>
        </w:rPr>
        <w:t>[42]</w:t>
      </w:r>
      <w:r w:rsidR="008642C7">
        <w:rPr>
          <w:rFonts w:ascii="Times New Roman" w:hAnsi="Times New Roman" w:cs="Times New Roman"/>
          <w:lang w:val="en-GB"/>
        </w:rPr>
        <w:fldChar w:fldCharType="end"/>
      </w:r>
      <w:r w:rsidR="00C37FF1">
        <w:rPr>
          <w:rFonts w:ascii="Times New Roman" w:hAnsi="Times New Roman" w:cs="Times New Roman"/>
          <w:lang w:val="en-GB"/>
        </w:rPr>
        <w:t xml:space="preserve">. It runs on </w:t>
      </w:r>
      <w:r w:rsidRPr="00B424AD">
        <w:rPr>
          <w:rFonts w:ascii="Times New Roman" w:hAnsi="Times New Roman" w:cs="Times New Roman"/>
          <w:lang w:val="en-GB"/>
        </w:rPr>
        <w:t>hardware ranging from high-performance workstations to consumer-grade laptops with as few as four CPU cores and 15 GB of RAM</w:t>
      </w:r>
      <w:r w:rsidR="00E57BBD">
        <w:rPr>
          <w:rFonts w:ascii="Times New Roman" w:hAnsi="Times New Roman" w:cs="Times New Roman"/>
          <w:lang w:val="en-GB"/>
        </w:rPr>
        <w:t xml:space="preserve"> and on the three most popular software systems: Windows, Linux an iOS</w:t>
      </w:r>
      <w:r w:rsidRPr="00B424AD">
        <w:rPr>
          <w:rFonts w:ascii="Times New Roman" w:hAnsi="Times New Roman" w:cs="Times New Roman"/>
          <w:lang w:val="en-GB"/>
        </w:rPr>
        <w:t xml:space="preserve">. Using </w:t>
      </w:r>
      <w:r w:rsidR="005D54E1">
        <w:rPr>
          <w:rFonts w:ascii="Times New Roman" w:hAnsi="Times New Roman" w:cs="Times New Roman"/>
          <w:i/>
          <w:iCs/>
          <w:lang w:val="en-GB"/>
        </w:rPr>
        <w:t>in silico</w:t>
      </w:r>
      <w:r w:rsidRPr="00B424AD">
        <w:rPr>
          <w:rFonts w:ascii="Times New Roman" w:hAnsi="Times New Roman" w:cs="Times New Roman"/>
          <w:lang w:val="en-GB"/>
        </w:rPr>
        <w:t xml:space="preserve"> and experimentally generated mock communities, we demonstrate that extending the sequencing target from the canonical ITS barcode to the full ITS–LSU locus (~5 kb) substantially reduces false-positive species assignments</w:t>
      </w:r>
      <w:r w:rsidR="00952E76">
        <w:rPr>
          <w:rFonts w:ascii="Times New Roman" w:hAnsi="Times New Roman" w:cs="Times New Roman"/>
          <w:lang w:val="en-GB"/>
        </w:rPr>
        <w:t>. Moreover</w:t>
      </w:r>
      <w:r w:rsidR="00D44178">
        <w:rPr>
          <w:rFonts w:ascii="Times New Roman" w:hAnsi="Times New Roman" w:cs="Times New Roman"/>
          <w:lang w:val="en-GB"/>
        </w:rPr>
        <w:t>,</w:t>
      </w:r>
      <w:r w:rsidRPr="00B424AD">
        <w:rPr>
          <w:rFonts w:ascii="Times New Roman" w:hAnsi="Times New Roman" w:cs="Times New Roman"/>
          <w:lang w:val="en-GB"/>
        </w:rPr>
        <w:t xml:space="preserve"> LOREON </w:t>
      </w:r>
      <w:r w:rsidR="00D44178">
        <w:rPr>
          <w:rFonts w:ascii="Times New Roman" w:hAnsi="Times New Roman" w:cs="Times New Roman"/>
          <w:lang w:val="en-GB"/>
        </w:rPr>
        <w:t xml:space="preserve">combines user friendship with </w:t>
      </w:r>
      <w:r w:rsidRPr="00B424AD">
        <w:rPr>
          <w:rFonts w:ascii="Times New Roman" w:hAnsi="Times New Roman" w:cs="Times New Roman"/>
          <w:lang w:val="en-GB"/>
        </w:rPr>
        <w:t xml:space="preserve"> analytical performance</w:t>
      </w:r>
      <w:r w:rsidR="00952E76">
        <w:rPr>
          <w:rFonts w:ascii="Times New Roman" w:hAnsi="Times New Roman" w:cs="Times New Roman"/>
          <w:lang w:val="en-GB"/>
        </w:rPr>
        <w:t>s</w:t>
      </w:r>
      <w:r w:rsidRPr="00B424AD">
        <w:rPr>
          <w:rFonts w:ascii="Times New Roman" w:hAnsi="Times New Roman" w:cs="Times New Roman"/>
          <w:lang w:val="en-GB"/>
        </w:rPr>
        <w:t xml:space="preserve"> equivalent to the EPI2ME wf-16s workflow while reducing orchestration overhead 32-fold and peak memory consumption 1.4-fold, with a time-to-first-analysis of approximately 15 minutes from a fresh installation.</w:t>
      </w:r>
      <w:r w:rsidR="005D54E1">
        <w:rPr>
          <w:rFonts w:ascii="Times New Roman" w:hAnsi="Times New Roman" w:cs="Times New Roman"/>
          <w:lang w:val="en-GB"/>
        </w:rPr>
        <w:t xml:space="preserve"> </w:t>
      </w:r>
    </w:p>
    <w:p w14:paraId="1026C8A6" w14:textId="77777777" w:rsidR="006A2195" w:rsidRPr="00296230" w:rsidRDefault="006A2195" w:rsidP="00186B5A">
      <w:pPr>
        <w:spacing w:before="80" w:after="80"/>
        <w:jc w:val="both"/>
        <w:rPr>
          <w:rFonts w:ascii="Times New Roman" w:hAnsi="Times New Roman" w:cs="Times New Roman"/>
          <w:lang w:val="en-GB"/>
        </w:rPr>
      </w:pPr>
    </w:p>
    <w:p w14:paraId="3AEC4F7D" w14:textId="77777777" w:rsidR="006A2195" w:rsidRPr="00296230" w:rsidRDefault="00FF5A73" w:rsidP="00186B5A">
      <w:pPr>
        <w:pStyle w:val="Titolo1"/>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 Materials and Methods</w:t>
      </w:r>
    </w:p>
    <w:p w14:paraId="16B23751" w14:textId="77777777"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2.1 LOREON Pipeline Architecture</w:t>
      </w:r>
    </w:p>
    <w:p w14:paraId="4E00EE26"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LOREON is implemented in Python (≥3.8) and organized as a modular six-step pipeline executed by a parallel worker process controlled from a PyQt5 graphical interface. The pipeline steps are: (0) taxonomy map generation with intelligent caching; (1) parallel length-based sequence quality filtering; (2) filtering statistics report generation; (3) parallel reference-based mapping and tabulation via minimap2 and SAMtools; (4) index reformatting according to the selected database format; and (5) OTU aggregation, taxonomy annotation, and interactive report generation. All computationally intensive steps (filtering, mapping) exploit Python's multiprocessing module with a two-level threading strategy: a user-configurable total thread count is divided into parallel jobs, each receiving a configurable number of minimap2 threads, enabling efficient scaling from 4-core laptops to 20-thread workstations without manual configuration changes.</w:t>
      </w:r>
    </w:p>
    <w:p w14:paraId="14BD0BD6" w14:textId="038827D5"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The taxonomy map generation step (Step 0) parses the header line of each reference sequence in the database FASTA file to extract and cache taxonomic lineages. LOREON supports </w:t>
      </w:r>
      <w:r w:rsidR="00B475C8">
        <w:rPr>
          <w:rFonts w:ascii="Times New Roman" w:hAnsi="Times New Roman" w:cs="Times New Roman"/>
          <w:lang w:val="en-GB"/>
        </w:rPr>
        <w:t>four</w:t>
      </w:r>
      <w:r w:rsidRPr="00296230">
        <w:rPr>
          <w:rFonts w:ascii="Times New Roman" w:hAnsi="Times New Roman" w:cs="Times New Roman"/>
          <w:lang w:val="en-GB"/>
        </w:rPr>
        <w:t xml:space="preserve"> database formats: UNITE</w:t>
      </w:r>
      <w:r w:rsidR="00B475C8">
        <w:rPr>
          <w:rFonts w:ascii="Times New Roman" w:hAnsi="Times New Roman" w:cs="Times New Roman"/>
          <w:lang w:val="en-GB"/>
        </w:rPr>
        <w:t>,</w:t>
      </w:r>
      <w:r w:rsidRPr="00296230">
        <w:rPr>
          <w:rFonts w:ascii="Times New Roman" w:hAnsi="Times New Roman" w:cs="Times New Roman"/>
          <w:lang w:val="en-GB"/>
        </w:rPr>
        <w:t xml:space="preserve"> Eukariome, </w:t>
      </w:r>
      <w:r w:rsidR="00B475C8">
        <w:rPr>
          <w:rFonts w:ascii="Times New Roman" w:hAnsi="Times New Roman" w:cs="Times New Roman"/>
          <w:lang w:val="en-GB"/>
        </w:rPr>
        <w:t>SILVA</w:t>
      </w:r>
      <w:r w:rsidRPr="00296230">
        <w:rPr>
          <w:rFonts w:ascii="Times New Roman" w:hAnsi="Times New Roman" w:cs="Times New Roman"/>
          <w:lang w:val="en-GB"/>
        </w:rPr>
        <w:t>, and a format-agnostic 'none' mode retaining raw sequence identifiers. The caching mechanism stores taxonomy maps as TSV files and reuses them on repeated runs with the same database, reducing startup time on large databases (510,495 SILVA NR99 entries) from seconds to milliseconds.</w:t>
      </w:r>
    </w:p>
    <w:p w14:paraId="337BD707" w14:textId="17340BF6"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Reference-based mapping (Step 3) is performed with minimap2 (v2.28) using the </w:t>
      </w:r>
      <w:r w:rsidRPr="00296230">
        <w:rPr>
          <w:rFonts w:ascii="Times New Roman" w:hAnsi="Times New Roman" w:cs="Times New Roman"/>
          <w:i/>
          <w:iCs/>
          <w:lang w:val="en-GB"/>
        </w:rPr>
        <w:t>map-ont</w:t>
      </w:r>
      <w:r w:rsidRPr="00296230">
        <w:rPr>
          <w:rFonts w:ascii="Times New Roman" w:hAnsi="Times New Roman" w:cs="Times New Roman"/>
          <w:lang w:val="en-GB"/>
        </w:rPr>
        <w:t xml:space="preserve"> preset optimised for Oxford Nanopore long reads. SAM output is piped directly to </w:t>
      </w:r>
      <w:r w:rsidRPr="00296230">
        <w:rPr>
          <w:rFonts w:ascii="Times New Roman" w:hAnsi="Times New Roman" w:cs="Times New Roman"/>
          <w:i/>
          <w:iCs/>
          <w:lang w:val="en-GB"/>
        </w:rPr>
        <w:t>samtools sort</w:t>
      </w:r>
      <w:r w:rsidRPr="00296230">
        <w:rPr>
          <w:rFonts w:ascii="Times New Roman" w:hAnsi="Times New Roman" w:cs="Times New Roman"/>
          <w:lang w:val="en-GB"/>
        </w:rPr>
        <w:t xml:space="preserve"> (v1.21) to produce coordinate-sorted BAM files, eliminating the large SAM intermediate file from disk. Alignment quality filtering is applied post-sort via </w:t>
      </w:r>
      <w:r w:rsidRPr="00296230">
        <w:rPr>
          <w:rFonts w:ascii="Times New Roman" w:hAnsi="Times New Roman" w:cs="Times New Roman"/>
          <w:i/>
          <w:iCs/>
          <w:lang w:val="en-GB"/>
        </w:rPr>
        <w:t>samtools view -e</w:t>
      </w:r>
      <w:r w:rsidRPr="00296230">
        <w:rPr>
          <w:rFonts w:ascii="Times New Roman" w:hAnsi="Times New Roman" w:cs="Times New Roman"/>
          <w:lang w:val="en-GB"/>
        </w:rPr>
        <w:t xml:space="preserve"> with user-configurable thresholds for minimum percent identity [default 95%: (alen − NM)/alen × 100 ≥ 95] and minimum reference coverage [default 90%: alen/rlen × 100 ≥ 90], followed by flag-based removal of unmapped, secondary, and supplementary alignments (−F 0x904).</w:t>
      </w:r>
    </w:p>
    <w:p w14:paraId="30F4E98E" w14:textId="70FEF13B"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OTU table aggregation (Step 5) is implemented entirely in SQL using DuckDB (v0.10+)</w:t>
      </w:r>
      <w:r w:rsidR="00906EA4">
        <w:rPr>
          <w:rFonts w:ascii="Times New Roman" w:hAnsi="Times New Roman" w:cs="Times New Roman"/>
          <w:lang w:val="en-GB"/>
        </w:rPr>
        <w:t xml:space="preserve"> </w:t>
      </w:r>
      <w:r w:rsidR="00906EA4">
        <w:rPr>
          <w:rFonts w:ascii="Times New Roman" w:hAnsi="Times New Roman" w:cs="Times New Roman"/>
          <w:lang w:val="en-GB"/>
        </w:rPr>
        <w:fldChar w:fldCharType="begin"/>
      </w:r>
      <w:r w:rsidR="00906EA4">
        <w:rPr>
          <w:rFonts w:ascii="Times New Roman" w:hAnsi="Times New Roman" w:cs="Times New Roman"/>
          <w:lang w:val="en-GB"/>
        </w:rPr>
        <w:instrText xml:space="preserve"> ADDIN EN.CITE &lt;EndNote&gt;&lt;Cite&gt;&lt;Author&gt;Raasveldt&lt;/Author&gt;&lt;Year&gt;2019&lt;/Year&gt;&lt;RecNum&gt;48&lt;/RecNum&gt;&lt;DisplayText&gt;&lt;style size="10"&gt;[43]&lt;/style&gt;&lt;/DisplayText&gt;&lt;record&gt;&lt;rec-number&gt;48&lt;/rec-number&gt;&lt;foreign-keys&gt;&lt;key app="EN" db-id="a5ewd5adyz0t5pes20q5xvarvd2d0vvvt5zf" timestamp="1783604748"&gt;48&lt;/key&gt;&lt;/foreign-keys&gt;&lt;ref-type name="Conference Proceedings"&gt;10&lt;/ref-type&gt;&lt;contributors&gt;&lt;authors&gt;&lt;author&gt;Raasveldt, Mark&lt;/author&gt;&lt;author&gt;Mühleisen, Hannes&lt;/author&gt;&lt;/authors&gt;&lt;/contributors&gt;&lt;titles&gt;&lt;title&gt;Duckdb: an embeddable analytical database&lt;/title&gt;&lt;secondary-title&gt;Proceedings of the 2019 international conference on management of data&lt;/secondary-title&gt;&lt;/titles&gt;&lt;pages&gt;1981-1984&lt;/pages&gt;&lt;dates&gt;&lt;year&gt;2019&lt;/year&gt;&lt;/dates&gt;&lt;urls&gt;&lt;/urls&gt;&lt;/record&gt;&lt;/Cite&gt;&lt;/EndNote&gt;</w:instrText>
      </w:r>
      <w:r w:rsidR="00906EA4">
        <w:rPr>
          <w:rFonts w:ascii="Times New Roman" w:hAnsi="Times New Roman" w:cs="Times New Roman"/>
          <w:lang w:val="en-GB"/>
        </w:rPr>
        <w:fldChar w:fldCharType="separate"/>
      </w:r>
      <w:r w:rsidR="00906EA4" w:rsidRPr="00906EA4">
        <w:rPr>
          <w:rFonts w:ascii="Times New Roman" w:hAnsi="Times New Roman" w:cs="Times New Roman"/>
          <w:noProof/>
          <w:sz w:val="20"/>
          <w:lang w:val="en-GB"/>
        </w:rPr>
        <w:t>[43]</w:t>
      </w:r>
      <w:r w:rsidR="00906EA4">
        <w:rPr>
          <w:rFonts w:ascii="Times New Roman" w:hAnsi="Times New Roman" w:cs="Times New Roman"/>
          <w:lang w:val="en-GB"/>
        </w:rPr>
        <w:fldChar w:fldCharType="end"/>
      </w:r>
      <w:r w:rsidRPr="00296230">
        <w:rPr>
          <w:rFonts w:ascii="Times New Roman" w:hAnsi="Times New Roman" w:cs="Times New Roman"/>
          <w:lang w:val="en-GB"/>
        </w:rPr>
        <w:t xml:space="preserve">, an embeddable analytical database engine. A single optimised query performs a PIVOT operation over all per-sample count files, joins with the taxonomy map, and executes SQL-native taxonomic rank splitting </w:t>
      </w:r>
      <w:r w:rsidRPr="00296230">
        <w:rPr>
          <w:rFonts w:ascii="Times New Roman" w:hAnsi="Times New Roman" w:cs="Times New Roman"/>
          <w:lang w:val="en-GB"/>
        </w:rPr>
        <w:lastRenderedPageBreak/>
        <w:t>and OTU identifier reformatting. This eliminates the need for iterative Python loops over potentially thousands of OTUs and all associated disk I/O for intermediate reformatting. Benchmark data (see Results) show that DuckDB-based aggregation is 57-fold faster and consumes 17-fold less memory than the equivalent EPI2ME workflow step.</w:t>
      </w:r>
    </w:p>
    <w:p w14:paraId="3EB0C766"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Interactive HTML reports are generated with Jinja2 templating and Plotly.js, encompassing three sections: Mapping QC (per-sample mapping rates, quality filter retention statistics, KPI dashboard), Filter QC (length distribution per barcode), and Metagenomic Analysis (taxonomic composition tabs at Family/Genus/Species level, an interactive Sankey diagram with rank filters and abundance cutoff, top-25 OTU heatmap, and a searchable full OTU table).</w:t>
      </w:r>
    </w:p>
    <w:p w14:paraId="1EDE7397" w14:textId="77777777" w:rsidR="006A2195" w:rsidRPr="00296230" w:rsidRDefault="006A2195" w:rsidP="00186B5A">
      <w:pPr>
        <w:spacing w:before="80" w:after="80"/>
        <w:jc w:val="both"/>
        <w:rPr>
          <w:rFonts w:ascii="Times New Roman" w:hAnsi="Times New Roman" w:cs="Times New Roman"/>
          <w:lang w:val="en-GB"/>
        </w:rPr>
      </w:pPr>
    </w:p>
    <w:p w14:paraId="57053209" w14:textId="77777777"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2.2 Reference Databases</w:t>
      </w:r>
    </w:p>
    <w:p w14:paraId="7D5D565D" w14:textId="21BCC25B"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Three reference databases were employed in this study. For ITS fungal analyses, we used (i) the UNITE general FASTA release for eukaryotes (sh_general_release_dynamic_19.02.2025; 102,137 representative sequences, UNITE Community, 2025) and (ii) the Eukariome General EUK longread v2.0 database (193,705 sequences), specifically curated for long-read amplicon analysis covering the extended ITS–LSU region . For 16S rRNA prokaryotic analyses, we used SILVA SSURef NR99 release 138.2 (510,495 sequences), the non-redundant subset of SILVA's curated small-subunit ribosomal RNA alignment.</w:t>
      </w:r>
    </w:p>
    <w:p w14:paraId="00C7187D" w14:textId="77777777" w:rsidR="006A2195" w:rsidRPr="00296230" w:rsidRDefault="006A2195" w:rsidP="00186B5A">
      <w:pPr>
        <w:spacing w:before="80" w:after="80"/>
        <w:jc w:val="both"/>
        <w:rPr>
          <w:rFonts w:ascii="Times New Roman" w:hAnsi="Times New Roman" w:cs="Times New Roman"/>
          <w:lang w:val="en-GB"/>
        </w:rPr>
      </w:pPr>
    </w:p>
    <w:p w14:paraId="06F7EAE4" w14:textId="3732D566" w:rsidR="006A2195" w:rsidRDefault="00FF5A73" w:rsidP="00CA4286">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2.3 Mock Community Design and Sequencing</w:t>
      </w:r>
    </w:p>
    <w:p w14:paraId="780E1FA5" w14:textId="06B4B21D" w:rsidR="00CA4286" w:rsidRPr="00CA4286" w:rsidRDefault="00CA4286" w:rsidP="00CA4286">
      <w:pPr>
        <w:pStyle w:val="Titolo2"/>
        <w:jc w:val="both"/>
        <w:rPr>
          <w:rFonts w:ascii="Times New Roman" w:hAnsi="Times New Roman" w:cs="Times New Roman"/>
          <w:sz w:val="22"/>
          <w:szCs w:val="22"/>
          <w:lang w:val="en-GB"/>
        </w:rPr>
      </w:pPr>
      <w:r>
        <w:rPr>
          <w:rFonts w:ascii="Times New Roman" w:hAnsi="Times New Roman" w:cs="Times New Roman"/>
          <w:sz w:val="22"/>
          <w:szCs w:val="22"/>
          <w:lang w:val="en-GB"/>
        </w:rPr>
        <w:t xml:space="preserve">2.3.1 </w:t>
      </w:r>
      <w:r w:rsidRPr="00CA4286">
        <w:rPr>
          <w:rFonts w:ascii="Times New Roman" w:hAnsi="Times New Roman" w:cs="Times New Roman"/>
          <w:sz w:val="22"/>
          <w:szCs w:val="22"/>
          <w:lang w:val="en-GB"/>
        </w:rPr>
        <w:t xml:space="preserve">Generation of </w:t>
      </w:r>
      <w:r w:rsidR="00EC0E13">
        <w:rPr>
          <w:rFonts w:ascii="Times New Roman" w:hAnsi="Times New Roman" w:cs="Times New Roman"/>
          <w:sz w:val="22"/>
          <w:szCs w:val="22"/>
          <w:lang w:val="en-GB"/>
        </w:rPr>
        <w:t xml:space="preserve">dry (in silico) </w:t>
      </w:r>
      <w:r w:rsidRPr="00CA4286">
        <w:rPr>
          <w:rFonts w:ascii="Times New Roman" w:hAnsi="Times New Roman" w:cs="Times New Roman"/>
          <w:sz w:val="22"/>
          <w:szCs w:val="22"/>
          <w:lang w:val="en-GB"/>
        </w:rPr>
        <w:t>synthetic mock communities</w:t>
      </w:r>
    </w:p>
    <w:p w14:paraId="4030434B" w14:textId="5CF4B9AB" w:rsidR="00CA4286" w:rsidRPr="00CA4286" w:rsidRDefault="00CA4286" w:rsidP="00185210">
      <w:pPr>
        <w:spacing w:before="80" w:after="80" w:line="276" w:lineRule="auto"/>
        <w:jc w:val="both"/>
        <w:rPr>
          <w:rFonts w:ascii="Times New Roman" w:hAnsi="Times New Roman" w:cs="Times New Roman"/>
          <w:lang w:val="en-GB"/>
        </w:rPr>
      </w:pPr>
      <w:r w:rsidRPr="00CA4286">
        <w:rPr>
          <w:rFonts w:ascii="Times New Roman" w:hAnsi="Times New Roman" w:cs="Times New Roman"/>
          <w:lang w:val="en-GB"/>
        </w:rPr>
        <w:t>Fully synthetic fungal and bacterial mock communities were generated to evaluate the effect of marker length under controlled taxonomic composition and abundance structure. For the fungal benchmark, five yeast species were selected and their extended ribosomal operon sequences were retrieved from the Eukaryome General EUK long-read database. These sequences represented the long-marker configuration spanning the 18S–ITS–LSU region. To generate the corresponding short-marker dataset, the same operon sequences were processed with ITSx to extract the canonical ITS1–5.8S–ITS2 region, thereby ensuring that the short and long fungal mock communities contained the same species and relative proportions but differed in marker length.</w:t>
      </w:r>
      <w:r>
        <w:rPr>
          <w:rFonts w:ascii="Times New Roman" w:hAnsi="Times New Roman" w:cs="Times New Roman"/>
          <w:lang w:val="en-GB"/>
        </w:rPr>
        <w:t xml:space="preserve"> </w:t>
      </w:r>
    </w:p>
    <w:p w14:paraId="169278BA" w14:textId="374A5C7D" w:rsidR="00CA4286" w:rsidRPr="00CA4286" w:rsidRDefault="00CA4286" w:rsidP="00185210">
      <w:pPr>
        <w:spacing w:before="80" w:after="80" w:line="276" w:lineRule="auto"/>
        <w:jc w:val="both"/>
        <w:rPr>
          <w:rFonts w:ascii="Times New Roman" w:hAnsi="Times New Roman" w:cs="Times New Roman"/>
          <w:lang w:val="en-GB"/>
        </w:rPr>
      </w:pPr>
      <w:r w:rsidRPr="00CA4286">
        <w:rPr>
          <w:rFonts w:ascii="Times New Roman" w:hAnsi="Times New Roman" w:cs="Times New Roman"/>
          <w:lang w:val="en-GB"/>
        </w:rPr>
        <w:t>For the bacterial benchmark, 26 prokaryotic species were selected according to the MBARC theoretical community composition. Full-length 16S rRNA gene sequences were retrieved from the SILVA SSURef NR99 database, selecting the longest available sequence for each species and converting RNA characters to DNA where required. The full-length sequences were used as the long 16S marker dataset. The corresponding short-marker dataset was generated by extracting the V3–V4 region using the 341F/806R primer coordinates with the `extract_regions_16s` workflow, followed by RNA-to-DNA conversion</w:t>
      </w:r>
      <w:r w:rsidR="00093867">
        <w:rPr>
          <w:rFonts w:ascii="Times New Roman" w:hAnsi="Times New Roman" w:cs="Times New Roman"/>
          <w:lang w:val="en-GB"/>
        </w:rPr>
        <w:t xml:space="preserve"> (</w:t>
      </w:r>
      <w:r w:rsidR="00093867" w:rsidRPr="00093867">
        <w:rPr>
          <w:rFonts w:ascii="Times New Roman" w:hAnsi="Times New Roman" w:cs="Times New Roman"/>
          <w:lang w:val="en-GB"/>
        </w:rPr>
        <w:t>https://github.com/AlessioMilanese/extract_regions_16s</w:t>
      </w:r>
      <w:r w:rsidR="00093867">
        <w:rPr>
          <w:rFonts w:ascii="Times New Roman" w:hAnsi="Times New Roman" w:cs="Times New Roman"/>
          <w:lang w:val="en-GB"/>
        </w:rPr>
        <w:t>)</w:t>
      </w:r>
      <w:r w:rsidRPr="00CA4286">
        <w:rPr>
          <w:rFonts w:ascii="Times New Roman" w:hAnsi="Times New Roman" w:cs="Times New Roman"/>
          <w:lang w:val="en-GB"/>
        </w:rPr>
        <w:t>.</w:t>
      </w:r>
    </w:p>
    <w:p w14:paraId="0C2E414E" w14:textId="77777777" w:rsidR="00CA4286" w:rsidRPr="00CA4286" w:rsidRDefault="00CA4286" w:rsidP="00185210">
      <w:pPr>
        <w:spacing w:before="80" w:after="80" w:line="276" w:lineRule="auto"/>
        <w:jc w:val="both"/>
        <w:rPr>
          <w:rFonts w:ascii="Times New Roman" w:hAnsi="Times New Roman" w:cs="Times New Roman"/>
          <w:lang w:val="en-GB"/>
        </w:rPr>
      </w:pPr>
    </w:p>
    <w:p w14:paraId="64E161F9" w14:textId="71DE6A12" w:rsidR="00CA4286" w:rsidRDefault="00CA4286" w:rsidP="00185210">
      <w:pPr>
        <w:spacing w:before="80" w:after="80" w:line="276" w:lineRule="auto"/>
        <w:jc w:val="both"/>
        <w:rPr>
          <w:rFonts w:ascii="Times New Roman" w:hAnsi="Times New Roman" w:cs="Times New Roman"/>
          <w:lang w:val="en-GB"/>
        </w:rPr>
      </w:pPr>
      <w:r w:rsidRPr="00CA4286">
        <w:rPr>
          <w:rFonts w:ascii="Times New Roman" w:hAnsi="Times New Roman" w:cs="Times New Roman"/>
          <w:lang w:val="en-GB"/>
        </w:rPr>
        <w:t xml:space="preserve">Nanopore-like reads were simulated independently for each species and marker configuration using Badread. Simulations used the nanopore2023 error and quality-score models, an identity range of 95–100%, shape parameter 4, and a fixed random seed of 42. For each species, reads were oversampled by specifying a total simulated base quantity proportional to the target read number and marker length; the resulting FASTQ files were then truncated to retain the exact predefined number of reads. Species-specific FASTQ files were concatenated to generate four synthetic mock communities: fungal short </w:t>
      </w:r>
      <w:r w:rsidRPr="00CA4286">
        <w:rPr>
          <w:rFonts w:ascii="Times New Roman" w:hAnsi="Times New Roman" w:cs="Times New Roman"/>
          <w:lang w:val="en-GB"/>
        </w:rPr>
        <w:lastRenderedPageBreak/>
        <w:t>ITS, fungal long ITS, bacterial short V3–V4 16S and bacterial full-length 16S. Within each kingdom, short and long communities were identical in taxonomic composition and relative abundance, allowing marker-length effects to be evaluated independently of community structure.</w:t>
      </w:r>
      <w:r>
        <w:rPr>
          <w:rFonts w:ascii="Times New Roman" w:hAnsi="Times New Roman" w:cs="Times New Roman"/>
          <w:lang w:val="en-GB"/>
        </w:rPr>
        <w:br/>
      </w:r>
    </w:p>
    <w:p w14:paraId="29126EDB" w14:textId="15BCB056" w:rsidR="00EC0E13" w:rsidRPr="00EC0E13" w:rsidRDefault="00CA4286" w:rsidP="00EC0E13">
      <w:pPr>
        <w:pStyle w:val="Titolo2"/>
        <w:jc w:val="both"/>
        <w:rPr>
          <w:rFonts w:ascii="Times New Roman" w:hAnsi="Times New Roman" w:cs="Times New Roman"/>
          <w:lang w:val="en-GB"/>
        </w:rPr>
      </w:pPr>
      <w:r>
        <w:rPr>
          <w:rFonts w:ascii="Times New Roman" w:hAnsi="Times New Roman" w:cs="Times New Roman"/>
          <w:sz w:val="22"/>
          <w:szCs w:val="22"/>
          <w:lang w:val="en-GB"/>
        </w:rPr>
        <w:t>2.3.2</w:t>
      </w:r>
      <w:r w:rsidR="00EC0E13">
        <w:rPr>
          <w:rFonts w:ascii="Times New Roman" w:hAnsi="Times New Roman" w:cs="Times New Roman"/>
          <w:sz w:val="22"/>
          <w:szCs w:val="22"/>
          <w:lang w:val="en-GB"/>
        </w:rPr>
        <w:t xml:space="preserve"> </w:t>
      </w:r>
      <w:r w:rsidR="00EC0E13" w:rsidRPr="00EC0E13">
        <w:rPr>
          <w:rFonts w:ascii="Times New Roman" w:hAnsi="Times New Roman" w:cs="Times New Roman"/>
          <w:lang w:val="en-GB"/>
        </w:rPr>
        <w:t>Wet simulated fungal mock communities</w:t>
      </w:r>
    </w:p>
    <w:p w14:paraId="43339256" w14:textId="3568ED84" w:rsidR="00EC0E13" w:rsidRPr="00EC0E13" w:rsidRDefault="00EC0E13" w:rsidP="00185210">
      <w:pPr>
        <w:spacing w:before="80" w:after="80" w:line="276" w:lineRule="auto"/>
        <w:jc w:val="both"/>
        <w:rPr>
          <w:rFonts w:ascii="Times New Roman" w:hAnsi="Times New Roman" w:cs="Times New Roman"/>
          <w:lang w:val="en-GB"/>
        </w:rPr>
      </w:pPr>
      <w:r w:rsidRPr="00EC0E13">
        <w:rPr>
          <w:rFonts w:ascii="Times New Roman" w:hAnsi="Times New Roman" w:cs="Times New Roman"/>
          <w:lang w:val="en-GB"/>
        </w:rPr>
        <w:t xml:space="preserve">Wet simulated fungal mock communities were used to evaluate LOREON under experimentally realistic conditions. These communities corresponded to the yeast mock datasets previously described by </w:t>
      </w:r>
      <w:r w:rsidRPr="00C03190">
        <w:rPr>
          <w:rFonts w:ascii="Times New Roman" w:hAnsi="Times New Roman" w:cs="Times New Roman"/>
          <w:lang w:val="en-GB"/>
        </w:rPr>
        <w:t>Conti et al.</w:t>
      </w:r>
      <w:r w:rsidR="00C03190">
        <w:rPr>
          <w:rFonts w:ascii="Times New Roman" w:hAnsi="Times New Roman" w:cs="Times New Roman"/>
          <w:lang w:val="en-GB"/>
        </w:rPr>
        <w:t xml:space="preserve"> </w:t>
      </w:r>
      <w:r w:rsidR="00C03190">
        <w:rPr>
          <w:rFonts w:ascii="Times New Roman" w:hAnsi="Times New Roman" w:cs="Times New Roman"/>
          <w:lang w:val="en-GB"/>
        </w:rPr>
        <w:fldChar w:fldCharType="begin"/>
      </w:r>
      <w:r w:rsidR="00C03190">
        <w:rPr>
          <w:rFonts w:ascii="Times New Roman" w:hAnsi="Times New Roman" w:cs="Times New Roman"/>
          <w:lang w:val="en-GB"/>
        </w:rPr>
        <w:instrText xml:space="preserve"> ADDIN EN.CITE &lt;EndNote&gt;&lt;Cite&gt;&lt;Author&gt;Conti&lt;/Author&gt;&lt;Year&gt;2023&lt;/Year&gt;&lt;RecNum&gt;50&lt;/RecNum&gt;&lt;DisplayText&gt;&lt;style size="10"&gt;[44]&lt;/style&gt;&lt;/DisplayText&gt;&lt;record&gt;&lt;rec-number&gt;50&lt;/rec-number&gt;&lt;foreign-keys&gt;&lt;key app="EN" db-id="a5ewd5adyz0t5pes20q5xvarvd2d0vvvt5zf" timestamp="1783691305"&gt;50&lt;/key&gt;&lt;/foreign-keys&gt;&lt;ref-type name="Journal Article"&gt;17&lt;/ref-type&gt;&lt;contributors&gt;&lt;authors&gt;&lt;author&gt;Conti, Angela&lt;/author&gt;&lt;author&gt;Casagrande Pierantoni, Debora&lt;/author&gt;&lt;author&gt;Robert, Vincent&lt;/author&gt;&lt;author&gt;Corte, Laura&lt;/author&gt;&lt;author&gt;Cardinali, Gianluigi&lt;/author&gt;&lt;/authors&gt;&lt;/contributors&gt;&lt;titles&gt;&lt;title&gt;MinION sequencing of yeast mock communities to assess the effect of databases and ITS-LSU markers on the reliability of metabarcoding analysis&lt;/title&gt;&lt;secondary-title&gt;Microbiology spectrum&lt;/secondary-title&gt;&lt;/titles&gt;&lt;periodical&gt;&lt;full-title&gt;Microbiology spectrum&lt;/full-title&gt;&lt;/periodical&gt;&lt;pages&gt;e01052-22&lt;/pages&gt;&lt;volume&gt;11&lt;/volume&gt;&lt;number&gt;1&lt;/number&gt;&lt;dates&gt;&lt;year&gt;2023&lt;/year&gt;&lt;/dates&gt;&lt;isbn&gt;2165-0497&lt;/isbn&gt;&lt;urls&gt;&lt;/urls&gt;&lt;/record&gt;&lt;/Cite&gt;&lt;/EndNote&gt;</w:instrText>
      </w:r>
      <w:r w:rsidR="00C03190">
        <w:rPr>
          <w:rFonts w:ascii="Times New Roman" w:hAnsi="Times New Roman" w:cs="Times New Roman"/>
          <w:lang w:val="en-GB"/>
        </w:rPr>
        <w:fldChar w:fldCharType="separate"/>
      </w:r>
      <w:r w:rsidR="00C03190" w:rsidRPr="00C03190">
        <w:rPr>
          <w:rFonts w:ascii="Times New Roman" w:hAnsi="Times New Roman" w:cs="Times New Roman"/>
          <w:noProof/>
          <w:sz w:val="20"/>
          <w:lang w:val="en-GB"/>
        </w:rPr>
        <w:t>[44]</w:t>
      </w:r>
      <w:r w:rsidR="00C03190">
        <w:rPr>
          <w:rFonts w:ascii="Times New Roman" w:hAnsi="Times New Roman" w:cs="Times New Roman"/>
          <w:lang w:val="en-GB"/>
        </w:rPr>
        <w:fldChar w:fldCharType="end"/>
      </w:r>
      <w:r w:rsidR="00C03190" w:rsidRPr="00C03190">
        <w:rPr>
          <w:rFonts w:ascii="Times New Roman" w:hAnsi="Times New Roman" w:cs="Times New Roman"/>
          <w:lang w:val="en-GB"/>
        </w:rPr>
        <w:t xml:space="preserve"> </w:t>
      </w:r>
      <w:r w:rsidRPr="00C03190">
        <w:rPr>
          <w:rFonts w:ascii="Times New Roman" w:hAnsi="Times New Roman" w:cs="Times New Roman"/>
          <w:lang w:val="en-GB"/>
        </w:rPr>
        <w:t>,</w:t>
      </w:r>
      <w:r w:rsidRPr="00EC0E13">
        <w:rPr>
          <w:rFonts w:ascii="Times New Roman" w:hAnsi="Times New Roman" w:cs="Times New Roman"/>
          <w:lang w:val="en-GB"/>
        </w:rPr>
        <w:t xml:space="preserve"> in which genomic DNA from defined fungal species was combined at known relative proportions before amplification and Oxford Nanopore sequencing. </w:t>
      </w:r>
    </w:p>
    <w:p w14:paraId="2C81D1B9" w14:textId="32C96DC7" w:rsidR="00EC0E13" w:rsidRPr="00EC0E13" w:rsidRDefault="00EC0E13" w:rsidP="00185210">
      <w:pPr>
        <w:spacing w:before="80" w:after="80" w:line="276" w:lineRule="auto"/>
        <w:jc w:val="both"/>
        <w:rPr>
          <w:rFonts w:ascii="Times New Roman" w:hAnsi="Times New Roman" w:cs="Times New Roman"/>
          <w:lang w:val="en-GB"/>
        </w:rPr>
      </w:pPr>
      <w:r w:rsidRPr="00EC0E13">
        <w:rPr>
          <w:rFonts w:ascii="Times New Roman" w:hAnsi="Times New Roman" w:cs="Times New Roman"/>
          <w:lang w:val="en-GB"/>
        </w:rPr>
        <w:t>For each mock community, two amplicon strategies were compared. The standard fungal barcode was generated using the ITS1/ITS4 primer pair, targeting the ITS1–5.8S–ITS2 region. The extended long-read marker was generated using the NS1/RC95 primer pair, spanning the 18S–ITS–LSU region and including the LSU D1/D2 domain</w:t>
      </w:r>
      <w:r w:rsidR="00754832">
        <w:rPr>
          <w:rFonts w:ascii="Times New Roman" w:hAnsi="Times New Roman" w:cs="Times New Roman"/>
          <w:lang w:val="en-GB"/>
        </w:rPr>
        <w:t xml:space="preserve"> </w:t>
      </w:r>
      <w:r w:rsidR="00754832">
        <w:rPr>
          <w:rFonts w:ascii="Times New Roman" w:hAnsi="Times New Roman" w:cs="Times New Roman"/>
          <w:lang w:val="en-GB"/>
        </w:rPr>
        <w:fldChar w:fldCharType="begin"/>
      </w:r>
      <w:r w:rsidR="00754832">
        <w:rPr>
          <w:rFonts w:ascii="Times New Roman" w:hAnsi="Times New Roman" w:cs="Times New Roman"/>
          <w:lang w:val="en-GB"/>
        </w:rPr>
        <w:instrText xml:space="preserve"> ADDIN EN.CITE &lt;EndNote&gt;&lt;Cite&gt;&lt;Author&gt;Wurzbacher&lt;/Author&gt;&lt;Year&gt;2019&lt;/Year&gt;&lt;RecNum&gt;2&lt;/RecNum&gt;&lt;DisplayText&gt;&lt;style size="10"&gt;[12]&lt;/style&gt;&lt;/DisplayText&gt;&lt;record&gt;&lt;rec-number&gt;2&lt;/rec-number&gt;&lt;foreign-keys&gt;&lt;key app="EN" db-id="a5ewd5adyz0t5pes20q5xvarvd2d0vvvt5zf" timestamp="1782892711"&gt;2&lt;/key&gt;&lt;/foreign-keys&gt;&lt;ref-type name="Journal Article"&gt;17&lt;/ref-type&gt;&lt;contributors&gt;&lt;authors&gt;&lt;author&gt;Wurzbacher, Christian&lt;/author&gt;&lt;author&gt;Larsson, Ellen&lt;/author&gt;&lt;author&gt;Bengtsson‐Palme, Johan&lt;/author&gt;&lt;author&gt;Van den Wyngaert, Silke&lt;/author&gt;&lt;author&gt;Svantesson, Sten&lt;/author&gt;&lt;author&gt;Kristiansson, Erik&lt;/author&gt;&lt;author&gt;Kagami, Maiko&lt;/author&gt;&lt;author&gt;Nilsson, R Henrik&lt;/author&gt;&lt;/authors&gt;&lt;/contributors&gt;&lt;titles&gt;&lt;title&gt;Introducing ribosomal tandem repeat barcoding for fungi&lt;/title&gt;&lt;secondary-title&gt;Molecular ecology resources&lt;/secondary-title&gt;&lt;/titles&gt;&lt;periodical&gt;&lt;full-title&gt;Molecular Ecology Resources&lt;/full-title&gt;&lt;/periodical&gt;&lt;pages&gt;118-127&lt;/pages&gt;&lt;volume&gt;19&lt;/volume&gt;&lt;number&gt;1&lt;/number&gt;&lt;dates&gt;&lt;year&gt;2019&lt;/year&gt;&lt;/dates&gt;&lt;isbn&gt;1755-098X&lt;/isbn&gt;&lt;urls&gt;&lt;/urls&gt;&lt;/record&gt;&lt;/Cite&gt;&lt;/EndNote&gt;</w:instrText>
      </w:r>
      <w:r w:rsidR="00754832">
        <w:rPr>
          <w:rFonts w:ascii="Times New Roman" w:hAnsi="Times New Roman" w:cs="Times New Roman"/>
          <w:lang w:val="en-GB"/>
        </w:rPr>
        <w:fldChar w:fldCharType="separate"/>
      </w:r>
      <w:r w:rsidR="00754832" w:rsidRPr="00754832">
        <w:rPr>
          <w:rFonts w:ascii="Times New Roman" w:hAnsi="Times New Roman" w:cs="Times New Roman"/>
          <w:noProof/>
          <w:sz w:val="20"/>
          <w:lang w:val="en-GB"/>
        </w:rPr>
        <w:t>[12]</w:t>
      </w:r>
      <w:r w:rsidR="00754832">
        <w:rPr>
          <w:rFonts w:ascii="Times New Roman" w:hAnsi="Times New Roman" w:cs="Times New Roman"/>
          <w:lang w:val="en-GB"/>
        </w:rPr>
        <w:fldChar w:fldCharType="end"/>
      </w:r>
      <w:r w:rsidRPr="00EC0E13">
        <w:rPr>
          <w:rFonts w:ascii="Times New Roman" w:hAnsi="Times New Roman" w:cs="Times New Roman"/>
          <w:lang w:val="en-GB"/>
        </w:rPr>
        <w:t xml:space="preserve">. </w:t>
      </w:r>
    </w:p>
    <w:p w14:paraId="0B576FF1" w14:textId="77777777" w:rsidR="00EC0E13" w:rsidRPr="00EC0E13" w:rsidRDefault="00EC0E13" w:rsidP="00185210">
      <w:pPr>
        <w:spacing w:before="80" w:after="80" w:line="276" w:lineRule="auto"/>
        <w:jc w:val="both"/>
        <w:rPr>
          <w:rFonts w:ascii="Times New Roman" w:hAnsi="Times New Roman" w:cs="Times New Roman"/>
          <w:b/>
          <w:bCs/>
          <w:color w:val="2E5090"/>
          <w:lang w:val="en-GB"/>
        </w:rPr>
      </w:pPr>
      <w:r w:rsidRPr="00EC0E13">
        <w:rPr>
          <w:rFonts w:ascii="Times New Roman" w:hAnsi="Times New Roman" w:cs="Times New Roman"/>
          <w:lang w:val="en-GB"/>
        </w:rPr>
        <w:t>Sequencing reads from the wet mock communities were analysed with LOREON using the same reference-based workflow applied to the synthetic datasets. Short ITS reads were mapped against the UNITE fungal ITS reference database, whereas extended 18S–ITS–LSU reads were mapped against the Eukaryome long-read database. Expected taxonomic composition and relative abundances were derived from the known mock-community design and used as ground truth for calculating precision, recall, F1 score, false-positive counts and correlations between observed and expected abundances</w:t>
      </w:r>
      <w:r w:rsidRPr="00EC0E13">
        <w:rPr>
          <w:rFonts w:ascii="Times New Roman" w:hAnsi="Times New Roman" w:cs="Times New Roman"/>
          <w:b/>
          <w:bCs/>
          <w:color w:val="2E5090"/>
          <w:lang w:val="en-GB"/>
        </w:rPr>
        <w:t>.</w:t>
      </w:r>
    </w:p>
    <w:p w14:paraId="6FFADE6E" w14:textId="77777777" w:rsidR="006A2195" w:rsidRPr="00CA4286" w:rsidRDefault="006A2195" w:rsidP="00CA4286">
      <w:pPr>
        <w:rPr>
          <w:rFonts w:ascii="Times New Roman" w:hAnsi="Times New Roman" w:cs="Times New Roman"/>
          <w:lang w:val="en-GB"/>
        </w:rPr>
      </w:pPr>
    </w:p>
    <w:p w14:paraId="0634053F" w14:textId="77777777"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2.4 Biological Performance Metrics</w:t>
      </w:r>
    </w:p>
    <w:p w14:paraId="5A9C287B" w14:textId="77777777" w:rsidR="00036EDF" w:rsidRPr="00036EDF" w:rsidRDefault="00036EDF" w:rsidP="00036EDF">
      <w:pPr>
        <w:spacing w:before="80" w:after="80" w:line="276" w:lineRule="auto"/>
        <w:jc w:val="both"/>
        <w:rPr>
          <w:rFonts w:ascii="Times New Roman" w:hAnsi="Times New Roman" w:cs="Times New Roman"/>
          <w:lang w:val="en-GB"/>
        </w:rPr>
      </w:pPr>
      <w:r w:rsidRPr="00036EDF">
        <w:rPr>
          <w:rFonts w:ascii="Times New Roman" w:hAnsi="Times New Roman" w:cs="Times New Roman"/>
          <w:lang w:val="en-GB"/>
        </w:rPr>
        <w:t>Downstream analyses were performed in R on the OTU tables generated by LOREON. Observed taxonomic profiles were compared with the corresponding ground-truth composition for each synthetic or wet mock community. Taxa not detected in either the observed or expected profile were excluded from correlation analyses, whereas missing abundance values were set to zero before metric calculation. Species-level true positives, false positives and false negatives were defined by binarizing observed and expected abundances according to the selected threshold. Precision was calculated as TP/(TP + FP), recall as TP/(TP + FN), and F1 score as the harmonic mean of precision and recall. Agreement between observed and expected relative abundances was assessed using Pearson and Spearman correlation coefficients.</w:t>
      </w:r>
    </w:p>
    <w:p w14:paraId="14B9E8ED" w14:textId="75F44782" w:rsidR="006A2195" w:rsidRPr="004D313C" w:rsidRDefault="00036EDF" w:rsidP="00186B5A">
      <w:pPr>
        <w:spacing w:before="80" w:after="80" w:line="276" w:lineRule="auto"/>
        <w:jc w:val="both"/>
        <w:rPr>
          <w:rFonts w:ascii="Times New Roman" w:hAnsi="Times New Roman" w:cs="Times New Roman"/>
          <w:lang w:val="en-GB"/>
        </w:rPr>
      </w:pPr>
      <w:r w:rsidRPr="00036EDF">
        <w:rPr>
          <w:rFonts w:ascii="Times New Roman" w:hAnsi="Times New Roman" w:cs="Times New Roman"/>
          <w:lang w:val="en-GB"/>
        </w:rPr>
        <w:t xml:space="preserve">For fully synthetic mock communities, observed taxa represented by a single read or by &lt;0.1% relative abundance were removed before metric calculation, and TP, FP and FN were computed using a minimum read-count threshold. For wet fungal mock communities, metrics were calculated independently for each mock and amplicon strategy using a relative-abundance threshold of 0.0005. In addition to precision, recall and F1 score, we quantified the number of false-positive taxa and their cumulative relative abundance. To assess the robustness of marker-length effects to abundance filtering, sensitivity analyses were performed across multiple relative-abundance thresholds, and mean precision, recall and F1 score were summarized across mock communities. Precision–recall curves were generated by applying increasing abundance thresholds to the observed profiles while keeping the expected species set fixed; area under the precision–recall curve was estimated by trapezoidal integration. </w:t>
      </w:r>
      <w:r w:rsidRPr="004D313C">
        <w:rPr>
          <w:rFonts w:ascii="Times New Roman" w:hAnsi="Times New Roman" w:cs="Times New Roman"/>
          <w:lang w:val="en-GB"/>
        </w:rPr>
        <w:t>All plots were generated with ggplot2 and patchwork.</w:t>
      </w:r>
    </w:p>
    <w:p w14:paraId="3B2997ED" w14:textId="77777777" w:rsidR="006A2195" w:rsidRPr="00296230" w:rsidRDefault="006A2195" w:rsidP="00186B5A">
      <w:pPr>
        <w:spacing w:before="80" w:after="80"/>
        <w:jc w:val="both"/>
        <w:rPr>
          <w:rFonts w:ascii="Times New Roman" w:hAnsi="Times New Roman" w:cs="Times New Roman"/>
          <w:lang w:val="en-GB"/>
        </w:rPr>
      </w:pPr>
    </w:p>
    <w:p w14:paraId="45B6320B" w14:textId="77777777"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2.5 Computational Benchmarking</w:t>
      </w:r>
    </w:p>
    <w:p w14:paraId="79AAACC1"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lastRenderedPageBreak/>
        <w:t xml:space="preserve">LOREON's built-in performance profiling module was used to record per-step wall time, CPU time, and resident memory (RSS) across all platforms and analyses. Profiling was activated via the </w:t>
      </w:r>
      <w:r w:rsidRPr="00296230">
        <w:rPr>
          <w:rFonts w:ascii="Times New Roman" w:hAnsi="Times New Roman" w:cs="Times New Roman"/>
          <w:i/>
          <w:iCs/>
          <w:lang w:val="en-GB"/>
        </w:rPr>
        <w:t>--profile</w:t>
      </w:r>
      <w:r w:rsidRPr="00296230">
        <w:rPr>
          <w:rFonts w:ascii="Times New Roman" w:hAnsi="Times New Roman" w:cs="Times New Roman"/>
          <w:lang w:val="en-GB"/>
        </w:rPr>
        <w:t xml:space="preserve"> flag, with metrics reported in JSON format. All runs were performed on freshly cleared output directories to exclude caching effects except for taxonomy map reuse, which reflects real-world usage patterns.</w:t>
      </w:r>
    </w:p>
    <w:p w14:paraId="23B2635F"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Three hardware configurations were evaluated, representing environments typically available in non-specialist microbiology laboratories (Table 1): (i) Apple M4 Pro with 14 cores and 24 GB RAM running macOS Sequoia 15; (ii) an Intel Core i5-6400T 4-core laboratory workstation with 15 GB RAM running Ubuntu 24.04 LTS; and (iii) a consumer Windows 11 PC with 8 available threads, running LOREON in Docker-based mode (the standard Windows deployment). On the Ubuntu workstation, 20 total threads were allocated for throughput maximisation; on the Mac, 10 threads were used (4 per mapping job); on the Windows PC, 8 threads with 4 per job.</w:t>
      </w:r>
    </w:p>
    <w:p w14:paraId="0D9B05B6" w14:textId="77777777" w:rsidR="006A2195" w:rsidRPr="00296230" w:rsidRDefault="006A2195" w:rsidP="00186B5A">
      <w:pPr>
        <w:spacing w:before="80" w:after="80"/>
        <w:jc w:val="both"/>
        <w:rPr>
          <w:rFonts w:ascii="Times New Roman" w:hAnsi="Times New Roman" w:cs="Times New Roman"/>
          <w:lang w:val="en-GB"/>
        </w:rPr>
      </w:pPr>
    </w:p>
    <w:p w14:paraId="0F36D490" w14:textId="77777777"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2.6 Comparison with EPI2ME wf-16s</w:t>
      </w:r>
    </w:p>
    <w:p w14:paraId="458549B1" w14:textId="178F8BBB"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EPI2ME wf-16s (Oxford Nanopore Technologies, version tested March 2026) </w:t>
      </w:r>
      <w:r w:rsidRPr="00296230">
        <w:rPr>
          <w:rFonts w:ascii="Times New Roman" w:hAnsi="Times New Roman" w:cs="Times New Roman"/>
          <w:i/>
          <w:lang w:val="en-GB"/>
        </w:rPr>
        <w:t>(Oxford Nanopore Technologies, 2024)</w:t>
      </w:r>
      <w:r w:rsidRPr="00296230">
        <w:rPr>
          <w:rFonts w:ascii="Times New Roman" w:hAnsi="Times New Roman" w:cs="Times New Roman"/>
          <w:vertAlign w:val="superscript"/>
          <w:lang w:val="en-GB"/>
        </w:rPr>
        <w:t>11</w:t>
      </w:r>
      <w:r w:rsidRPr="00296230">
        <w:rPr>
          <w:rStyle w:val="Rimandonotaapidipagina"/>
          <w:rFonts w:ascii="Times New Roman" w:hAnsi="Times New Roman" w:cs="Times New Roman"/>
        </w:rPr>
        <w:footnoteReference w:id="1"/>
      </w:r>
      <w:r w:rsidRPr="00296230">
        <w:rPr>
          <w:rFonts w:ascii="Times New Roman" w:hAnsi="Times New Roman" w:cs="Times New Roman"/>
          <w:lang w:val="en-GB"/>
        </w:rPr>
        <w:t xml:space="preserve"> was run on the same hardware and identical input data (MBARC 16S mock, 958,655 reads) using its default configuration (minimap2 v2.28-r1209, NCBI 16S/18S pre-built database, length filter 800–2,000 bp, minimum percent identity 10%, minimum reference coverage 10%, 4 threads). LOREON was run with SILVA 138.2 NR99 (510,495 entries), no length filter, 10 total threads, and 4 threads per job. Nextflow execution trace logs were parsed for per-task timing and peak memory. Orchestration overhead was defined as total wall time minus the mapping step duration. All measurements are single-run observations on a quiescent machine; the minimap2 processing step dominates (&gt;96% of total time) and is intrinsically stochastic due to kernel scheduling, thus within-run differences of 1–3% are within normal variation.</w:t>
      </w:r>
    </w:p>
    <w:p w14:paraId="2568D9AD" w14:textId="77777777" w:rsidR="006A2195" w:rsidRPr="00296230" w:rsidRDefault="006A2195" w:rsidP="00186B5A">
      <w:pPr>
        <w:spacing w:before="80" w:after="80"/>
        <w:jc w:val="both"/>
        <w:rPr>
          <w:rFonts w:ascii="Times New Roman" w:hAnsi="Times New Roman" w:cs="Times New Roman"/>
          <w:lang w:val="en-GB"/>
        </w:rPr>
      </w:pPr>
    </w:p>
    <w:p w14:paraId="42739B89" w14:textId="77777777" w:rsidR="006A2195" w:rsidRPr="00296230" w:rsidRDefault="00FF5A73" w:rsidP="00186B5A">
      <w:pPr>
        <w:spacing w:before="120" w:after="120"/>
        <w:jc w:val="both"/>
        <w:rPr>
          <w:rFonts w:ascii="Times New Roman" w:hAnsi="Times New Roman" w:cs="Times New Roman"/>
          <w:lang w:val="en-GB"/>
        </w:rPr>
      </w:pPr>
      <w:r w:rsidRPr="00296230">
        <w:rPr>
          <w:rFonts w:ascii="Times New Roman" w:hAnsi="Times New Roman" w:cs="Times New Roman"/>
          <w:b/>
          <w:bCs/>
          <w:lang w:val="en-GB"/>
        </w:rPr>
        <w:t xml:space="preserve">Table 1. </w:t>
      </w:r>
      <w:r w:rsidRPr="00296230">
        <w:rPr>
          <w:rFonts w:ascii="Times New Roman" w:hAnsi="Times New Roman" w:cs="Times New Roman"/>
          <w:lang w:val="en-GB"/>
        </w:rPr>
        <w:t>Hardware specifications of the three platforms used for benchmarking.</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000"/>
        <w:gridCol w:w="2000"/>
        <w:gridCol w:w="1500"/>
        <w:gridCol w:w="1500"/>
        <w:gridCol w:w="2026"/>
      </w:tblGrid>
      <w:tr w:rsidR="006A2195" w:rsidRPr="00296230" w14:paraId="43E59BFF" w14:textId="77777777">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822C0D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Platform</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184DE648"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CPU</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F8825A1"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Cores / Threads</w:t>
            </w:r>
          </w:p>
        </w:tc>
        <w:tc>
          <w:tcPr>
            <w:tcW w:w="1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5188AA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RAM</w:t>
            </w:r>
          </w:p>
        </w:tc>
        <w:tc>
          <w:tcPr>
            <w:tcW w:w="20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98BD13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OS</w:t>
            </w:r>
          </w:p>
        </w:tc>
      </w:tr>
      <w:tr w:rsidR="006A2195" w:rsidRPr="00296230" w14:paraId="6BE808AA"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A9E52E3"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macOS M4 Pro</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6DEB2B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Apple M4 Pro</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87B180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14 / 14</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555C6E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24 GB</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6BD0150"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macOS Sequoia 15</w:t>
            </w:r>
          </w:p>
        </w:tc>
      </w:tr>
      <w:tr w:rsidR="006A2195" w:rsidRPr="00296230" w14:paraId="078A880E" w14:textId="77777777">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FA1613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Ubuntu Lab WS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D1B2D6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Intel Core i5-6400T</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6A9D1F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4 / 4</w:t>
            </w:r>
          </w:p>
        </w:tc>
        <w:tc>
          <w:tcPr>
            <w:tcW w:w="1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BE99D45"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 GB</w:t>
            </w:r>
          </w:p>
        </w:tc>
        <w:tc>
          <w:tcPr>
            <w:tcW w:w="20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43290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Ubuntu 24.04 LTS</w:t>
            </w:r>
          </w:p>
        </w:tc>
      </w:tr>
      <w:tr w:rsidR="006A2195" w:rsidRPr="00296230" w14:paraId="3D8B89BD" w14:textId="77777777">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8923AA1"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Windows 11 PC</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CE01F8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Intel Core i7 (8 th)</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D25A31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8 / 8</w:t>
            </w:r>
          </w:p>
        </w:tc>
        <w:tc>
          <w:tcPr>
            <w:tcW w:w="1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7EE22D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16 GB</w:t>
            </w:r>
          </w:p>
        </w:tc>
        <w:tc>
          <w:tcPr>
            <w:tcW w:w="20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5BB4D2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Windows 11</w:t>
            </w:r>
          </w:p>
        </w:tc>
      </w:tr>
    </w:tbl>
    <w:p w14:paraId="2D2FF6D2" w14:textId="77777777" w:rsidR="006A2195" w:rsidRPr="00296230" w:rsidRDefault="006A2195" w:rsidP="00186B5A">
      <w:pPr>
        <w:spacing w:before="200" w:after="200"/>
        <w:jc w:val="both"/>
        <w:rPr>
          <w:rFonts w:ascii="Times New Roman" w:hAnsi="Times New Roman" w:cs="Times New Roman"/>
        </w:rPr>
      </w:pPr>
    </w:p>
    <w:p w14:paraId="241CA3F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br w:type="page"/>
      </w:r>
    </w:p>
    <w:p w14:paraId="79CC089C" w14:textId="376232BB" w:rsidR="006A2195" w:rsidRPr="00B36138" w:rsidRDefault="00FF5A73" w:rsidP="00186B5A">
      <w:pPr>
        <w:pStyle w:val="Titolo1"/>
        <w:jc w:val="both"/>
        <w:rPr>
          <w:rFonts w:ascii="Times New Roman" w:hAnsi="Times New Roman" w:cs="Times New Roman"/>
          <w:sz w:val="22"/>
          <w:szCs w:val="22"/>
          <w:lang w:val="en-GB"/>
        </w:rPr>
      </w:pPr>
      <w:r w:rsidRPr="00B36138">
        <w:rPr>
          <w:rFonts w:ascii="Times New Roman" w:hAnsi="Times New Roman" w:cs="Times New Roman"/>
          <w:sz w:val="22"/>
          <w:szCs w:val="22"/>
          <w:lang w:val="en-GB"/>
        </w:rPr>
        <w:lastRenderedPageBreak/>
        <w:t xml:space="preserve">3. </w:t>
      </w:r>
      <w:r w:rsidR="000536A0" w:rsidRPr="00B36138">
        <w:rPr>
          <w:rFonts w:ascii="Times New Roman" w:hAnsi="Times New Roman" w:cs="Times New Roman"/>
          <w:sz w:val="22"/>
          <w:szCs w:val="22"/>
          <w:lang w:val="en-GB"/>
        </w:rPr>
        <w:t>Results</w:t>
      </w:r>
    </w:p>
    <w:p w14:paraId="69EC5ECD" w14:textId="7B037FA3" w:rsidR="009C23A0" w:rsidRPr="00296230" w:rsidRDefault="00141730" w:rsidP="00186B5A">
      <w:pPr>
        <w:pStyle w:val="Titolo2"/>
        <w:jc w:val="both"/>
        <w:rPr>
          <w:rFonts w:ascii="Times New Roman" w:hAnsi="Times New Roman" w:cs="Times New Roman"/>
          <w:sz w:val="22"/>
          <w:szCs w:val="22"/>
          <w:lang w:val="en-GB"/>
        </w:rPr>
      </w:pPr>
      <w:r>
        <w:rPr>
          <w:rFonts w:ascii="Times New Roman" w:hAnsi="Times New Roman" w:cs="Times New Roman"/>
          <w:sz w:val="22"/>
          <w:szCs w:val="22"/>
          <w:lang w:val="en-GB"/>
        </w:rPr>
        <w:t>3.</w:t>
      </w:r>
      <w:r w:rsidR="009C23A0" w:rsidRPr="00296230">
        <w:rPr>
          <w:rFonts w:ascii="Times New Roman" w:hAnsi="Times New Roman" w:cs="Times New Roman"/>
          <w:sz w:val="22"/>
          <w:szCs w:val="22"/>
          <w:lang w:val="en-GB"/>
        </w:rPr>
        <w:t xml:space="preserve">1) </w:t>
      </w:r>
      <w:r w:rsidR="006E7108" w:rsidRPr="006E7108">
        <w:rPr>
          <w:rFonts w:ascii="Times New Roman" w:hAnsi="Times New Roman" w:cs="Times New Roman"/>
          <w:sz w:val="22"/>
          <w:szCs w:val="22"/>
          <w:lang w:val="en-GB"/>
        </w:rPr>
        <w:t xml:space="preserve">Design of </w:t>
      </w:r>
      <w:r w:rsidR="00317F2E">
        <w:rPr>
          <w:rFonts w:ascii="Times New Roman" w:hAnsi="Times New Roman" w:cs="Times New Roman"/>
          <w:sz w:val="22"/>
          <w:szCs w:val="22"/>
          <w:lang w:val="en-GB"/>
        </w:rPr>
        <w:t>dry (</w:t>
      </w:r>
      <w:r w:rsidR="00F81EB6">
        <w:rPr>
          <w:rFonts w:ascii="Times New Roman" w:hAnsi="Times New Roman" w:cs="Times New Roman"/>
          <w:i/>
          <w:iCs/>
          <w:sz w:val="22"/>
          <w:szCs w:val="22"/>
          <w:lang w:val="en-GB"/>
        </w:rPr>
        <w:t xml:space="preserve">in silico </w:t>
      </w:r>
      <w:r w:rsidR="00317F2E">
        <w:rPr>
          <w:rFonts w:ascii="Times New Roman" w:hAnsi="Times New Roman" w:cs="Times New Roman"/>
          <w:sz w:val="22"/>
          <w:szCs w:val="22"/>
          <w:lang w:val="en-GB"/>
        </w:rPr>
        <w:t>)</w:t>
      </w:r>
      <w:r w:rsidR="006E7108" w:rsidRPr="006E7108">
        <w:rPr>
          <w:rFonts w:ascii="Times New Roman" w:hAnsi="Times New Roman" w:cs="Times New Roman"/>
          <w:sz w:val="22"/>
          <w:szCs w:val="22"/>
          <w:lang w:val="en-GB"/>
        </w:rPr>
        <w:t xml:space="preserve"> and wet mock communities for marker-length benchmarking</w:t>
      </w:r>
    </w:p>
    <w:p w14:paraId="24996F6A" w14:textId="7BDE6C0A" w:rsidR="006E7108" w:rsidRDefault="006E7108" w:rsidP="006E7108">
      <w:pPr>
        <w:pStyle w:val="NormaleWeb"/>
        <w:spacing w:before="80" w:beforeAutospacing="0" w:after="80" w:afterAutospacing="0" w:line="276" w:lineRule="auto"/>
        <w:rPr>
          <w:sz w:val="22"/>
          <w:szCs w:val="22"/>
          <w:lang w:val="en-GB"/>
        </w:rPr>
      </w:pPr>
      <w:r w:rsidRPr="006E7108">
        <w:rPr>
          <w:sz w:val="22"/>
          <w:szCs w:val="22"/>
          <w:lang w:val="en-GB"/>
        </w:rPr>
        <w:t>To disentangle the contribution of marker length from experimental and database-dependent sources of variation, we designed a two-</w:t>
      </w:r>
      <w:r w:rsidR="00B36138">
        <w:rPr>
          <w:sz w:val="22"/>
          <w:szCs w:val="22"/>
          <w:lang w:val="en-GB"/>
        </w:rPr>
        <w:t>step</w:t>
      </w:r>
      <w:r w:rsidRPr="006E7108">
        <w:rPr>
          <w:sz w:val="22"/>
          <w:szCs w:val="22"/>
          <w:lang w:val="en-GB"/>
        </w:rPr>
        <w:t xml:space="preserve"> benchmarking framework comprising fully synthetic in silico mock communities and experimentally amplified wet mock communities. The synthetic datasets were generated to provide a controlled test of LOREON across marker systems and amplicon lengths, whereas the wet mock communities were used to evaluate whether the same trends were retained under more realistic laboratory conditions, including primer-dependent amplification bias and uneven template recovery.</w:t>
      </w:r>
    </w:p>
    <w:p w14:paraId="2CFB51E8" w14:textId="24A55B06" w:rsidR="006E7108" w:rsidRPr="006E7108" w:rsidRDefault="006E7108" w:rsidP="006E7108">
      <w:pPr>
        <w:pStyle w:val="NormaleWeb"/>
        <w:spacing w:before="80" w:beforeAutospacing="0" w:after="80" w:afterAutospacing="0" w:line="276" w:lineRule="auto"/>
        <w:rPr>
          <w:sz w:val="22"/>
          <w:szCs w:val="22"/>
          <w:lang w:val="en-GB"/>
        </w:rPr>
      </w:pPr>
      <w:r w:rsidRPr="006E7108">
        <w:rPr>
          <w:sz w:val="22"/>
          <w:szCs w:val="22"/>
          <w:lang w:val="en-GB"/>
        </w:rPr>
        <w:t>For the synthetic benchmark, fungal and bacterial communities of known composition</w:t>
      </w:r>
      <w:r w:rsidR="0039022B">
        <w:rPr>
          <w:sz w:val="22"/>
          <w:szCs w:val="22"/>
          <w:lang w:val="en-GB"/>
        </w:rPr>
        <w:t xml:space="preserve"> </w:t>
      </w:r>
      <w:r w:rsidR="0039022B" w:rsidRPr="006E7108">
        <w:rPr>
          <w:sz w:val="22"/>
          <w:szCs w:val="22"/>
          <w:lang w:val="en-GB"/>
        </w:rPr>
        <w:t>were simulated using Badread with a nanopore2023 error and quality model, a 95–100% identity</w:t>
      </w:r>
      <w:r w:rsidRPr="006E7108">
        <w:rPr>
          <w:sz w:val="22"/>
          <w:szCs w:val="22"/>
          <w:lang w:val="en-GB"/>
        </w:rPr>
        <w:t>. For fungi, two alternative ITS-based marker configurations were compared: a short amplicon corresponding to the conventional ITS1–5.8S–ITS2 barcode</w:t>
      </w:r>
      <w:r w:rsidR="00CC20EF">
        <w:rPr>
          <w:sz w:val="22"/>
          <w:szCs w:val="22"/>
          <w:lang w:val="en-GB"/>
        </w:rPr>
        <w:t xml:space="preserve"> </w:t>
      </w:r>
      <w:r w:rsidRPr="006E7108">
        <w:rPr>
          <w:sz w:val="22"/>
          <w:szCs w:val="22"/>
          <w:lang w:val="en-GB"/>
        </w:rPr>
        <w:t>and a long amplicon spanning the 18S–ITS–LSU D1/D2 region. For bacteria, the short-marker condition corresponded to the V3–V4 region of the 16S rRNA gene, whereas the long-marker condition retained the full-length 16S rRNA gene, approximately 1,500 bp.</w:t>
      </w:r>
    </w:p>
    <w:p w14:paraId="4081F6D1" w14:textId="77777777" w:rsidR="006E7108" w:rsidRPr="006E7108" w:rsidRDefault="006E7108" w:rsidP="006E7108">
      <w:pPr>
        <w:pStyle w:val="NormaleWeb"/>
        <w:spacing w:before="80" w:beforeAutospacing="0" w:after="80" w:afterAutospacing="0" w:line="276" w:lineRule="auto"/>
        <w:rPr>
          <w:sz w:val="22"/>
          <w:szCs w:val="22"/>
          <w:lang w:val="en-GB"/>
        </w:rPr>
      </w:pPr>
      <w:r w:rsidRPr="006E7108">
        <w:rPr>
          <w:sz w:val="22"/>
          <w:szCs w:val="22"/>
          <w:lang w:val="en-GB"/>
        </w:rPr>
        <w:t>In parallel, we generated wet simulated fungal mock communities to assess marker-length effects in a more experimentally realistic setting. In this case, genomes from five fungal species were combined at defined proportions to create a simulated metagenomic template, which was then amplified independently with two primer pairs targeting either the standard ITS1–5.8S–ITS2 region or the extended 18S–ITS–LSU D1/D2 region. This design allowed direct comparison between short and long ITS strategies under matched community composition while preserving sources of variation intrinsic to the wet-lab workflow, including amplification efficiency, primer specificity, and differential recovery across taxa.</w:t>
      </w:r>
    </w:p>
    <w:p w14:paraId="6A52807D" w14:textId="777F925C" w:rsidR="00C219DF" w:rsidRDefault="006E7108" w:rsidP="003F1DBC">
      <w:pPr>
        <w:pStyle w:val="NormaleWeb"/>
        <w:spacing w:before="120" w:beforeAutospacing="0" w:after="120" w:afterAutospacing="0" w:line="276" w:lineRule="auto"/>
        <w:rPr>
          <w:sz w:val="22"/>
          <w:szCs w:val="22"/>
          <w:lang w:val="en-GB"/>
        </w:rPr>
      </w:pPr>
      <w:r w:rsidRPr="006E7108">
        <w:rPr>
          <w:sz w:val="22"/>
          <w:szCs w:val="22"/>
          <w:lang w:val="en-GB"/>
        </w:rPr>
        <w:t>Together, these two complementary mock-community systems enabled us to evaluate LOREON at two levels</w:t>
      </w:r>
      <w:r w:rsidR="00FA3D7B">
        <w:rPr>
          <w:sz w:val="22"/>
          <w:szCs w:val="22"/>
          <w:lang w:val="en-GB"/>
        </w:rPr>
        <w:t>:</w:t>
      </w:r>
      <w:r w:rsidRPr="006E7108">
        <w:rPr>
          <w:sz w:val="22"/>
          <w:szCs w:val="22"/>
          <w:lang w:val="en-GB"/>
        </w:rPr>
        <w:t xml:space="preserve"> </w:t>
      </w:r>
      <w:r w:rsidR="00FA3D7B">
        <w:rPr>
          <w:sz w:val="22"/>
          <w:szCs w:val="22"/>
          <w:lang w:val="en-GB"/>
        </w:rPr>
        <w:t>t</w:t>
      </w:r>
      <w:r w:rsidRPr="006E7108">
        <w:rPr>
          <w:sz w:val="22"/>
          <w:szCs w:val="22"/>
          <w:lang w:val="en-GB"/>
        </w:rPr>
        <w:t>he synthetic communities provided a controlled assessment of whether longer barcode regions improve taxonomic assignment when the expected composition and sequence origin are fully defined. The wet mock communities then tested whether this advantage persisted when the same biological question was exposed to the experimental biases that typically affect metabarcoding workflows. This framework was therefore used to benchmark both the computational flexibility of LOREON across ITS and 16S markers and the biological impact of increasing barcode length on species-level precision, recall, abundance reconstruction, and false-positive control.</w:t>
      </w:r>
    </w:p>
    <w:p w14:paraId="1E9B3591" w14:textId="15C8662A" w:rsidR="003F1DBC" w:rsidRPr="00E24FB6" w:rsidRDefault="003F1DBC" w:rsidP="00C219DF">
      <w:pPr>
        <w:pStyle w:val="Titolo2"/>
        <w:rPr>
          <w:rFonts w:ascii="Times New Roman" w:hAnsi="Times New Roman" w:cs="Times New Roman"/>
          <w:sz w:val="22"/>
          <w:szCs w:val="22"/>
          <w:lang w:val="en-GB"/>
        </w:rPr>
      </w:pPr>
      <w:r w:rsidRPr="00E24FB6">
        <w:rPr>
          <w:rFonts w:ascii="Times New Roman" w:hAnsi="Times New Roman" w:cs="Times New Roman"/>
          <w:sz w:val="22"/>
          <w:szCs w:val="22"/>
          <w:lang w:val="en-GB"/>
        </w:rPr>
        <w:t>3.2</w:t>
      </w:r>
      <w:r w:rsidR="00CC6430" w:rsidRPr="00E24FB6">
        <w:rPr>
          <w:rFonts w:ascii="Times New Roman" w:hAnsi="Times New Roman" w:cs="Times New Roman"/>
          <w:sz w:val="22"/>
          <w:szCs w:val="22"/>
          <w:lang w:val="en-GB"/>
        </w:rPr>
        <w:t>)</w:t>
      </w:r>
      <w:r w:rsidRPr="00E24FB6">
        <w:rPr>
          <w:rFonts w:ascii="Times New Roman" w:hAnsi="Times New Roman" w:cs="Times New Roman"/>
          <w:sz w:val="22"/>
          <w:szCs w:val="22"/>
          <w:lang w:val="en-GB"/>
        </w:rPr>
        <w:t xml:space="preserve"> </w:t>
      </w:r>
      <w:r w:rsidR="00A15E40">
        <w:rPr>
          <w:rFonts w:ascii="Times New Roman" w:hAnsi="Times New Roman" w:cs="Times New Roman"/>
          <w:sz w:val="22"/>
          <w:szCs w:val="22"/>
          <w:lang w:val="en-GB"/>
        </w:rPr>
        <w:t>Dry</w:t>
      </w:r>
      <w:r w:rsidRPr="00E24FB6">
        <w:rPr>
          <w:rFonts w:ascii="Times New Roman" w:hAnsi="Times New Roman" w:cs="Times New Roman"/>
          <w:sz w:val="22"/>
          <w:szCs w:val="22"/>
          <w:lang w:val="en-GB"/>
        </w:rPr>
        <w:t xml:space="preserve"> mock communities demonstrate LOREON flexibility and marker-length effects</w:t>
      </w:r>
    </w:p>
    <w:p w14:paraId="2E0B3B85" w14:textId="4CE23F17" w:rsidR="00B42B54" w:rsidRPr="003F1DBC" w:rsidRDefault="00B42B54" w:rsidP="003F1DBC">
      <w:pPr>
        <w:pStyle w:val="NormaleWeb"/>
        <w:spacing w:before="120" w:beforeAutospacing="0" w:after="120" w:afterAutospacing="0" w:line="276" w:lineRule="auto"/>
        <w:rPr>
          <w:rFonts w:eastAsia="Arial"/>
          <w:b/>
          <w:bCs/>
          <w:color w:val="2E5090"/>
          <w:sz w:val="22"/>
          <w:szCs w:val="22"/>
          <w:lang w:val="en-GB"/>
        </w:rPr>
      </w:pPr>
      <w:r w:rsidRPr="00B42B54">
        <w:rPr>
          <w:sz w:val="22"/>
          <w:szCs w:val="22"/>
          <w:lang w:val="en-GB"/>
        </w:rPr>
        <w:t xml:space="preserve">LOREON was designed as a flexible reference-based analysis framework rather than as a pipeline restricted to predefined barcode loci. In principle, any amplicon, targeted metagenomic region, or shotgun-derived sequence set can be analysed, provided that an appropriate reference database is available for mapping and taxonomic annotation. We therefore evaluated LOREON on fully synthetic mock communities built around the two marker systems currently most widely used in microbial metabarcoding, namely fungal ITS and bacterial 16S rRNA. </w:t>
      </w:r>
    </w:p>
    <w:p w14:paraId="5359488F" w14:textId="3719E232" w:rsidR="00B42B54" w:rsidRDefault="00B42B54" w:rsidP="003F1DBC">
      <w:pPr>
        <w:pStyle w:val="NormaleWeb"/>
        <w:spacing w:before="120" w:beforeAutospacing="0" w:after="120" w:afterAutospacing="0" w:line="276" w:lineRule="auto"/>
        <w:rPr>
          <w:sz w:val="22"/>
          <w:szCs w:val="22"/>
          <w:lang w:val="en-GB"/>
        </w:rPr>
      </w:pPr>
      <w:r w:rsidRPr="00B42B54">
        <w:rPr>
          <w:sz w:val="22"/>
          <w:szCs w:val="22"/>
          <w:lang w:val="en-GB"/>
        </w:rPr>
        <w:t xml:space="preserve">LOREON successfully processed both fungal and bacterial datasets, confirming its applicability across distinct marker systems. In the bacterial benchmark, short and long reads were analysed against the same SILVA reference framework, allowing the effect of marker length to be assessed while keeping the database constant. Extending the target from the V3–V4 region to the full-length 16S rRNA gene improved all classification metrics: precision increased from 0.78 to 0.85, recall from 0.84 </w:t>
      </w:r>
      <w:r w:rsidRPr="00B42B54">
        <w:rPr>
          <w:sz w:val="22"/>
          <w:szCs w:val="22"/>
          <w:lang w:val="en-GB"/>
        </w:rPr>
        <w:lastRenderedPageBreak/>
        <w:t>to 0.88 and F1 score from 0.81 to 0.86. Abundance reconstruction also improved, with Spearman correlation between observed and expected abundances increasing from 0.982 to 0.997. These results indicate that, under a shared reference context, the additional phylogenetic information contained in the longer 16S marker improves both taxon detection and quantitative reconstruction.</w:t>
      </w:r>
    </w:p>
    <w:p w14:paraId="0AC1FE07" w14:textId="0D480BB0" w:rsidR="00B42B54" w:rsidRPr="00C8282A" w:rsidRDefault="00B42B54" w:rsidP="003F1DBC">
      <w:pPr>
        <w:pStyle w:val="NormaleWeb"/>
        <w:spacing w:before="120" w:beforeAutospacing="0" w:after="120" w:afterAutospacing="0" w:line="276" w:lineRule="auto"/>
        <w:rPr>
          <w:sz w:val="22"/>
          <w:szCs w:val="22"/>
          <w:lang w:val="en-GB"/>
        </w:rPr>
      </w:pPr>
      <w:r w:rsidRPr="00B42B54">
        <w:rPr>
          <w:sz w:val="22"/>
          <w:szCs w:val="22"/>
          <w:lang w:val="en-GB"/>
        </w:rPr>
        <w:t>The fungal ITS benchmark showed the same overall direction, although interpretation is more complex because the short and long strategies relied on different reference resources. The standard ITS1–5.8S–ITS2 amplicon analysed against UNITE achieved precision, recall and F1 values of 0.44, 0.80 and 0.57, respectively. By contrast, the extended 18S–ITS–LSU D1/D2 amplicon analysed against Eukaryome reached 0.50 precision, 1.00 recall and 0.67 F1. Thus, the long ITS configuration recovered all expected species and reduced missed detections, while residual false-positive assignments limited the gain in precision. Unlike the 16S comparison, this result reflects the combined contribution of marker length and database structure, since extended fungal ribosomal markers require reference resources specifically curated for long-read eukaryotic amplicons.</w:t>
      </w:r>
      <w:r w:rsidR="00C8282A">
        <w:rPr>
          <w:sz w:val="22"/>
          <w:szCs w:val="22"/>
          <w:lang w:val="en-GB"/>
        </w:rPr>
        <w:t xml:space="preserve"> </w:t>
      </w:r>
      <w:r w:rsidR="00C8282A">
        <w:rPr>
          <w:sz w:val="22"/>
          <w:szCs w:val="22"/>
          <w:lang w:val="en-GB"/>
        </w:rPr>
        <w:br/>
      </w:r>
      <w:r w:rsidR="00C8282A" w:rsidRPr="00C8282A">
        <w:rPr>
          <w:sz w:val="22"/>
          <w:szCs w:val="22"/>
          <w:lang w:val="en-GB"/>
        </w:rPr>
        <w:t xml:space="preserve">At the same time, </w:t>
      </w:r>
      <w:r w:rsidR="00C8282A">
        <w:rPr>
          <w:sz w:val="22"/>
          <w:szCs w:val="22"/>
          <w:lang w:val="en-GB"/>
        </w:rPr>
        <w:t xml:space="preserve">it is important to underline </w:t>
      </w:r>
      <w:r w:rsidR="00C8282A" w:rsidRPr="00C8282A">
        <w:rPr>
          <w:sz w:val="22"/>
          <w:szCs w:val="22"/>
          <w:lang w:val="en-GB"/>
        </w:rPr>
        <w:t>that marker length alone is not sufficient: optimal performance depends on the coordinated choice of locus</w:t>
      </w:r>
      <w:r w:rsidR="00BD0DD9">
        <w:rPr>
          <w:sz w:val="22"/>
          <w:szCs w:val="22"/>
          <w:lang w:val="en-GB"/>
        </w:rPr>
        <w:t xml:space="preserve"> </w:t>
      </w:r>
      <w:r w:rsidR="00C8282A" w:rsidRPr="00C8282A">
        <w:rPr>
          <w:sz w:val="22"/>
          <w:szCs w:val="22"/>
          <w:lang w:val="en-GB"/>
        </w:rPr>
        <w:t>and reference database.</w:t>
      </w:r>
    </w:p>
    <w:p w14:paraId="1838412B" w14:textId="086B9C2E" w:rsidR="00E73563" w:rsidRDefault="00E73563" w:rsidP="00B42B54">
      <w:pPr>
        <w:pStyle w:val="NormaleWeb"/>
        <w:spacing w:before="80" w:beforeAutospacing="0" w:after="80" w:afterAutospacing="0" w:line="276" w:lineRule="auto"/>
        <w:rPr>
          <w:sz w:val="22"/>
          <w:szCs w:val="22"/>
          <w:lang w:val="en-GB"/>
        </w:rPr>
      </w:pPr>
      <w:r>
        <w:rPr>
          <w:noProof/>
          <w:sz w:val="22"/>
          <w:szCs w:val="22"/>
          <w:lang w:val="en-GB"/>
        </w:rPr>
        <w:drawing>
          <wp:inline distT="0" distB="0" distL="0" distR="0" wp14:anchorId="6E2E8D95" wp14:editId="70BCA486">
            <wp:extent cx="5731510" cy="3154680"/>
            <wp:effectExtent l="0" t="0" r="2540" b="7620"/>
            <wp:docPr id="1334532432"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4532432" name="Immagine 1334532432"/>
                    <pic:cNvPicPr/>
                  </pic:nvPicPr>
                  <pic:blipFill>
                    <a:blip r:embed="rId8" cstate="print">
                      <a:extLst>
                        <a:ext uri="{28A0092B-C50C-407E-A947-70E740481C1C}">
                          <a14:useLocalDpi xmlns:a14="http://schemas.microsoft.com/office/drawing/2010/main" val="0"/>
                        </a:ext>
                      </a:extLst>
                    </a:blip>
                    <a:stretch>
                      <a:fillRect/>
                    </a:stretch>
                  </pic:blipFill>
                  <pic:spPr>
                    <a:xfrm>
                      <a:off x="0" y="0"/>
                      <a:ext cx="5731510" cy="3154680"/>
                    </a:xfrm>
                    <a:prstGeom prst="rect">
                      <a:avLst/>
                    </a:prstGeom>
                  </pic:spPr>
                </pic:pic>
              </a:graphicData>
            </a:graphic>
          </wp:inline>
        </w:drawing>
      </w:r>
    </w:p>
    <w:p w14:paraId="583176A2" w14:textId="5BDA3ADA" w:rsidR="00E73563" w:rsidRDefault="00E73563" w:rsidP="00B42B54">
      <w:pPr>
        <w:pStyle w:val="NormaleWeb"/>
        <w:spacing w:before="80" w:beforeAutospacing="0" w:after="80" w:afterAutospacing="0" w:line="276" w:lineRule="auto"/>
        <w:rPr>
          <w:sz w:val="22"/>
          <w:szCs w:val="22"/>
          <w:lang w:val="en-GB"/>
        </w:rPr>
      </w:pPr>
    </w:p>
    <w:p w14:paraId="4B59CFCE" w14:textId="5E510086" w:rsidR="00E73563" w:rsidRPr="00A15E40" w:rsidRDefault="00A15E40" w:rsidP="00B42B54">
      <w:pPr>
        <w:pStyle w:val="NormaleWeb"/>
        <w:spacing w:before="80" w:beforeAutospacing="0" w:after="80" w:afterAutospacing="0" w:line="276" w:lineRule="auto"/>
        <w:rPr>
          <w:i/>
          <w:iCs/>
          <w:sz w:val="22"/>
          <w:szCs w:val="22"/>
          <w:lang w:val="en-GB"/>
        </w:rPr>
      </w:pPr>
      <w:r w:rsidRPr="00A15E40">
        <w:rPr>
          <w:b/>
          <w:bCs/>
          <w:i/>
          <w:iCs/>
          <w:sz w:val="22"/>
          <w:szCs w:val="22"/>
          <w:lang w:val="en-GB"/>
        </w:rPr>
        <w:t>Figure 1.  Dry mock communities reveal marker-length-dependent improvements across fungal ITS and bacterial 16S benchmarks.</w:t>
      </w:r>
      <w:r w:rsidRPr="00A15E40">
        <w:rPr>
          <w:i/>
          <w:iCs/>
          <w:sz w:val="22"/>
          <w:szCs w:val="22"/>
          <w:lang w:val="en-GB"/>
        </w:rPr>
        <w:br/>
        <w:t xml:space="preserve">Dry (in silico) mock communities with known taxonomic composition and abundance structure were analysed with LOREON to compare short and long amplicon configurations for the two main microbial metabarcoding markers. </w:t>
      </w:r>
      <w:r w:rsidRPr="00A15E40">
        <w:rPr>
          <w:b/>
          <w:bCs/>
          <w:i/>
          <w:iCs/>
          <w:sz w:val="22"/>
          <w:szCs w:val="22"/>
          <w:lang w:val="en-GB"/>
        </w:rPr>
        <w:t>a,b,</w:t>
      </w:r>
      <w:r w:rsidRPr="00A15E40">
        <w:rPr>
          <w:i/>
          <w:iCs/>
          <w:sz w:val="22"/>
          <w:szCs w:val="22"/>
          <w:lang w:val="en-GB"/>
        </w:rPr>
        <w:t xml:space="preserve"> Species-level F1 score, precision and recall for bacterial 16S (</w:t>
      </w:r>
      <w:r w:rsidRPr="00A15E40">
        <w:rPr>
          <w:b/>
          <w:bCs/>
          <w:i/>
          <w:iCs/>
          <w:sz w:val="22"/>
          <w:szCs w:val="22"/>
          <w:lang w:val="en-GB"/>
        </w:rPr>
        <w:t>a</w:t>
      </w:r>
      <w:r w:rsidRPr="00A15E40">
        <w:rPr>
          <w:i/>
          <w:iCs/>
          <w:sz w:val="22"/>
          <w:szCs w:val="22"/>
          <w:lang w:val="en-GB"/>
        </w:rPr>
        <w:t>) and fungal ITS (</w:t>
      </w:r>
      <w:r w:rsidRPr="00A15E40">
        <w:rPr>
          <w:b/>
          <w:bCs/>
          <w:i/>
          <w:iCs/>
          <w:sz w:val="22"/>
          <w:szCs w:val="22"/>
          <w:lang w:val="en-GB"/>
        </w:rPr>
        <w:t>b</w:t>
      </w:r>
      <w:r w:rsidRPr="00A15E40">
        <w:rPr>
          <w:i/>
          <w:iCs/>
          <w:sz w:val="22"/>
          <w:szCs w:val="22"/>
          <w:lang w:val="en-GB"/>
        </w:rPr>
        <w:t>) dry mock communities. For bacteria, the short amplicon</w:t>
      </w:r>
      <w:r w:rsidR="0022707E">
        <w:rPr>
          <w:i/>
          <w:iCs/>
          <w:sz w:val="22"/>
          <w:szCs w:val="22"/>
          <w:lang w:val="en-GB"/>
        </w:rPr>
        <w:t xml:space="preserve"> (orange coloured)</w:t>
      </w:r>
      <w:r w:rsidRPr="00A15E40">
        <w:rPr>
          <w:i/>
          <w:iCs/>
          <w:sz w:val="22"/>
          <w:szCs w:val="22"/>
          <w:lang w:val="en-GB"/>
        </w:rPr>
        <w:t xml:space="preserve"> corresponded to the V3–V4 region and the long amplicon</w:t>
      </w:r>
      <w:r w:rsidR="0022707E">
        <w:rPr>
          <w:i/>
          <w:iCs/>
          <w:sz w:val="22"/>
          <w:szCs w:val="22"/>
          <w:lang w:val="en-GB"/>
        </w:rPr>
        <w:t xml:space="preserve"> (light blue coloured)</w:t>
      </w:r>
      <w:r w:rsidRPr="00A15E40">
        <w:rPr>
          <w:i/>
          <w:iCs/>
          <w:sz w:val="22"/>
          <w:szCs w:val="22"/>
          <w:lang w:val="en-GB"/>
        </w:rPr>
        <w:t xml:space="preserve"> to the full-length 16S rRNA gene, both analysed against SILVA. For fungi, the short amplicon</w:t>
      </w:r>
      <w:r w:rsidR="0022707E">
        <w:rPr>
          <w:i/>
          <w:iCs/>
          <w:sz w:val="22"/>
          <w:szCs w:val="22"/>
          <w:lang w:val="en-GB"/>
        </w:rPr>
        <w:t xml:space="preserve"> (orange coloured)</w:t>
      </w:r>
      <w:r w:rsidRPr="00A15E40">
        <w:rPr>
          <w:i/>
          <w:iCs/>
          <w:sz w:val="22"/>
          <w:szCs w:val="22"/>
          <w:lang w:val="en-GB"/>
        </w:rPr>
        <w:t xml:space="preserve"> corresponded to ITS1–5.8S–ITS2 analysed against UNITE, whereas the long amplicon</w:t>
      </w:r>
      <w:r w:rsidR="0022707E">
        <w:rPr>
          <w:i/>
          <w:iCs/>
          <w:sz w:val="22"/>
          <w:szCs w:val="22"/>
          <w:lang w:val="en-GB"/>
        </w:rPr>
        <w:t xml:space="preserve"> (light blue coloured)</w:t>
      </w:r>
      <w:r w:rsidR="0022707E" w:rsidRPr="00A15E40">
        <w:rPr>
          <w:i/>
          <w:iCs/>
          <w:sz w:val="22"/>
          <w:szCs w:val="22"/>
          <w:lang w:val="en-GB"/>
        </w:rPr>
        <w:t xml:space="preserve"> </w:t>
      </w:r>
      <w:r w:rsidRPr="00A15E40">
        <w:rPr>
          <w:i/>
          <w:iCs/>
          <w:sz w:val="22"/>
          <w:szCs w:val="22"/>
          <w:lang w:val="en-GB"/>
        </w:rPr>
        <w:t xml:space="preserve">spanned 18S–ITS–LSU D1/D2 and was analysed against Eukaryome. Bars show metric values after filtering low-abundance observed taxa. </w:t>
      </w:r>
      <w:r w:rsidRPr="00A15E40">
        <w:rPr>
          <w:b/>
          <w:bCs/>
          <w:i/>
          <w:iCs/>
          <w:sz w:val="22"/>
          <w:szCs w:val="22"/>
          <w:lang w:val="en-GB"/>
        </w:rPr>
        <w:t>c,d,</w:t>
      </w:r>
      <w:r w:rsidRPr="00A15E40">
        <w:rPr>
          <w:i/>
          <w:iCs/>
          <w:sz w:val="22"/>
          <w:szCs w:val="22"/>
          <w:lang w:val="en-GB"/>
        </w:rPr>
        <w:t xml:space="preserve"> Observed versus expected relative abundances for short (</w:t>
      </w:r>
      <w:r w:rsidRPr="00A15E40">
        <w:rPr>
          <w:b/>
          <w:bCs/>
          <w:i/>
          <w:iCs/>
          <w:sz w:val="22"/>
          <w:szCs w:val="22"/>
          <w:lang w:val="en-GB"/>
        </w:rPr>
        <w:t>c</w:t>
      </w:r>
      <w:r w:rsidRPr="00A15E40">
        <w:rPr>
          <w:i/>
          <w:iCs/>
          <w:sz w:val="22"/>
          <w:szCs w:val="22"/>
          <w:lang w:val="en-GB"/>
        </w:rPr>
        <w:t>) and long (</w:t>
      </w:r>
      <w:r w:rsidRPr="00A15E40">
        <w:rPr>
          <w:b/>
          <w:bCs/>
          <w:i/>
          <w:iCs/>
          <w:sz w:val="22"/>
          <w:szCs w:val="22"/>
          <w:lang w:val="en-GB"/>
        </w:rPr>
        <w:t>d</w:t>
      </w:r>
      <w:r w:rsidRPr="00A15E40">
        <w:rPr>
          <w:i/>
          <w:iCs/>
          <w:sz w:val="22"/>
          <w:szCs w:val="22"/>
          <w:lang w:val="en-GB"/>
        </w:rPr>
        <w:t xml:space="preserve">) 16S datasets. </w:t>
      </w:r>
      <w:r w:rsidRPr="00A15E40">
        <w:rPr>
          <w:b/>
          <w:bCs/>
          <w:i/>
          <w:iCs/>
          <w:sz w:val="22"/>
          <w:szCs w:val="22"/>
          <w:lang w:val="en-GB"/>
        </w:rPr>
        <w:t>e,f,</w:t>
      </w:r>
      <w:r w:rsidRPr="00A15E40">
        <w:rPr>
          <w:i/>
          <w:iCs/>
          <w:sz w:val="22"/>
          <w:szCs w:val="22"/>
          <w:lang w:val="en-GB"/>
        </w:rPr>
        <w:t xml:space="preserve"> Observed versus expected relative abundances for short (</w:t>
      </w:r>
      <w:r w:rsidRPr="00A15E40">
        <w:rPr>
          <w:b/>
          <w:bCs/>
          <w:i/>
          <w:iCs/>
          <w:sz w:val="22"/>
          <w:szCs w:val="22"/>
          <w:lang w:val="en-GB"/>
        </w:rPr>
        <w:t>e</w:t>
      </w:r>
      <w:r w:rsidRPr="00A15E40">
        <w:rPr>
          <w:i/>
          <w:iCs/>
          <w:sz w:val="22"/>
          <w:szCs w:val="22"/>
          <w:lang w:val="en-GB"/>
        </w:rPr>
        <w:t>) and long (</w:t>
      </w:r>
      <w:r w:rsidRPr="00A15E40">
        <w:rPr>
          <w:b/>
          <w:bCs/>
          <w:i/>
          <w:iCs/>
          <w:sz w:val="22"/>
          <w:szCs w:val="22"/>
          <w:lang w:val="en-GB"/>
        </w:rPr>
        <w:t>f</w:t>
      </w:r>
      <w:r w:rsidRPr="00A15E40">
        <w:rPr>
          <w:i/>
          <w:iCs/>
          <w:sz w:val="22"/>
          <w:szCs w:val="22"/>
          <w:lang w:val="en-GB"/>
        </w:rPr>
        <w:t xml:space="preserve">) ITS datasets. Each point represents one taxon, dashed lines </w:t>
      </w:r>
      <w:r w:rsidRPr="00A15E40">
        <w:rPr>
          <w:i/>
          <w:iCs/>
          <w:sz w:val="22"/>
          <w:szCs w:val="22"/>
          <w:lang w:val="en-GB"/>
        </w:rPr>
        <w:lastRenderedPageBreak/>
        <w:t>indicate the expected 1:1 relationship and R values indicate Pearson correlation coefficients. Across both marker systems, long amplicons improved classification metrics and produced tighter agreement between observed and expected abundances</w:t>
      </w:r>
      <w:r w:rsidR="007769B2">
        <w:rPr>
          <w:i/>
          <w:iCs/>
          <w:sz w:val="22"/>
          <w:szCs w:val="22"/>
          <w:lang w:val="en-GB"/>
        </w:rPr>
        <w:t>.</w:t>
      </w:r>
    </w:p>
    <w:p w14:paraId="5D9E3550" w14:textId="65D826D5" w:rsidR="00E73563" w:rsidRPr="002608CC" w:rsidRDefault="00CC6430" w:rsidP="002608CC">
      <w:pPr>
        <w:pStyle w:val="Titolo2"/>
        <w:rPr>
          <w:rFonts w:ascii="Times New Roman" w:hAnsi="Times New Roman" w:cs="Times New Roman"/>
          <w:lang w:val="en-GB"/>
        </w:rPr>
      </w:pPr>
      <w:r w:rsidRPr="002608CC">
        <w:rPr>
          <w:rFonts w:ascii="Times New Roman" w:hAnsi="Times New Roman" w:cs="Times New Roman"/>
          <w:lang w:val="en-GB"/>
        </w:rPr>
        <w:t>3.3) Long ITS improves taxon recovery and abundance reconstruction in wet simulated fungal communities</w:t>
      </w:r>
    </w:p>
    <w:p w14:paraId="43F07DD6" w14:textId="05BEF4A1" w:rsidR="00673A7E" w:rsidRPr="00673A7E" w:rsidRDefault="00673A7E" w:rsidP="00673A7E">
      <w:pPr>
        <w:pStyle w:val="NormaleWeb"/>
        <w:spacing w:before="80" w:beforeAutospacing="0" w:after="80" w:afterAutospacing="0" w:line="276" w:lineRule="auto"/>
        <w:rPr>
          <w:color w:val="000000" w:themeColor="text1"/>
          <w:sz w:val="22"/>
          <w:szCs w:val="22"/>
          <w:lang w:val="en-GB"/>
        </w:rPr>
      </w:pPr>
      <w:r>
        <w:rPr>
          <w:color w:val="000000" w:themeColor="text1"/>
          <w:sz w:val="22"/>
          <w:szCs w:val="22"/>
          <w:lang w:val="en-GB"/>
        </w:rPr>
        <w:t>Seeing that</w:t>
      </w:r>
      <w:r w:rsidRPr="00673A7E">
        <w:rPr>
          <w:color w:val="000000" w:themeColor="text1"/>
          <w:sz w:val="22"/>
          <w:szCs w:val="22"/>
          <w:lang w:val="en-GB"/>
        </w:rPr>
        <w:t xml:space="preserve"> in fully synthetic datasets longer barcode regions improve</w:t>
      </w:r>
      <w:r w:rsidR="001678DD">
        <w:rPr>
          <w:color w:val="000000" w:themeColor="text1"/>
          <w:sz w:val="22"/>
          <w:szCs w:val="22"/>
          <w:lang w:val="en-GB"/>
        </w:rPr>
        <w:t>d</w:t>
      </w:r>
      <w:r w:rsidRPr="00673A7E">
        <w:rPr>
          <w:color w:val="000000" w:themeColor="text1"/>
          <w:sz w:val="22"/>
          <w:szCs w:val="22"/>
          <w:lang w:val="en-GB"/>
        </w:rPr>
        <w:t xml:space="preserve"> taxonomic reconstruction under controlled conditions, we next </w:t>
      </w:r>
      <w:r w:rsidR="00B51181">
        <w:rPr>
          <w:color w:val="000000" w:themeColor="text1"/>
          <w:sz w:val="22"/>
          <w:szCs w:val="22"/>
          <w:lang w:val="en-GB"/>
        </w:rPr>
        <w:t>assessed</w:t>
      </w:r>
      <w:r w:rsidRPr="00673A7E">
        <w:rPr>
          <w:color w:val="000000" w:themeColor="text1"/>
          <w:sz w:val="22"/>
          <w:szCs w:val="22"/>
          <w:lang w:val="en-GB"/>
        </w:rPr>
        <w:t xml:space="preserve"> whether this advantage persisted in a more realistic experimental setting</w:t>
      </w:r>
      <w:r w:rsidR="00B51181">
        <w:rPr>
          <w:color w:val="000000" w:themeColor="text1"/>
          <w:sz w:val="22"/>
          <w:szCs w:val="22"/>
          <w:lang w:val="en-GB"/>
        </w:rPr>
        <w:t xml:space="preserve">. </w:t>
      </w:r>
      <w:r w:rsidR="00B51181" w:rsidRPr="00B51181">
        <w:rPr>
          <w:color w:val="000000" w:themeColor="text1"/>
          <w:sz w:val="22"/>
          <w:szCs w:val="22"/>
          <w:lang w:val="en-GB"/>
        </w:rPr>
        <w:t>Because fungal metabarcoding remains less well supported by dedicated long-read analysis software than bacterial 16S profiling, we focused this wet-lab validation on fungal mock communities. To this end, defined genomic mixtures were independently amplified using either the standard ITS1–5.8S–ITS2 barcode or the extended 18S–ITS–LSU D1/D2 region, allowing direct comparison of short- and long-marker strategies against a known community ground truth.</w:t>
      </w:r>
      <w:r w:rsidRPr="00673A7E">
        <w:rPr>
          <w:color w:val="000000" w:themeColor="text1"/>
          <w:sz w:val="22"/>
          <w:szCs w:val="22"/>
          <w:lang w:val="en-GB"/>
        </w:rPr>
        <w:t xml:space="preserve"> This design retained a known ground truth while introducing sources of variation typical of laboratory metabarcoding workflows, including primer-dependent amplification bias, differential template recovery and community-specific taxonomic complexity.</w:t>
      </w:r>
    </w:p>
    <w:p w14:paraId="7C185F71" w14:textId="77777777" w:rsidR="00673A7E" w:rsidRPr="00673A7E" w:rsidRDefault="00673A7E" w:rsidP="00673A7E">
      <w:pPr>
        <w:pStyle w:val="NormaleWeb"/>
        <w:spacing w:before="80" w:beforeAutospacing="0" w:after="80" w:afterAutospacing="0" w:line="276" w:lineRule="auto"/>
        <w:rPr>
          <w:color w:val="000000" w:themeColor="text1"/>
          <w:sz w:val="22"/>
          <w:szCs w:val="22"/>
          <w:lang w:val="en-GB"/>
        </w:rPr>
      </w:pPr>
      <w:r w:rsidRPr="00673A7E">
        <w:rPr>
          <w:color w:val="000000" w:themeColor="text1"/>
          <w:sz w:val="22"/>
          <w:szCs w:val="22"/>
          <w:lang w:val="en-GB"/>
        </w:rPr>
        <w:t>In wet simulated fungal mock communities, taxonomic composition strongly influenced assignment performance. Across the six mocks, F1 scores ranged from 0.30 to 0.60 for ITS UltraLong and from 0.125 to 0.375 for ITS Goldstandard, indicating substantial mock-dependent variability. Despite this effect, the extended ITS marker consistently outperformed the standard ITS barcode in every community. ITS UltraLong showed higher F1 values in all six mocks, higher precision in all comparisons (0.19–0.43 versus 0.08–0.30), and equal or higher recall (0.75–1.00 versus 0.25–0.80). The standard ITS approach was affected by both missed expected taxa and abundance distortion: recall dropped to 0.25 in Mock B, 0.33 in Mock D and 0.50 in Mock F, while Pearson correlations with expected abundances were low or negative in several cases, including Mock B (r = −0.26) and Mock D (r = −0.07). ITS UltraLong did not eliminate false-positive assignments, with 7–15 false-positive taxa per mock, but it reduced their impact on community reconstruction and produced a stronger overall agreement between observed and expected abundances, as shown by the higher global correlation in the scatter analysis (R = 0.70 versus R = 0.39 for ITS Goldstandard).</w:t>
      </w:r>
    </w:p>
    <w:p w14:paraId="13EFB15F" w14:textId="77777777" w:rsidR="00673A7E" w:rsidRPr="00673A7E" w:rsidRDefault="00673A7E" w:rsidP="00B42B54">
      <w:pPr>
        <w:pStyle w:val="NormaleWeb"/>
        <w:spacing w:before="80" w:beforeAutospacing="0" w:after="80" w:afterAutospacing="0" w:line="276" w:lineRule="auto"/>
        <w:rPr>
          <w:rFonts w:eastAsia="Arial"/>
          <w:color w:val="000000" w:themeColor="text1"/>
          <w:sz w:val="22"/>
          <w:szCs w:val="22"/>
          <w:lang w:val="en-GB"/>
        </w:rPr>
      </w:pPr>
    </w:p>
    <w:p w14:paraId="0109F88E" w14:textId="77777777" w:rsidR="00670F9C" w:rsidRDefault="00670F9C" w:rsidP="00B42B54">
      <w:pPr>
        <w:pStyle w:val="NormaleWeb"/>
        <w:spacing w:before="80" w:beforeAutospacing="0" w:after="80" w:afterAutospacing="0" w:line="276" w:lineRule="auto"/>
        <w:rPr>
          <w:sz w:val="22"/>
          <w:szCs w:val="22"/>
          <w:lang w:val="en-GB"/>
        </w:rPr>
      </w:pPr>
    </w:p>
    <w:p w14:paraId="386F6926" w14:textId="77777777" w:rsidR="00670F9C" w:rsidRDefault="00670F9C" w:rsidP="00B42B54">
      <w:pPr>
        <w:pStyle w:val="NormaleWeb"/>
        <w:spacing w:before="80" w:beforeAutospacing="0" w:after="80" w:afterAutospacing="0" w:line="276" w:lineRule="auto"/>
        <w:rPr>
          <w:sz w:val="22"/>
          <w:szCs w:val="22"/>
          <w:lang w:val="en-GB"/>
        </w:rPr>
      </w:pPr>
    </w:p>
    <w:p w14:paraId="16045854" w14:textId="77777777" w:rsidR="00670F9C" w:rsidRDefault="00670F9C" w:rsidP="00B42B54">
      <w:pPr>
        <w:pStyle w:val="NormaleWeb"/>
        <w:spacing w:before="80" w:beforeAutospacing="0" w:after="80" w:afterAutospacing="0" w:line="276" w:lineRule="auto"/>
        <w:rPr>
          <w:sz w:val="22"/>
          <w:szCs w:val="22"/>
          <w:lang w:val="en-GB"/>
        </w:rPr>
      </w:pPr>
    </w:p>
    <w:p w14:paraId="135C0799" w14:textId="2521A003" w:rsidR="00CC6430" w:rsidRPr="00CC6430" w:rsidRDefault="00673A7E" w:rsidP="00B42B54">
      <w:pPr>
        <w:pStyle w:val="NormaleWeb"/>
        <w:spacing w:before="80" w:beforeAutospacing="0" w:after="80" w:afterAutospacing="0" w:line="276" w:lineRule="auto"/>
        <w:rPr>
          <w:sz w:val="22"/>
          <w:szCs w:val="22"/>
          <w:lang w:val="en-GB"/>
        </w:rPr>
      </w:pPr>
      <w:r>
        <w:rPr>
          <w:noProof/>
          <w:sz w:val="22"/>
          <w:szCs w:val="22"/>
          <w:lang w:val="en-GB"/>
        </w:rPr>
        <w:lastRenderedPageBreak/>
        <w:drawing>
          <wp:inline distT="0" distB="0" distL="0" distR="0" wp14:anchorId="49E06C41" wp14:editId="102465E1">
            <wp:extent cx="5731510" cy="5509260"/>
            <wp:effectExtent l="0" t="0" r="2540" b="0"/>
            <wp:docPr id="494201536"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4201536" name="Immagine 494201536"/>
                    <pic:cNvPicPr/>
                  </pic:nvPicPr>
                  <pic:blipFill>
                    <a:blip r:embed="rId9" cstate="print">
                      <a:extLst>
                        <a:ext uri="{28A0092B-C50C-407E-A947-70E740481C1C}">
                          <a14:useLocalDpi xmlns:a14="http://schemas.microsoft.com/office/drawing/2010/main" val="0"/>
                        </a:ext>
                      </a:extLst>
                    </a:blip>
                    <a:stretch>
                      <a:fillRect/>
                    </a:stretch>
                  </pic:blipFill>
                  <pic:spPr>
                    <a:xfrm>
                      <a:off x="0" y="0"/>
                      <a:ext cx="5731510" cy="5509260"/>
                    </a:xfrm>
                    <a:prstGeom prst="rect">
                      <a:avLst/>
                    </a:prstGeom>
                  </pic:spPr>
                </pic:pic>
              </a:graphicData>
            </a:graphic>
          </wp:inline>
        </w:drawing>
      </w:r>
    </w:p>
    <w:p w14:paraId="41A142AE" w14:textId="42A408A8" w:rsidR="00670F9C" w:rsidRPr="00670F9C" w:rsidRDefault="00670F9C" w:rsidP="00670F9C">
      <w:pPr>
        <w:rPr>
          <w:rFonts w:ascii="Times New Roman" w:hAnsi="Times New Roman" w:cs="Times New Roman"/>
          <w:i/>
          <w:iCs/>
          <w:lang w:val="en-GB"/>
        </w:rPr>
      </w:pPr>
      <w:r w:rsidRPr="00670F9C">
        <w:rPr>
          <w:rFonts w:ascii="Times New Roman" w:hAnsi="Times New Roman" w:cs="Times New Roman"/>
          <w:b/>
          <w:bCs/>
          <w:i/>
          <w:iCs/>
          <w:lang w:val="en-GB"/>
        </w:rPr>
        <w:t xml:space="preserve">Figure 2. </w:t>
      </w:r>
      <w:r>
        <w:rPr>
          <w:rFonts w:ascii="Times New Roman" w:hAnsi="Times New Roman" w:cs="Times New Roman"/>
          <w:b/>
          <w:bCs/>
          <w:i/>
          <w:iCs/>
          <w:lang w:val="en-GB"/>
        </w:rPr>
        <w:t xml:space="preserve">Full – length operon </w:t>
      </w:r>
      <w:r w:rsidRPr="00670F9C">
        <w:rPr>
          <w:rFonts w:ascii="Times New Roman" w:hAnsi="Times New Roman" w:cs="Times New Roman"/>
          <w:b/>
          <w:bCs/>
          <w:i/>
          <w:iCs/>
          <w:lang w:val="en-GB"/>
        </w:rPr>
        <w:t>improves species recovery and abundance reconstruction in wet simulated fungal mock communities.</w:t>
      </w:r>
      <w:r w:rsidRPr="00670F9C">
        <w:rPr>
          <w:rFonts w:ascii="Times New Roman" w:hAnsi="Times New Roman" w:cs="Times New Roman"/>
          <w:i/>
          <w:iCs/>
          <w:lang w:val="en-GB"/>
        </w:rPr>
        <w:br/>
        <w:t>Wet simulated fungal mock communities with known ground-truth composition were independently amplified using either the standard ITS1–5.8S–ITS2 barcode</w:t>
      </w:r>
      <w:r w:rsidR="007B7F30">
        <w:rPr>
          <w:rFonts w:ascii="Times New Roman" w:hAnsi="Times New Roman" w:cs="Times New Roman"/>
          <w:i/>
          <w:iCs/>
          <w:lang w:val="en-GB"/>
        </w:rPr>
        <w:t xml:space="preserve"> (orange coloured)</w:t>
      </w:r>
      <w:r w:rsidRPr="00670F9C">
        <w:rPr>
          <w:rFonts w:ascii="Times New Roman" w:hAnsi="Times New Roman" w:cs="Times New Roman"/>
          <w:i/>
          <w:iCs/>
          <w:lang w:val="en-GB"/>
        </w:rPr>
        <w:t xml:space="preserve"> or the extended 18S–ITS–LSU D1/D2 region</w:t>
      </w:r>
      <w:r w:rsidR="007B7F30">
        <w:rPr>
          <w:rFonts w:ascii="Times New Roman" w:hAnsi="Times New Roman" w:cs="Times New Roman"/>
          <w:i/>
          <w:iCs/>
          <w:lang w:val="en-GB"/>
        </w:rPr>
        <w:t xml:space="preserve"> (blue coloured)</w:t>
      </w:r>
      <w:r w:rsidRPr="00670F9C">
        <w:rPr>
          <w:rFonts w:ascii="Times New Roman" w:hAnsi="Times New Roman" w:cs="Times New Roman"/>
          <w:i/>
          <w:iCs/>
          <w:lang w:val="en-GB"/>
        </w:rPr>
        <w:t xml:space="preserve"> and analysed with LOREON. </w:t>
      </w:r>
      <w:r w:rsidRPr="001B5BC1">
        <w:rPr>
          <w:rFonts w:ascii="Times New Roman" w:hAnsi="Times New Roman" w:cs="Times New Roman"/>
          <w:b/>
          <w:bCs/>
          <w:i/>
          <w:iCs/>
          <w:lang w:val="en-GB"/>
        </w:rPr>
        <w:t>a</w:t>
      </w:r>
      <w:r w:rsidR="001B5BC1">
        <w:rPr>
          <w:rFonts w:ascii="Times New Roman" w:hAnsi="Times New Roman" w:cs="Times New Roman"/>
          <w:b/>
          <w:bCs/>
          <w:i/>
          <w:iCs/>
          <w:lang w:val="en-GB"/>
        </w:rPr>
        <w:t>)</w:t>
      </w:r>
      <w:r w:rsidRPr="00670F9C">
        <w:rPr>
          <w:rFonts w:ascii="Times New Roman" w:hAnsi="Times New Roman" w:cs="Times New Roman"/>
          <w:i/>
          <w:iCs/>
          <w:lang w:val="en-GB"/>
        </w:rPr>
        <w:t xml:space="preserve"> Species-level F1 score, precision and recall across six fungal mock communities. Boxplots summarize the distribution of metric values for ITS Goldstandard and ITS UltraLong analyses; points indicate individual mock communities A–F. Metrics were computed from observed and expected taxonomic profiles using a relative-abundance threshold of 0.0005. Across all six mocks, ITS UltraLong produced higher F1 scores and higher precision than ITS Goldstandard, with equal or higher recall. </w:t>
      </w:r>
      <w:r w:rsidRPr="001B5BC1">
        <w:rPr>
          <w:rFonts w:ascii="Times New Roman" w:hAnsi="Times New Roman" w:cs="Times New Roman"/>
          <w:b/>
          <w:bCs/>
          <w:i/>
          <w:iCs/>
          <w:lang w:val="en-GB"/>
        </w:rPr>
        <w:t>b,c</w:t>
      </w:r>
      <w:r w:rsidR="001B5BC1">
        <w:rPr>
          <w:rFonts w:ascii="Times New Roman" w:hAnsi="Times New Roman" w:cs="Times New Roman"/>
          <w:i/>
          <w:iCs/>
          <w:lang w:val="en-GB"/>
        </w:rPr>
        <w:t>)</w:t>
      </w:r>
      <w:r w:rsidRPr="00670F9C">
        <w:rPr>
          <w:rFonts w:ascii="Times New Roman" w:hAnsi="Times New Roman" w:cs="Times New Roman"/>
          <w:i/>
          <w:iCs/>
          <w:lang w:val="en-GB"/>
        </w:rPr>
        <w:t xml:space="preserve"> Observed versus expected relative abundance for ITS Goldstandard </w:t>
      </w:r>
      <w:r w:rsidRPr="00946275">
        <w:rPr>
          <w:rFonts w:ascii="Times New Roman" w:hAnsi="Times New Roman" w:cs="Times New Roman"/>
          <w:b/>
          <w:bCs/>
          <w:i/>
          <w:iCs/>
          <w:lang w:val="en-GB"/>
        </w:rPr>
        <w:t>(b)</w:t>
      </w:r>
      <w:r w:rsidRPr="00670F9C">
        <w:rPr>
          <w:rFonts w:ascii="Times New Roman" w:hAnsi="Times New Roman" w:cs="Times New Roman"/>
          <w:i/>
          <w:iCs/>
          <w:lang w:val="en-GB"/>
        </w:rPr>
        <w:t xml:space="preserve"> and ITS UltraLong </w:t>
      </w:r>
      <w:r w:rsidRPr="00946275">
        <w:rPr>
          <w:rFonts w:ascii="Times New Roman" w:hAnsi="Times New Roman" w:cs="Times New Roman"/>
          <w:b/>
          <w:bCs/>
          <w:i/>
          <w:iCs/>
          <w:lang w:val="en-GB"/>
        </w:rPr>
        <w:t>(c)</w:t>
      </w:r>
      <w:r w:rsidRPr="00670F9C">
        <w:rPr>
          <w:rFonts w:ascii="Times New Roman" w:hAnsi="Times New Roman" w:cs="Times New Roman"/>
          <w:i/>
          <w:iCs/>
          <w:lang w:val="en-GB"/>
        </w:rPr>
        <w:t xml:space="preserve"> datasets. Each point represents one taxon in one mock community; dashed lines indicate the expected 1:1 relationship and R values indicate Pearson correlation coefficients. Compared with the standard ITS barcode, the </w:t>
      </w:r>
      <w:r w:rsidR="0025096E" w:rsidRPr="0025096E">
        <w:rPr>
          <w:rFonts w:ascii="Times New Roman" w:hAnsi="Times New Roman" w:cs="Times New Roman"/>
          <w:i/>
          <w:iCs/>
          <w:lang w:val="en-GB"/>
        </w:rPr>
        <w:t xml:space="preserve">Full – length operon </w:t>
      </w:r>
      <w:r w:rsidRPr="00670F9C">
        <w:rPr>
          <w:rFonts w:ascii="Times New Roman" w:hAnsi="Times New Roman" w:cs="Times New Roman"/>
          <w:i/>
          <w:iCs/>
          <w:lang w:val="en-GB"/>
        </w:rPr>
        <w:t>produced a stronger agreement with the expected abundance structure, although residual false-positive assignments and abundance deviations remained detectable.</w:t>
      </w:r>
    </w:p>
    <w:p w14:paraId="0AA77D1A" w14:textId="77777777" w:rsidR="00670F9C" w:rsidRDefault="00670F9C" w:rsidP="0085681B">
      <w:pPr>
        <w:pStyle w:val="Titolo2"/>
        <w:jc w:val="both"/>
        <w:rPr>
          <w:rFonts w:ascii="Times New Roman" w:hAnsi="Times New Roman" w:cs="Times New Roman"/>
          <w:sz w:val="22"/>
          <w:szCs w:val="22"/>
          <w:lang w:val="en-GB"/>
        </w:rPr>
      </w:pPr>
    </w:p>
    <w:p w14:paraId="29F1E2BA" w14:textId="0C6B47A0" w:rsidR="0085681B" w:rsidRPr="00296230" w:rsidRDefault="0085681B" w:rsidP="0085681B">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3.</w:t>
      </w:r>
      <w:r>
        <w:rPr>
          <w:rFonts w:ascii="Times New Roman" w:hAnsi="Times New Roman" w:cs="Times New Roman"/>
          <w:sz w:val="22"/>
          <w:szCs w:val="22"/>
          <w:lang w:val="en-GB"/>
        </w:rPr>
        <w:t>4)</w:t>
      </w:r>
      <w:r w:rsidRPr="00296230">
        <w:rPr>
          <w:rFonts w:ascii="Times New Roman" w:hAnsi="Times New Roman" w:cs="Times New Roman"/>
          <w:sz w:val="22"/>
          <w:szCs w:val="22"/>
          <w:lang w:val="en-GB"/>
        </w:rPr>
        <w:t xml:space="preserve"> </w:t>
      </w:r>
      <w:r w:rsidR="00871CB8" w:rsidRPr="00AB0C80">
        <w:rPr>
          <w:rFonts w:ascii="Times New Roman" w:hAnsi="Times New Roman" w:cs="Times New Roman"/>
          <w:sz w:val="22"/>
          <w:szCs w:val="22"/>
          <w:lang w:val="en-GB"/>
        </w:rPr>
        <w:t>Sensitivity to abundance filtering threshold</w:t>
      </w:r>
    </w:p>
    <w:p w14:paraId="3CAF3E32" w14:textId="4286599E" w:rsidR="0085681B" w:rsidRDefault="00AB0C80" w:rsidP="001C447D">
      <w:pPr>
        <w:pStyle w:val="NormaleWeb"/>
        <w:spacing w:before="80" w:beforeAutospacing="0" w:after="80" w:afterAutospacing="0" w:line="276" w:lineRule="auto"/>
        <w:jc w:val="both"/>
        <w:rPr>
          <w:sz w:val="22"/>
          <w:szCs w:val="22"/>
          <w:lang w:val="en-GB"/>
        </w:rPr>
      </w:pPr>
      <w:r w:rsidRPr="00AB0C80">
        <w:rPr>
          <w:sz w:val="22"/>
          <w:szCs w:val="22"/>
          <w:lang w:val="en-GB"/>
        </w:rPr>
        <w:lastRenderedPageBreak/>
        <w:t>To assess whether the improved classification performance of the ITS ultra-long strategy over the standard ITS barcode was robust to the choice of abundance filtering threshold, we performed a sensitivity analysis by computing mean precision, recall and F1 score across all six wet mock communities at twelve relative-abundance thresholds ranging from 0% to 20%</w:t>
      </w:r>
      <w:r w:rsidR="00F743EC">
        <w:rPr>
          <w:sz w:val="22"/>
          <w:szCs w:val="22"/>
          <w:lang w:val="en-GB"/>
        </w:rPr>
        <w:t xml:space="preserve"> (Figure 3)</w:t>
      </w:r>
    </w:p>
    <w:p w14:paraId="3A3CF53A" w14:textId="2B3C0FCF" w:rsidR="00AB0C80" w:rsidRPr="00AB0C80" w:rsidRDefault="00AB0C80" w:rsidP="00B42B54">
      <w:pPr>
        <w:pStyle w:val="NormaleWeb"/>
        <w:spacing w:before="80" w:beforeAutospacing="0" w:after="80" w:afterAutospacing="0" w:line="276" w:lineRule="auto"/>
        <w:rPr>
          <w:sz w:val="22"/>
          <w:szCs w:val="22"/>
          <w:lang w:val="en-GB"/>
        </w:rPr>
      </w:pPr>
      <w:r>
        <w:rPr>
          <w:noProof/>
          <w:sz w:val="22"/>
          <w:szCs w:val="22"/>
          <w:lang w:val="en-GB"/>
        </w:rPr>
        <w:drawing>
          <wp:inline distT="0" distB="0" distL="0" distR="0" wp14:anchorId="3A373C16" wp14:editId="306BD83B">
            <wp:extent cx="5731510" cy="4100830"/>
            <wp:effectExtent l="0" t="0" r="2540" b="0"/>
            <wp:docPr id="2091748011" name="Immagin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1748011" name="Immagine 2091748011"/>
                    <pic:cNvPicPr/>
                  </pic:nvPicPr>
                  <pic:blipFill rotWithShape="1">
                    <a:blip r:embed="rId10" cstate="print">
                      <a:extLst>
                        <a:ext uri="{28A0092B-C50C-407E-A947-70E740481C1C}">
                          <a14:useLocalDpi xmlns:a14="http://schemas.microsoft.com/office/drawing/2010/main" val="0"/>
                        </a:ext>
                      </a:extLst>
                    </a:blip>
                    <a:srcRect t="4609"/>
                    <a:stretch>
                      <a:fillRect/>
                    </a:stretch>
                  </pic:blipFill>
                  <pic:spPr bwMode="auto">
                    <a:xfrm>
                      <a:off x="0" y="0"/>
                      <a:ext cx="5731510" cy="4100830"/>
                    </a:xfrm>
                    <a:prstGeom prst="rect">
                      <a:avLst/>
                    </a:prstGeom>
                    <a:ln>
                      <a:noFill/>
                    </a:ln>
                    <a:extLst>
                      <a:ext uri="{53640926-AAD7-44D8-BBD7-CCE9431645EC}">
                        <a14:shadowObscured xmlns:a14="http://schemas.microsoft.com/office/drawing/2010/main"/>
                      </a:ext>
                    </a:extLst>
                  </pic:spPr>
                </pic:pic>
              </a:graphicData>
            </a:graphic>
          </wp:inline>
        </w:drawing>
      </w:r>
    </w:p>
    <w:p w14:paraId="76C970D5" w14:textId="3D414C59" w:rsidR="001C447D" w:rsidRPr="004A0FDF" w:rsidRDefault="004A0FDF" w:rsidP="001C447D">
      <w:pPr>
        <w:rPr>
          <w:rFonts w:ascii="Times New Roman" w:hAnsi="Times New Roman" w:cs="Times New Roman"/>
          <w:i/>
          <w:iCs/>
          <w:lang w:val="en-GB"/>
        </w:rPr>
      </w:pPr>
      <w:r w:rsidRPr="004A0FDF">
        <w:rPr>
          <w:rFonts w:ascii="Times New Roman" w:hAnsi="Times New Roman" w:cs="Times New Roman"/>
          <w:b/>
          <w:bCs/>
          <w:i/>
          <w:iCs/>
          <w:lang w:val="en-GB"/>
        </w:rPr>
        <w:t>Figure 3</w:t>
      </w:r>
      <w:r>
        <w:rPr>
          <w:rFonts w:ascii="Times New Roman" w:hAnsi="Times New Roman" w:cs="Times New Roman"/>
          <w:b/>
          <w:bCs/>
          <w:i/>
          <w:iCs/>
          <w:lang w:val="en-GB"/>
        </w:rPr>
        <w:t>.</w:t>
      </w:r>
      <w:r w:rsidRPr="004A0FDF">
        <w:rPr>
          <w:rFonts w:ascii="Times New Roman" w:hAnsi="Times New Roman" w:cs="Times New Roman"/>
          <w:b/>
          <w:bCs/>
          <w:i/>
          <w:iCs/>
          <w:lang w:val="en-GB"/>
        </w:rPr>
        <w:t xml:space="preserve"> Precision–recall analysis shows that the ITS UltraLong advantage is robust to abundance-threshold selection.</w:t>
      </w:r>
      <w:r w:rsidRPr="004A0FDF">
        <w:rPr>
          <w:rFonts w:ascii="Times New Roman" w:hAnsi="Times New Roman" w:cs="Times New Roman"/>
          <w:i/>
          <w:iCs/>
          <w:lang w:val="en-GB"/>
        </w:rPr>
        <w:br/>
        <w:t>Precision–recall curves were generated for wet simulated fungal mock communities by applying increasing relative-abundance thresholds to the observed taxonomic profiles obtained with LOREON. The expected species set was kept fixed for each mock community, so recall</w:t>
      </w:r>
      <w:r>
        <w:rPr>
          <w:rFonts w:ascii="Times New Roman" w:hAnsi="Times New Roman" w:cs="Times New Roman"/>
          <w:i/>
          <w:iCs/>
          <w:lang w:val="en-GB"/>
        </w:rPr>
        <w:t xml:space="preserve"> (x-axis)</w:t>
      </w:r>
      <w:r w:rsidRPr="004A0FDF">
        <w:rPr>
          <w:rFonts w:ascii="Times New Roman" w:hAnsi="Times New Roman" w:cs="Times New Roman"/>
          <w:i/>
          <w:iCs/>
          <w:lang w:val="en-GB"/>
        </w:rPr>
        <w:t xml:space="preserve"> represents the fraction of ground-truth taxa recovered at each threshold, whereas precision</w:t>
      </w:r>
      <w:r>
        <w:rPr>
          <w:rFonts w:ascii="Times New Roman" w:hAnsi="Times New Roman" w:cs="Times New Roman"/>
          <w:i/>
          <w:iCs/>
          <w:lang w:val="en-GB"/>
        </w:rPr>
        <w:t xml:space="preserve"> (y-axis)</w:t>
      </w:r>
      <w:r w:rsidRPr="004A0FDF">
        <w:rPr>
          <w:rFonts w:ascii="Times New Roman" w:hAnsi="Times New Roman" w:cs="Times New Roman"/>
          <w:i/>
          <w:iCs/>
          <w:lang w:val="en-GB"/>
        </w:rPr>
        <w:t xml:space="preserve"> represents the fraction of retained taxa that were expected. Points show mean precision and recall across the six mock communities for each abundance threshold; shaded ribbons indicate ±1 s.d. across mocks. Threshold labels indicate selected cutoffs expressed as percentages of relative abundance. The dashed horizontal line denotes a random-classifier baseline. The ITS UltraLong strategy occupied a consistently more favourable region of the precision–recall space than ITS Goldstandard, with a higher area under the precision–recall curve (AUC-PR = 0.451 versus 0.162). This indicates that the extended ITS marker maintained a better balance between sensitivity and false-discovery control across a broad range of detection stringencies.</w:t>
      </w:r>
    </w:p>
    <w:p w14:paraId="7FBEAD1A" w14:textId="77777777" w:rsidR="004A0FDF" w:rsidRPr="001C447D" w:rsidRDefault="004A0FDF" w:rsidP="001C447D">
      <w:pPr>
        <w:rPr>
          <w:lang w:val="en-GB"/>
        </w:rPr>
      </w:pPr>
    </w:p>
    <w:p w14:paraId="107BECEB" w14:textId="77777777" w:rsidR="00652CC5" w:rsidRDefault="001C447D" w:rsidP="001C447D">
      <w:pPr>
        <w:spacing w:before="80" w:after="80" w:line="276" w:lineRule="auto"/>
        <w:jc w:val="both"/>
        <w:rPr>
          <w:rFonts w:ascii="Times New Roman" w:hAnsi="Times New Roman" w:cs="Times New Roman"/>
          <w:lang w:val="en-GB"/>
        </w:rPr>
      </w:pPr>
      <w:r w:rsidRPr="001C447D">
        <w:rPr>
          <w:rFonts w:ascii="Times New Roman" w:hAnsi="Times New Roman" w:cs="Times New Roman"/>
          <w:lang w:val="en-GB"/>
        </w:rPr>
        <w:t xml:space="preserve">The resulting precision–recall curves revealed a consistent advantage of the ITS ultra-long strategy across the entire threshold range. The ITS ultra-long curve occupied the upper-right region of the precision–recall space at every threshold, yielding an area under the curve (AUC-PR) of 0.451 compared with 0.162 for the standard ITS barcode — a 2.8-fold difference. </w:t>
      </w:r>
    </w:p>
    <w:p w14:paraId="02705522" w14:textId="2DAE3D8C" w:rsidR="001C447D" w:rsidRPr="001C447D" w:rsidRDefault="001C447D" w:rsidP="001C447D">
      <w:pPr>
        <w:spacing w:before="80" w:after="80" w:line="276" w:lineRule="auto"/>
        <w:jc w:val="both"/>
        <w:rPr>
          <w:rFonts w:ascii="Times New Roman" w:hAnsi="Times New Roman" w:cs="Times New Roman"/>
          <w:lang w:val="en-GB"/>
        </w:rPr>
      </w:pPr>
      <w:r w:rsidRPr="001C447D">
        <w:rPr>
          <w:rFonts w:ascii="Times New Roman" w:hAnsi="Times New Roman" w:cs="Times New Roman"/>
          <w:lang w:val="en-GB"/>
        </w:rPr>
        <w:t xml:space="preserve">Notably, the ITS ultra-long curve exhibited a non-monotonic behaviour between the 10% and 5% thresholds, where both precision and recall increased simultaneously. This pattern is consistent with the composition of the mock communities, several of which contained expected species at 5–10% relative </w:t>
      </w:r>
      <w:r w:rsidRPr="001C447D">
        <w:rPr>
          <w:rFonts w:ascii="Times New Roman" w:hAnsi="Times New Roman" w:cs="Times New Roman"/>
          <w:lang w:val="en-GB"/>
        </w:rPr>
        <w:lastRenderedPageBreak/>
        <w:t xml:space="preserve">abundance (e.g. Mock C: </w:t>
      </w:r>
      <w:r w:rsidRPr="001E1AA0">
        <w:rPr>
          <w:rFonts w:ascii="Times New Roman" w:hAnsi="Times New Roman" w:cs="Times New Roman"/>
          <w:i/>
          <w:iCs/>
          <w:lang w:val="en-GB"/>
        </w:rPr>
        <w:t>C. haemulonii</w:t>
      </w:r>
      <w:r w:rsidRPr="001C447D">
        <w:rPr>
          <w:rFonts w:ascii="Times New Roman" w:hAnsi="Times New Roman" w:cs="Times New Roman"/>
          <w:lang w:val="en-GB"/>
        </w:rPr>
        <w:t xml:space="preserve"> and </w:t>
      </w:r>
      <w:r w:rsidRPr="001E1AA0">
        <w:rPr>
          <w:rFonts w:ascii="Times New Roman" w:hAnsi="Times New Roman" w:cs="Times New Roman"/>
          <w:i/>
          <w:iCs/>
          <w:lang w:val="en-GB"/>
        </w:rPr>
        <w:t>M. pulcherrima</w:t>
      </w:r>
      <w:r w:rsidRPr="001C447D">
        <w:rPr>
          <w:rFonts w:ascii="Times New Roman" w:hAnsi="Times New Roman" w:cs="Times New Roman"/>
          <w:lang w:val="en-GB"/>
        </w:rPr>
        <w:t xml:space="preserve"> at 5%; Mocks D, E and F: multiple species at 10%): lowering the threshold from 10% to 5% recovered these true-positive taxa without proportionally increasing false-positive detections. No analogous recovery was observed for the standard ITS barcode, whose precision continued to decline monotonically with increasing recall.</w:t>
      </w:r>
    </w:p>
    <w:p w14:paraId="2A7EBD50" w14:textId="77777777" w:rsidR="001C447D" w:rsidRPr="001C447D" w:rsidRDefault="001C447D" w:rsidP="001C447D">
      <w:pPr>
        <w:spacing w:before="80" w:after="80" w:line="276" w:lineRule="auto"/>
        <w:jc w:val="both"/>
        <w:rPr>
          <w:rFonts w:ascii="Times New Roman" w:hAnsi="Times New Roman" w:cs="Times New Roman"/>
          <w:lang w:val="en-GB"/>
        </w:rPr>
      </w:pPr>
      <w:r w:rsidRPr="001C447D">
        <w:rPr>
          <w:rFonts w:ascii="Times New Roman" w:hAnsi="Times New Roman" w:cs="Times New Roman"/>
          <w:lang w:val="en-GB"/>
        </w:rPr>
        <w:t>Inter-mock variability, represented as ± 1 standard deviation ribbons around the mean curves, was moderate for both strategies but did not produce overlapping confidence bands at any threshold below 5% relative abundance, indicating that the performance difference between the two marker strategies was consistent across communities of varying taxonomic composition and complexity.</w:t>
      </w:r>
    </w:p>
    <w:p w14:paraId="5B31763D" w14:textId="77777777" w:rsidR="001C447D" w:rsidRPr="001C447D" w:rsidRDefault="001C447D" w:rsidP="001C447D">
      <w:pPr>
        <w:spacing w:before="80" w:after="80" w:line="276" w:lineRule="auto"/>
        <w:jc w:val="both"/>
        <w:rPr>
          <w:rFonts w:ascii="Times New Roman" w:hAnsi="Times New Roman" w:cs="Times New Roman"/>
          <w:lang w:val="en-GB"/>
        </w:rPr>
      </w:pPr>
      <w:r w:rsidRPr="001C447D">
        <w:rPr>
          <w:rFonts w:ascii="Times New Roman" w:hAnsi="Times New Roman" w:cs="Times New Roman"/>
          <w:lang w:val="en-GB"/>
        </w:rPr>
        <w:t>To provide a threshold-independent summary of the advantage, we computed the difference in F1 score between the ITS ultra-long and standard ITS strategies (</w:t>
      </w:r>
      <w:r w:rsidRPr="001C447D">
        <w:rPr>
          <w:rFonts w:ascii="Times New Roman" w:hAnsi="Times New Roman" w:cs="Times New Roman"/>
        </w:rPr>
        <w:t>Δ</w:t>
      </w:r>
      <w:r w:rsidRPr="001C447D">
        <w:rPr>
          <w:rFonts w:ascii="Times New Roman" w:hAnsi="Times New Roman" w:cs="Times New Roman"/>
          <w:lang w:val="en-GB"/>
        </w:rPr>
        <w:t xml:space="preserve">F1) for each mock community at each threshold. At operationally relevant abundance thresholds (≤ 0.1% relative abundance), the F1 score of the ITS ultra-long strategy exceeded that of the standard ITS barcode in all 24 pairwise comparisons across six mock communities (mean </w:t>
      </w:r>
      <w:r w:rsidRPr="001C447D">
        <w:rPr>
          <w:rFonts w:ascii="Times New Roman" w:hAnsi="Times New Roman" w:cs="Times New Roman"/>
        </w:rPr>
        <w:t>Δ</w:t>
      </w:r>
      <w:r w:rsidRPr="001C447D">
        <w:rPr>
          <w:rFonts w:ascii="Times New Roman" w:hAnsi="Times New Roman" w:cs="Times New Roman"/>
          <w:lang w:val="en-GB"/>
        </w:rPr>
        <w:t>F1 = 0.224, range 0.027–0.389), confirming that the advantage of the extended marker is robust to detection stringency. At higher thresholds (&gt; 0.5%), the advantage became community-dependent, with mock-specific outcomes reflecting differences in the number and abundance of expected species relative to the filtering cutoff.</w:t>
      </w:r>
    </w:p>
    <w:p w14:paraId="2CBE49C6" w14:textId="41BFD133"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3.</w:t>
      </w:r>
      <w:r w:rsidR="0085681B">
        <w:rPr>
          <w:rFonts w:ascii="Times New Roman" w:hAnsi="Times New Roman" w:cs="Times New Roman"/>
          <w:sz w:val="22"/>
          <w:szCs w:val="22"/>
          <w:lang w:val="en-GB"/>
        </w:rPr>
        <w:t>5)</w:t>
      </w:r>
      <w:r w:rsidRPr="00296230">
        <w:rPr>
          <w:rFonts w:ascii="Times New Roman" w:hAnsi="Times New Roman" w:cs="Times New Roman"/>
          <w:sz w:val="22"/>
          <w:szCs w:val="22"/>
          <w:lang w:val="en-GB"/>
        </w:rPr>
        <w:t xml:space="preserve"> Computational Performance Across Platforms</w:t>
      </w:r>
    </w:p>
    <w:p w14:paraId="1B20F57E" w14:textId="7B8FF870"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LOREON was benchmarked on all three hardware configurations across the three analysis types. A comprehensive summary is provided in Table 2, while Figure 4 presents the cross-platform wall time and peak RAM comparisons visually.</w:t>
      </w:r>
    </w:p>
    <w:p w14:paraId="5A769DF7" w14:textId="0C1CE128" w:rsidR="006A2195" w:rsidRPr="00296230" w:rsidRDefault="006A2195" w:rsidP="00186B5A">
      <w:pPr>
        <w:spacing w:before="80" w:after="80"/>
        <w:jc w:val="both"/>
        <w:rPr>
          <w:rFonts w:ascii="Times New Roman" w:hAnsi="Times New Roman" w:cs="Times New Roman"/>
          <w:lang w:val="en-GB"/>
        </w:rPr>
      </w:pPr>
    </w:p>
    <w:p w14:paraId="1396F99B" w14:textId="60AA894A" w:rsidR="006A2195" w:rsidRPr="00296230" w:rsidRDefault="00FF5A73" w:rsidP="00186B5A">
      <w:pPr>
        <w:spacing w:before="120" w:after="120"/>
        <w:jc w:val="both"/>
        <w:rPr>
          <w:rFonts w:ascii="Times New Roman" w:hAnsi="Times New Roman" w:cs="Times New Roman"/>
          <w:lang w:val="en-GB"/>
        </w:rPr>
      </w:pPr>
      <w:r w:rsidRPr="00296230">
        <w:rPr>
          <w:rFonts w:ascii="Times New Roman" w:hAnsi="Times New Roman" w:cs="Times New Roman"/>
          <w:b/>
          <w:bCs/>
          <w:lang w:val="en-GB"/>
        </w:rPr>
        <w:t xml:space="preserve">Table 2. </w:t>
      </w:r>
      <w:r w:rsidRPr="00296230">
        <w:rPr>
          <w:rFonts w:ascii="Times New Roman" w:hAnsi="Times New Roman" w:cs="Times New Roman"/>
          <w:lang w:val="en-GB"/>
        </w:rPr>
        <w:t>LOREON performance summary across platforms and analysis types. All peak RAM values refer to the LOREON orchestrator process; minimap2 process memory is additionally ~2–4 GB depending on database size.</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1800"/>
        <w:gridCol w:w="1400"/>
        <w:gridCol w:w="1400"/>
        <w:gridCol w:w="1600"/>
        <w:gridCol w:w="1400"/>
        <w:gridCol w:w="1426"/>
      </w:tblGrid>
      <w:tr w:rsidR="006A2195" w:rsidRPr="00296230" w14:paraId="2B05B7ED" w14:textId="77777777">
        <w:tc>
          <w:tcPr>
            <w:tcW w:w="18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21F25FD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Analysis</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6A546FB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Platform</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44F5FF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Reads</w:t>
            </w:r>
          </w:p>
        </w:tc>
        <w:tc>
          <w:tcPr>
            <w:tcW w:w="16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420F99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Wall Time (s)</w:t>
            </w:r>
          </w:p>
        </w:tc>
        <w:tc>
          <w:tcPr>
            <w:tcW w:w="14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0150467"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Peak RAM (MB)</w:t>
            </w:r>
          </w:p>
        </w:tc>
        <w:tc>
          <w:tcPr>
            <w:tcW w:w="14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156D3B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Threads</w:t>
            </w:r>
          </w:p>
        </w:tc>
      </w:tr>
      <w:tr w:rsidR="006A2195" w:rsidRPr="00296230" w14:paraId="023B335D"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56DD6D7" w14:textId="416C5EAA" w:rsidR="006A2195" w:rsidRPr="00296230" w:rsidRDefault="00FF5A73" w:rsidP="00186B5A">
            <w:pPr>
              <w:jc w:val="both"/>
              <w:rPr>
                <w:rFonts w:ascii="Times New Roman" w:hAnsi="Times New Roman" w:cs="Times New Roman"/>
              </w:rPr>
            </w:pPr>
            <w:r w:rsidRPr="00296230">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1D7C47B"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macOS M4 Pro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D997C60"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445329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37.9</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DB36C4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165</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74EB9D0"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10 (4/job)</w:t>
            </w:r>
          </w:p>
        </w:tc>
      </w:tr>
      <w:tr w:rsidR="006A2195" w:rsidRPr="00296230" w14:paraId="6572885D"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42E1F3F" w14:textId="75788342" w:rsidR="006A2195" w:rsidRPr="00296230" w:rsidRDefault="00FF5A73" w:rsidP="00186B5A">
            <w:pPr>
              <w:jc w:val="both"/>
              <w:rPr>
                <w:rFonts w:ascii="Times New Roman" w:hAnsi="Times New Roman" w:cs="Times New Roman"/>
              </w:rPr>
            </w:pPr>
            <w:r w:rsidRPr="00296230">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871910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Ubuntu Lab WS</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D57B8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3F1D167"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59.3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EFB159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153</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1780C0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20 (4/job)</w:t>
            </w:r>
          </w:p>
        </w:tc>
      </w:tr>
      <w:tr w:rsidR="006A2195" w:rsidRPr="00296230" w14:paraId="339D9AF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5E6427B" w14:textId="4AD456F9" w:rsidR="006A2195" w:rsidRPr="00296230" w:rsidRDefault="00FF5A73" w:rsidP="00186B5A">
            <w:pPr>
              <w:jc w:val="both"/>
              <w:rPr>
                <w:rFonts w:ascii="Times New Roman" w:hAnsi="Times New Roman" w:cs="Times New Roman"/>
              </w:rPr>
            </w:pPr>
            <w:r w:rsidRPr="00296230">
              <w:rPr>
                <w:rFonts w:ascii="Times New Roman" w:hAnsi="Times New Roman" w:cs="Times New Roman"/>
              </w:rPr>
              <w:t xml:space="preserve">ITS Standard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D915BB3"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Windows 11</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C77B4F8"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106,136</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7669138"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125.6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4DDE63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142</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FD6844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8 (4/job)</w:t>
            </w:r>
          </w:p>
        </w:tc>
      </w:tr>
      <w:tr w:rsidR="006A2195" w:rsidRPr="00296230" w14:paraId="48B85B3F"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4FDE23" w14:textId="4F196D9E" w:rsidR="006A2195" w:rsidRPr="00296230" w:rsidRDefault="00FF5A73" w:rsidP="00186B5A">
            <w:pPr>
              <w:jc w:val="both"/>
              <w:rPr>
                <w:rFonts w:ascii="Times New Roman" w:hAnsi="Times New Roman" w:cs="Times New Roman"/>
              </w:rPr>
            </w:pPr>
            <w:r w:rsidRPr="00296230">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309B2B7"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macOS M4 Pro</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619F3B1"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CA6A5A5"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49.3</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02D645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130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6F165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10 (4/job)</w:t>
            </w:r>
          </w:p>
        </w:tc>
      </w:tr>
      <w:tr w:rsidR="006A2195" w:rsidRPr="00296230" w14:paraId="3702107B"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3916BB5" w14:textId="1D8F141A" w:rsidR="006A2195" w:rsidRPr="00296230" w:rsidRDefault="00FF5A73" w:rsidP="00186B5A">
            <w:pPr>
              <w:jc w:val="both"/>
              <w:rPr>
                <w:rFonts w:ascii="Times New Roman" w:hAnsi="Times New Roman" w:cs="Times New Roman"/>
              </w:rPr>
            </w:pPr>
            <w:r w:rsidRPr="00296230">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CDDE73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Ubuntu Lab WS</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7FB97A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9F67CE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364.7</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0224E1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157</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F1B57B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20 (4/job)</w:t>
            </w:r>
          </w:p>
        </w:tc>
      </w:tr>
      <w:tr w:rsidR="006A2195" w:rsidRPr="00296230" w14:paraId="3F49F602" w14:textId="77777777">
        <w:tc>
          <w:tcPr>
            <w:tcW w:w="18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3F0D35" w14:textId="0685431D" w:rsidR="006A2195" w:rsidRPr="00296230" w:rsidRDefault="00FF5A73" w:rsidP="00186B5A">
            <w:pPr>
              <w:jc w:val="both"/>
              <w:rPr>
                <w:rFonts w:ascii="Times New Roman" w:hAnsi="Times New Roman" w:cs="Times New Roman"/>
              </w:rPr>
            </w:pPr>
            <w:r w:rsidRPr="00296230">
              <w:rPr>
                <w:rFonts w:ascii="Times New Roman" w:hAnsi="Times New Roman" w:cs="Times New Roman"/>
              </w:rPr>
              <w:t xml:space="preserve">ITS Ultra-Long </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3EEA91E1"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Windows 11</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7EB4698"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472,389</w:t>
            </w:r>
          </w:p>
        </w:tc>
        <w:tc>
          <w:tcPr>
            <w:tcW w:w="16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800179A"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567.6</w:t>
            </w:r>
          </w:p>
        </w:tc>
        <w:tc>
          <w:tcPr>
            <w:tcW w:w="14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6963561"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150</w:t>
            </w:r>
          </w:p>
        </w:tc>
        <w:tc>
          <w:tcPr>
            <w:tcW w:w="14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8A9A2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8 (4/job)</w:t>
            </w:r>
          </w:p>
        </w:tc>
      </w:tr>
      <w:tr w:rsidR="006A2195" w:rsidRPr="00296230" w14:paraId="71BA6EAE" w14:textId="77777777">
        <w:tc>
          <w:tcPr>
            <w:tcW w:w="18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36F8B03" w14:textId="112C1D17" w:rsidR="006A2195" w:rsidRPr="00296230" w:rsidRDefault="00FF5A73" w:rsidP="00186B5A">
            <w:pPr>
              <w:jc w:val="both"/>
              <w:rPr>
                <w:rFonts w:ascii="Times New Roman" w:hAnsi="Times New Roman" w:cs="Times New Roman"/>
              </w:rPr>
            </w:pPr>
            <w:r w:rsidRPr="00296230">
              <w:rPr>
                <w:rFonts w:ascii="Times New Roman" w:hAnsi="Times New Roman" w:cs="Times New Roman"/>
              </w:rPr>
              <w:t>16S rRNA</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934B53A"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macOS M4 Pro</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3619425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958,655</w:t>
            </w:r>
          </w:p>
        </w:tc>
        <w:tc>
          <w:tcPr>
            <w:tcW w:w="16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2120BE0"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3,408.6</w:t>
            </w:r>
          </w:p>
        </w:tc>
        <w:tc>
          <w:tcPr>
            <w:tcW w:w="14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95E39D0"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155</w:t>
            </w:r>
          </w:p>
        </w:tc>
        <w:tc>
          <w:tcPr>
            <w:tcW w:w="14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EDCA53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10 (4/job)</w:t>
            </w:r>
          </w:p>
        </w:tc>
      </w:tr>
    </w:tbl>
    <w:p w14:paraId="1834FFFA" w14:textId="7FD73F32" w:rsidR="006A2195" w:rsidRPr="00296230" w:rsidRDefault="006A2195" w:rsidP="00186B5A">
      <w:pPr>
        <w:spacing w:before="200" w:after="200"/>
        <w:jc w:val="both"/>
        <w:rPr>
          <w:rFonts w:ascii="Times New Roman" w:hAnsi="Times New Roman" w:cs="Times New Roman"/>
        </w:rPr>
      </w:pPr>
    </w:p>
    <w:p w14:paraId="444CC98D" w14:textId="074C77F2"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The Apple M4 Pro workstation achieved the best absolute throughput, completing the ITS standard analysis (106,136 reads, 6 barcodes) in 37.9 s total wall time, of which 34.6 s were in the minimap2 mapping step. Peak resident memory of the LOREON orchestrator process remained consistently below </w:t>
      </w:r>
      <w:r w:rsidRPr="00296230">
        <w:rPr>
          <w:rFonts w:ascii="Times New Roman" w:hAnsi="Times New Roman" w:cs="Times New Roman"/>
          <w:lang w:val="en-GB"/>
        </w:rPr>
        <w:lastRenderedPageBreak/>
        <w:t>170 MB across all analysis types on all platforms, demonstrating that the Python orchestration layer imposes negligible memory overhead regardless of dataset size.</w:t>
      </w:r>
    </w:p>
    <w:p w14:paraId="50DCF4BF" w14:textId="7D0E4A93"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The ultra-long ITS analysis () is particularly instructive: despite a 4.5-fold increase in the number of reads (472,389 vs 106,136), LOREON completed the M4 Pro run in 49.3 s—only 30% slower than </w:t>
      </w:r>
      <w:r w:rsidR="00342490">
        <w:rPr>
          <w:rFonts w:ascii="Times New Roman" w:hAnsi="Times New Roman" w:cs="Times New Roman"/>
          <w:lang w:val="en-GB"/>
        </w:rPr>
        <w:t>ITS Gold standar</w:t>
      </w:r>
      <w:r w:rsidR="00E0503A">
        <w:rPr>
          <w:rFonts w:ascii="Times New Roman" w:hAnsi="Times New Roman" w:cs="Times New Roman"/>
          <w:lang w:val="en-GB"/>
        </w:rPr>
        <w:t>d</w:t>
      </w:r>
      <w:r w:rsidRPr="00296230">
        <w:rPr>
          <w:rFonts w:ascii="Times New Roman" w:hAnsi="Times New Roman" w:cs="Times New Roman"/>
          <w:lang w:val="en-GB"/>
        </w:rPr>
        <w:t>—because the longer reads map efficiently to the extended Eukariome database and the parallel job scheduling maximises CPU utilisation. On the Ubuntu laboratory workstation (Intel i5-6400T, 4 cores), the same analysis</w:t>
      </w:r>
      <w:r w:rsidR="00342490">
        <w:rPr>
          <w:rFonts w:ascii="Times New Roman" w:hAnsi="Times New Roman" w:cs="Times New Roman"/>
          <w:lang w:val="en-GB"/>
        </w:rPr>
        <w:t xml:space="preserve"> was</w:t>
      </w:r>
      <w:r w:rsidRPr="00296230">
        <w:rPr>
          <w:rFonts w:ascii="Times New Roman" w:hAnsi="Times New Roman" w:cs="Times New Roman"/>
          <w:lang w:val="en-GB"/>
        </w:rPr>
        <w:t xml:space="preserve"> completed in 364.7 s, reflecting the reduced parallelism available on a 4-core CPU running 20 total threads across 6 barcode jobs (effectively limited to 4 simultaneous threads). Windows 11 performance (567.6 s for </w:t>
      </w:r>
      <w:r w:rsidR="00342490">
        <w:rPr>
          <w:rFonts w:ascii="Times New Roman" w:hAnsi="Times New Roman" w:cs="Times New Roman"/>
          <w:lang w:val="en-GB"/>
        </w:rPr>
        <w:t>ITS UltraLong</w:t>
      </w:r>
      <w:r w:rsidRPr="00296230">
        <w:rPr>
          <w:rFonts w:ascii="Times New Roman" w:hAnsi="Times New Roman" w:cs="Times New Roman"/>
          <w:lang w:val="en-GB"/>
        </w:rPr>
        <w:t>) reflects the overhead of the Docker-based execution mode required on that platform, which introduces additional container I/O costs, particularly for the sequential file filtering step (11.8 s vs 1.7 s on macOS).</w:t>
      </w:r>
    </w:p>
    <w:p w14:paraId="47A62B03" w14:textId="0F48BAB0"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The 16S rRNA analysis with the large SILVA NR99 database (510,495 entries) on 958,655 reads required 56.8 minutes on the M4 Pro. This is dominated entirely by the minimap2 alignment step (99.9% of total wall time); the orchestration overhead—taxonomy parsing, read filtering, OTU aggregation, and report generation combined—amounted to only 3.8 s</w:t>
      </w:r>
      <w:r w:rsidR="00342490">
        <w:rPr>
          <w:rFonts w:ascii="Times New Roman" w:hAnsi="Times New Roman" w:cs="Times New Roman"/>
          <w:lang w:val="en-GB"/>
        </w:rPr>
        <w:t xml:space="preserve"> (Figure 5)</w:t>
      </w:r>
      <w:r w:rsidRPr="00296230">
        <w:rPr>
          <w:rFonts w:ascii="Times New Roman" w:hAnsi="Times New Roman" w:cs="Times New Roman"/>
          <w:lang w:val="en-GB"/>
        </w:rPr>
        <w:t>. This exceptionally low orchestration overhead is a direct consequence of the DuckDB-based OTU aggregation architecture: the entire PIVOT–JOIN–split operation on 510,495 taxonomic entries and ~958,000 read assignments required 0.21 s and 23 MB of memory.</w:t>
      </w:r>
    </w:p>
    <w:p w14:paraId="4CCCF3F2" w14:textId="77777777" w:rsidR="006A2195" w:rsidRPr="00296230" w:rsidRDefault="006A2195" w:rsidP="00186B5A">
      <w:pPr>
        <w:spacing w:before="120" w:after="120"/>
        <w:jc w:val="both"/>
        <w:rPr>
          <w:rFonts w:ascii="Times New Roman" w:hAnsi="Times New Roman" w:cs="Times New Roman"/>
          <w:lang w:val="en-GB"/>
        </w:rPr>
      </w:pPr>
    </w:p>
    <w:p w14:paraId="6DB76D4B" w14:textId="0B26CF92" w:rsidR="006A2195" w:rsidRPr="00296230" w:rsidRDefault="006456F4" w:rsidP="00186B5A">
      <w:pPr>
        <w:spacing w:before="80" w:after="40"/>
        <w:jc w:val="both"/>
        <w:rPr>
          <w:rFonts w:ascii="Times New Roman" w:hAnsi="Times New Roman" w:cs="Times New Roman"/>
        </w:rPr>
      </w:pPr>
      <w:r>
        <w:rPr>
          <w:rFonts w:ascii="Times New Roman" w:hAnsi="Times New Roman" w:cs="Times New Roman"/>
          <w:noProof/>
        </w:rPr>
        <w:drawing>
          <wp:inline distT="0" distB="0" distL="0" distR="0" wp14:anchorId="6AF5D539" wp14:editId="549FB8DE">
            <wp:extent cx="5731510" cy="3715385"/>
            <wp:effectExtent l="0" t="0" r="2540" b="0"/>
            <wp:docPr id="239666946" name="Immagin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9666946" name="Immagine 239666946"/>
                    <pic:cNvPicPr/>
                  </pic:nvPicPr>
                  <pic:blipFill>
                    <a:blip r:embed="rId11" cstate="print">
                      <a:extLst>
                        <a:ext uri="{28A0092B-C50C-407E-A947-70E740481C1C}">
                          <a14:useLocalDpi xmlns:a14="http://schemas.microsoft.com/office/drawing/2010/main" val="0"/>
                        </a:ext>
                      </a:extLst>
                    </a:blip>
                    <a:stretch>
                      <a:fillRect/>
                    </a:stretch>
                  </pic:blipFill>
                  <pic:spPr>
                    <a:xfrm>
                      <a:off x="0" y="0"/>
                      <a:ext cx="5731510" cy="3715385"/>
                    </a:xfrm>
                    <a:prstGeom prst="rect">
                      <a:avLst/>
                    </a:prstGeom>
                  </pic:spPr>
                </pic:pic>
              </a:graphicData>
            </a:graphic>
          </wp:inline>
        </w:drawing>
      </w:r>
    </w:p>
    <w:p w14:paraId="30E8C30B" w14:textId="40EAFD3A" w:rsidR="006A2195" w:rsidRPr="00296230" w:rsidRDefault="006A2195" w:rsidP="00186B5A">
      <w:pPr>
        <w:spacing w:before="40" w:after="60"/>
        <w:jc w:val="both"/>
        <w:rPr>
          <w:rFonts w:ascii="Times New Roman" w:hAnsi="Times New Roman" w:cs="Times New Roman"/>
        </w:rPr>
      </w:pPr>
    </w:p>
    <w:p w14:paraId="0FF5E390" w14:textId="77777777" w:rsidR="00003D4D" w:rsidRDefault="00FF5A73" w:rsidP="00003D4D">
      <w:pPr>
        <w:spacing w:before="60"/>
        <w:jc w:val="both"/>
        <w:rPr>
          <w:rFonts w:ascii="Times New Roman" w:hAnsi="Times New Roman" w:cs="Times New Roman"/>
          <w:i/>
          <w:iCs/>
          <w:color w:val="444444"/>
          <w:lang w:val="en-GB"/>
        </w:rPr>
      </w:pPr>
      <w:r w:rsidRPr="00003D4D">
        <w:rPr>
          <w:rFonts w:ascii="Times New Roman" w:hAnsi="Times New Roman" w:cs="Times New Roman"/>
          <w:b/>
          <w:bCs/>
          <w:i/>
          <w:iCs/>
          <w:color w:val="444444"/>
          <w:lang w:val="en-GB"/>
        </w:rPr>
        <w:t>Figure 4. Cross-platform computational benchmarking of LOREON</w:t>
      </w:r>
      <w:r w:rsidRPr="00296230">
        <w:rPr>
          <w:rFonts w:ascii="Times New Roman" w:hAnsi="Times New Roman" w:cs="Times New Roman"/>
          <w:i/>
          <w:iCs/>
          <w:color w:val="444444"/>
          <w:lang w:val="en-GB"/>
        </w:rPr>
        <w:t>.</w:t>
      </w:r>
    </w:p>
    <w:p w14:paraId="6C8F4CF1" w14:textId="75927DED" w:rsidR="006A2195" w:rsidRPr="00296230" w:rsidRDefault="00FF5A73" w:rsidP="00003D4D">
      <w:pPr>
        <w:spacing w:before="60"/>
        <w:jc w:val="both"/>
        <w:rPr>
          <w:rFonts w:ascii="Times New Roman" w:hAnsi="Times New Roman" w:cs="Times New Roman"/>
        </w:rPr>
      </w:pPr>
      <w:r w:rsidRPr="00296230">
        <w:rPr>
          <w:rFonts w:ascii="Times New Roman" w:hAnsi="Times New Roman" w:cs="Times New Roman"/>
          <w:i/>
          <w:iCs/>
          <w:color w:val="444444"/>
          <w:lang w:val="en-GB"/>
        </w:rPr>
        <w:t xml:space="preserve"> </w:t>
      </w:r>
      <w:r w:rsidR="001B0FBE" w:rsidRPr="001B0FBE">
        <w:rPr>
          <w:rFonts w:ascii="Times New Roman" w:hAnsi="Times New Roman" w:cs="Times New Roman"/>
          <w:b/>
          <w:bCs/>
          <w:i/>
          <w:iCs/>
          <w:color w:val="444444"/>
          <w:lang w:val="en-GB"/>
        </w:rPr>
        <w:t>a</w:t>
      </w:r>
      <w:r w:rsidRPr="001B0FBE">
        <w:rPr>
          <w:rFonts w:ascii="Times New Roman" w:hAnsi="Times New Roman" w:cs="Times New Roman"/>
          <w:b/>
          <w:bCs/>
          <w:i/>
          <w:iCs/>
          <w:color w:val="444444"/>
          <w:lang w:val="en-GB"/>
        </w:rPr>
        <w:t>)</w:t>
      </w:r>
      <w:r w:rsidRPr="00296230">
        <w:rPr>
          <w:rFonts w:ascii="Times New Roman" w:hAnsi="Times New Roman" w:cs="Times New Roman"/>
          <w:i/>
          <w:iCs/>
          <w:color w:val="444444"/>
          <w:lang w:val="en-GB"/>
        </w:rPr>
        <w:t xml:space="preserve"> Total wall time </w:t>
      </w:r>
      <w:r w:rsidR="001B0FBE">
        <w:rPr>
          <w:rFonts w:ascii="Times New Roman" w:hAnsi="Times New Roman" w:cs="Times New Roman"/>
          <w:i/>
          <w:iCs/>
          <w:color w:val="444444"/>
          <w:lang w:val="en-GB"/>
        </w:rPr>
        <w:t>(minutes</w:t>
      </w:r>
      <w:r w:rsidRPr="00296230">
        <w:rPr>
          <w:rFonts w:ascii="Times New Roman" w:hAnsi="Times New Roman" w:cs="Times New Roman"/>
          <w:i/>
          <w:iCs/>
          <w:color w:val="444444"/>
          <w:lang w:val="en-GB"/>
        </w:rPr>
        <w:t xml:space="preserve">) for ITS </w:t>
      </w:r>
      <w:r w:rsidR="00820663">
        <w:rPr>
          <w:rFonts w:ascii="Times New Roman" w:hAnsi="Times New Roman" w:cs="Times New Roman"/>
          <w:i/>
          <w:iCs/>
          <w:color w:val="444444"/>
          <w:lang w:val="en-GB"/>
        </w:rPr>
        <w:t>Gold</w:t>
      </w:r>
      <w:r w:rsidRPr="00296230">
        <w:rPr>
          <w:rFonts w:ascii="Times New Roman" w:hAnsi="Times New Roman" w:cs="Times New Roman"/>
          <w:i/>
          <w:iCs/>
          <w:color w:val="444444"/>
          <w:lang w:val="en-GB"/>
        </w:rPr>
        <w:t xml:space="preserve">standard, ITS ultra-long, and 16S rRNA analyses on three hardware configurations. </w:t>
      </w:r>
      <w:r w:rsidR="00692321" w:rsidRPr="00692321">
        <w:rPr>
          <w:rFonts w:ascii="Times New Roman" w:hAnsi="Times New Roman" w:cs="Times New Roman"/>
          <w:b/>
          <w:bCs/>
          <w:i/>
          <w:iCs/>
          <w:color w:val="444444"/>
          <w:lang w:val="en-GB"/>
        </w:rPr>
        <w:t>b</w:t>
      </w:r>
      <w:r w:rsidRPr="00692321">
        <w:rPr>
          <w:rFonts w:ascii="Times New Roman" w:hAnsi="Times New Roman" w:cs="Times New Roman"/>
          <w:b/>
          <w:bCs/>
          <w:i/>
          <w:iCs/>
          <w:color w:val="444444"/>
          <w:lang w:val="en-GB"/>
        </w:rPr>
        <w:t>)</w:t>
      </w:r>
      <w:r w:rsidRPr="00296230">
        <w:rPr>
          <w:rFonts w:ascii="Times New Roman" w:hAnsi="Times New Roman" w:cs="Times New Roman"/>
          <w:i/>
          <w:iCs/>
          <w:color w:val="444444"/>
          <w:lang w:val="en-GB"/>
        </w:rPr>
        <w:t xml:space="preserve"> Peak resident memory (MB) of the LOREON orchestrator process under the same conditions. Note: minimap2 process memory (2–4 GB, database-dependent) is excluded from orchestrator RAM; it is identical across platforms for the same analysis type. </w:t>
      </w:r>
      <w:r w:rsidRPr="00296230">
        <w:rPr>
          <w:rFonts w:ascii="Times New Roman" w:hAnsi="Times New Roman" w:cs="Times New Roman"/>
          <w:i/>
          <w:iCs/>
          <w:color w:val="444444"/>
        </w:rPr>
        <w:t>Lower is better for both panels.</w:t>
      </w:r>
    </w:p>
    <w:p w14:paraId="5087B27C" w14:textId="77777777" w:rsidR="006A2195" w:rsidRPr="00296230" w:rsidRDefault="006A2195" w:rsidP="00186B5A">
      <w:pPr>
        <w:spacing w:before="80" w:after="80"/>
        <w:jc w:val="both"/>
        <w:rPr>
          <w:rFonts w:ascii="Times New Roman" w:hAnsi="Times New Roman" w:cs="Times New Roman"/>
        </w:rPr>
      </w:pPr>
    </w:p>
    <w:p w14:paraId="00D71F55" w14:textId="6AF4AC8E" w:rsidR="006A2195" w:rsidRPr="00296230" w:rsidRDefault="006456F4" w:rsidP="00186B5A">
      <w:pPr>
        <w:spacing w:before="80" w:after="60"/>
        <w:jc w:val="both"/>
        <w:rPr>
          <w:rFonts w:ascii="Times New Roman" w:hAnsi="Times New Roman" w:cs="Times New Roman"/>
        </w:rPr>
      </w:pPr>
      <w:r>
        <w:rPr>
          <w:rFonts w:ascii="Times New Roman" w:hAnsi="Times New Roman" w:cs="Times New Roman"/>
          <w:noProof/>
        </w:rPr>
        <w:drawing>
          <wp:inline distT="0" distB="0" distL="0" distR="0" wp14:anchorId="478CACC9" wp14:editId="744D4D69">
            <wp:extent cx="5731510" cy="1931670"/>
            <wp:effectExtent l="0" t="0" r="2540" b="0"/>
            <wp:docPr id="1971405084" name="Immagin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1405084" name="Immagine 1971405084"/>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731510" cy="1931670"/>
                    </a:xfrm>
                    <a:prstGeom prst="rect">
                      <a:avLst/>
                    </a:prstGeom>
                  </pic:spPr>
                </pic:pic>
              </a:graphicData>
            </a:graphic>
          </wp:inline>
        </w:drawing>
      </w:r>
    </w:p>
    <w:p w14:paraId="0ECE36EF" w14:textId="77777777" w:rsidR="00D527CD" w:rsidRDefault="00FF5A73" w:rsidP="00D527CD">
      <w:pPr>
        <w:spacing w:before="60"/>
        <w:jc w:val="both"/>
        <w:rPr>
          <w:rFonts w:ascii="Times New Roman" w:hAnsi="Times New Roman" w:cs="Times New Roman"/>
          <w:i/>
          <w:iCs/>
          <w:color w:val="444444"/>
          <w:lang w:val="en-GB"/>
        </w:rPr>
      </w:pPr>
      <w:r w:rsidRPr="00D527CD">
        <w:rPr>
          <w:rFonts w:ascii="Times New Roman" w:hAnsi="Times New Roman" w:cs="Times New Roman"/>
          <w:b/>
          <w:bCs/>
          <w:i/>
          <w:iCs/>
          <w:color w:val="444444"/>
          <w:lang w:val="en-GB"/>
        </w:rPr>
        <w:t>Figure 5. Step-by-step wall time breakdown for LOREON analyses across platforms</w:t>
      </w:r>
      <w:r w:rsidRPr="00296230">
        <w:rPr>
          <w:rFonts w:ascii="Times New Roman" w:hAnsi="Times New Roman" w:cs="Times New Roman"/>
          <w:i/>
          <w:iCs/>
          <w:color w:val="444444"/>
          <w:lang w:val="en-GB"/>
        </w:rPr>
        <w:t xml:space="preserve">. </w:t>
      </w:r>
    </w:p>
    <w:p w14:paraId="57D9C303" w14:textId="2437E162" w:rsidR="006A2195" w:rsidRPr="00296230" w:rsidRDefault="00FF5A73" w:rsidP="00D527CD">
      <w:pPr>
        <w:spacing w:before="60"/>
        <w:jc w:val="both"/>
        <w:rPr>
          <w:rFonts w:ascii="Times New Roman" w:hAnsi="Times New Roman" w:cs="Times New Roman"/>
          <w:lang w:val="en-GB"/>
        </w:rPr>
      </w:pPr>
      <w:r w:rsidRPr="00296230">
        <w:rPr>
          <w:rFonts w:ascii="Times New Roman" w:hAnsi="Times New Roman" w:cs="Times New Roman"/>
          <w:i/>
          <w:iCs/>
          <w:color w:val="444444"/>
          <w:lang w:val="en-GB"/>
        </w:rPr>
        <w:t>The mapping step (minimap2 + samtools) consistently accounts for &gt;99% of total analysis time, confirming that LOREON's orchestration overhead is negligible. Non-mapping steps (taxonomy parsing, filtering, DuckDB aggregation, report generation) are shown in expanded scale in the inset.</w:t>
      </w:r>
    </w:p>
    <w:p w14:paraId="581B40B4" w14:textId="77777777" w:rsidR="006A2195" w:rsidRPr="00296230" w:rsidRDefault="006A2195" w:rsidP="00186B5A">
      <w:pPr>
        <w:spacing w:before="80" w:after="80"/>
        <w:jc w:val="both"/>
        <w:rPr>
          <w:rFonts w:ascii="Times New Roman" w:hAnsi="Times New Roman" w:cs="Times New Roman"/>
          <w:lang w:val="en-GB"/>
        </w:rPr>
      </w:pPr>
    </w:p>
    <w:p w14:paraId="288E0CF0" w14:textId="6D32146C"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3.</w:t>
      </w:r>
      <w:r w:rsidR="0085681B">
        <w:rPr>
          <w:rFonts w:ascii="Times New Roman" w:hAnsi="Times New Roman" w:cs="Times New Roman"/>
          <w:sz w:val="22"/>
          <w:szCs w:val="22"/>
          <w:lang w:val="en-GB"/>
        </w:rPr>
        <w:t>6)</w:t>
      </w:r>
      <w:r w:rsidRPr="00296230">
        <w:rPr>
          <w:rFonts w:ascii="Times New Roman" w:hAnsi="Times New Roman" w:cs="Times New Roman"/>
          <w:sz w:val="22"/>
          <w:szCs w:val="22"/>
          <w:lang w:val="en-GB"/>
        </w:rPr>
        <w:t xml:space="preserve"> LOREON versus EPI2ME wf-16s: A Direct Comparison</w:t>
      </w:r>
    </w:p>
    <w:p w14:paraId="6C931AF7"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The head-to-head comparison between LOREON and the EPI2ME wf-16s workflow on identical hardware (Apple M4 Pro) and input data (MBARC 16S mock, 958,655 reads) is summarised in Table 3 and Figure 6. Results demonstrate that LOREON achieves equivalent total analysis time (56.8 vs. 60.1 minutes; 5.4% faster) while offering multiple quantifiable resource advantages stemming from its architectural differences.</w:t>
      </w:r>
    </w:p>
    <w:p w14:paraId="627E7661" w14:textId="77777777" w:rsidR="006A2195" w:rsidRPr="00296230" w:rsidRDefault="006A2195" w:rsidP="00186B5A">
      <w:pPr>
        <w:spacing w:before="80" w:after="80"/>
        <w:jc w:val="both"/>
        <w:rPr>
          <w:rFonts w:ascii="Times New Roman" w:hAnsi="Times New Roman" w:cs="Times New Roman"/>
          <w:lang w:val="en-GB"/>
        </w:rPr>
      </w:pPr>
    </w:p>
    <w:p w14:paraId="289062CC" w14:textId="77777777" w:rsidR="006A2195" w:rsidRPr="00296230" w:rsidRDefault="00FF5A73" w:rsidP="00186B5A">
      <w:pPr>
        <w:spacing w:before="120" w:after="120"/>
        <w:jc w:val="both"/>
        <w:rPr>
          <w:rFonts w:ascii="Times New Roman" w:hAnsi="Times New Roman" w:cs="Times New Roman"/>
          <w:lang w:val="en-GB"/>
        </w:rPr>
      </w:pPr>
      <w:r w:rsidRPr="00296230">
        <w:rPr>
          <w:rFonts w:ascii="Times New Roman" w:hAnsi="Times New Roman" w:cs="Times New Roman"/>
          <w:b/>
          <w:bCs/>
          <w:lang w:val="en-GB"/>
        </w:rPr>
        <w:t xml:space="preserve">Table 3. </w:t>
      </w:r>
      <w:r w:rsidRPr="00296230">
        <w:rPr>
          <w:rFonts w:ascii="Times New Roman" w:hAnsi="Times New Roman" w:cs="Times New Roman"/>
          <w:lang w:val="en-GB"/>
        </w:rPr>
        <w:t>Direct comparison of LOREON and EPI2ME wf-16s on the MBARC 16S mock community dataset (958,655 reads) on Apple M4 Pro (14 cores, 24 GB RAM, macOS Sequoia 15).</w:t>
      </w:r>
    </w:p>
    <w:tbl>
      <w:tblPr>
        <w:tblW w:w="9026"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000" w:firstRow="0" w:lastRow="0" w:firstColumn="0" w:lastColumn="0" w:noHBand="0" w:noVBand="0"/>
      </w:tblPr>
      <w:tblGrid>
        <w:gridCol w:w="2500"/>
        <w:gridCol w:w="2000"/>
        <w:gridCol w:w="2000"/>
        <w:gridCol w:w="2526"/>
      </w:tblGrid>
      <w:tr w:rsidR="006A2195" w:rsidRPr="00296230" w14:paraId="6E0C806B" w14:textId="77777777">
        <w:tc>
          <w:tcPr>
            <w:tcW w:w="25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462AF3B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Metric</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8D58C5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LOREON</w:t>
            </w:r>
          </w:p>
        </w:tc>
        <w:tc>
          <w:tcPr>
            <w:tcW w:w="2000"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33771C3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EPI2ME wf-16s</w:t>
            </w:r>
          </w:p>
        </w:tc>
        <w:tc>
          <w:tcPr>
            <w:tcW w:w="2526" w:type="dxa"/>
            <w:tcBorders>
              <w:top w:val="single" w:sz="1" w:space="0" w:color="FFFFFF"/>
              <w:left w:val="single" w:sz="1" w:space="0" w:color="FFFFFF"/>
              <w:bottom w:val="single" w:sz="1" w:space="0" w:color="FFFFFF"/>
              <w:right w:val="single" w:sz="1" w:space="0" w:color="FFFFFF"/>
            </w:tcBorders>
            <w:shd w:val="clear" w:color="auto" w:fill="1F3864"/>
            <w:tcMar>
              <w:top w:w="80" w:type="dxa"/>
              <w:left w:w="120" w:type="dxa"/>
              <w:bottom w:w="80" w:type="dxa"/>
              <w:right w:w="120" w:type="dxa"/>
            </w:tcMar>
            <w:vAlign w:val="center"/>
          </w:tcPr>
          <w:p w14:paraId="7B83101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b/>
                <w:bCs/>
                <w:color w:val="FFFFFF"/>
              </w:rPr>
              <w:t>Difference</w:t>
            </w:r>
          </w:p>
        </w:tc>
      </w:tr>
      <w:tr w:rsidR="006A2195" w:rsidRPr="00296230" w14:paraId="374926E6"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0A768B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Wall time (total)</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168A78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3,408.6 s (56.8 min)</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06EF62FA"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3,603.5 s (60.1 min)</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8B4B324"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−5.4%</w:t>
            </w:r>
          </w:p>
        </w:tc>
      </w:tr>
      <w:tr w:rsidR="006A2195" w:rsidRPr="00296230" w14:paraId="76E4105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C660F9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Orchestration overhead</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270B2A7"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3.8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8827D3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123.5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10BA5CA"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32× less</w:t>
            </w:r>
          </w:p>
        </w:tc>
      </w:tr>
      <w:tr w:rsidR="006A2195" w:rsidRPr="00296230" w14:paraId="7AF35B95"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654EC1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Peak RAM (minimap2)</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22F3326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3.73 GB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6E1B51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5.2 GB</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BEE2AF8"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1.4× less</w:t>
            </w:r>
          </w:p>
        </w:tc>
      </w:tr>
      <w:tr w:rsidR="006A2195" w:rsidRPr="00296230" w14:paraId="4E1F0F6E"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50D6E1E"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Orchestrator RAM</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F467301"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155 MB</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5CB6BBBD"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~438 MB (JVM + Nextflow)</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94D1B59"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2.8× less</w:t>
            </w:r>
          </w:p>
        </w:tc>
      </w:tr>
      <w:tr w:rsidR="006A2195" w:rsidRPr="00296230" w14:paraId="6E09376F"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89FD098"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Reads mapped</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61224B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958,646 (100.0%)</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4116937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937,342 (97.8%)</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1A23E4B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+21,304 reads</w:t>
            </w:r>
          </w:p>
        </w:tc>
      </w:tr>
      <w:tr w:rsidR="006A2195" w:rsidRPr="00296230" w14:paraId="727D941B"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72A0950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OTU aggregation time</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15834455"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0.21 s</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7E1294C"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14.5 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43FA403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57× faster</w:t>
            </w:r>
          </w:p>
        </w:tc>
      </w:tr>
      <w:tr w:rsidR="006A2195" w:rsidRPr="00296230" w14:paraId="742AD2CB" w14:textId="77777777">
        <w:tc>
          <w:tcPr>
            <w:tcW w:w="25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6A7B6C2"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OTU aggregation RAM</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7B1B2057"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~23 MB</w:t>
            </w:r>
          </w:p>
        </w:tc>
        <w:tc>
          <w:tcPr>
            <w:tcW w:w="2000"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5AB4B113"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~397 MB</w:t>
            </w:r>
          </w:p>
        </w:tc>
        <w:tc>
          <w:tcPr>
            <w:tcW w:w="2526" w:type="dxa"/>
            <w:tcBorders>
              <w:top w:val="single" w:sz="1" w:space="0" w:color="CCCCCC"/>
              <w:left w:val="single" w:sz="1" w:space="0" w:color="CCCCCC"/>
              <w:bottom w:val="single" w:sz="1" w:space="0" w:color="CCCCCC"/>
              <w:right w:val="single" w:sz="1" w:space="0" w:color="CCCCCC"/>
            </w:tcBorders>
            <w:shd w:val="clear" w:color="auto" w:fill="EEF3FB"/>
            <w:tcMar>
              <w:top w:w="60" w:type="dxa"/>
              <w:left w:w="120" w:type="dxa"/>
              <w:bottom w:w="60" w:type="dxa"/>
              <w:right w:w="120" w:type="dxa"/>
            </w:tcMar>
            <w:vAlign w:val="center"/>
          </w:tcPr>
          <w:p w14:paraId="60FA0F53"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17× less</w:t>
            </w:r>
          </w:p>
        </w:tc>
      </w:tr>
      <w:tr w:rsidR="006A2195" w:rsidRPr="00296230" w14:paraId="0DE5D235" w14:textId="77777777">
        <w:tc>
          <w:tcPr>
            <w:tcW w:w="25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29E5A850"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Setup time (first run)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A76D48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~15–20 min</w:t>
            </w:r>
          </w:p>
        </w:tc>
        <w:tc>
          <w:tcPr>
            <w:tcW w:w="2000"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6BC5676F"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~2–4 hours</w:t>
            </w:r>
          </w:p>
        </w:tc>
        <w:tc>
          <w:tcPr>
            <w:tcW w:w="2526" w:type="dxa"/>
            <w:tcBorders>
              <w:top w:val="single" w:sz="1" w:space="0" w:color="CCCCCC"/>
              <w:left w:val="single" w:sz="1" w:space="0" w:color="CCCCCC"/>
              <w:bottom w:val="single" w:sz="1" w:space="0" w:color="CCCCCC"/>
              <w:right w:val="single" w:sz="1" w:space="0" w:color="CCCCCC"/>
            </w:tcBorders>
            <w:shd w:val="clear" w:color="auto" w:fill="FFFFFF"/>
            <w:tcMar>
              <w:top w:w="60" w:type="dxa"/>
              <w:left w:w="120" w:type="dxa"/>
              <w:bottom w:w="60" w:type="dxa"/>
              <w:right w:w="120" w:type="dxa"/>
            </w:tcMar>
            <w:vAlign w:val="center"/>
          </w:tcPr>
          <w:p w14:paraId="0F1E0656" w14:textId="77777777" w:rsidR="006A2195" w:rsidRPr="00296230" w:rsidRDefault="00FF5A73" w:rsidP="00186B5A">
            <w:pPr>
              <w:jc w:val="both"/>
              <w:rPr>
                <w:rFonts w:ascii="Times New Roman" w:hAnsi="Times New Roman" w:cs="Times New Roman"/>
              </w:rPr>
            </w:pPr>
            <w:r w:rsidRPr="00296230">
              <w:rPr>
                <w:rFonts w:ascii="Times New Roman" w:hAnsi="Times New Roman" w:cs="Times New Roman"/>
              </w:rPr>
              <w:t>LOREON strongly preferred</w:t>
            </w:r>
          </w:p>
        </w:tc>
      </w:tr>
    </w:tbl>
    <w:p w14:paraId="44BE013D" w14:textId="77777777" w:rsidR="006A2195" w:rsidRPr="00296230" w:rsidRDefault="006A2195" w:rsidP="00186B5A">
      <w:pPr>
        <w:spacing w:before="200" w:after="200"/>
        <w:jc w:val="both"/>
        <w:rPr>
          <w:rFonts w:ascii="Times New Roman" w:hAnsi="Times New Roman" w:cs="Times New Roman"/>
        </w:rPr>
      </w:pPr>
    </w:p>
    <w:p w14:paraId="48424DA9"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The most striking difference is in orchestration overhead. EPI2ME's Nextflow-based architecture incurs a fixed overhead of ~123.5 s per run, regardless of dataset size, for JVM initialisation, Groovy/DSL2 DAG compilation, Nextflow process management, database download, fastcat read ingestion, taxonomy assignment, and report generation. LOREON's Python multiprocessing orchestrator reduces </w:t>
      </w:r>
      <w:r w:rsidRPr="00296230">
        <w:rPr>
          <w:rFonts w:ascii="Times New Roman" w:hAnsi="Times New Roman" w:cs="Times New Roman"/>
          <w:lang w:val="en-GB"/>
        </w:rPr>
        <w:lastRenderedPageBreak/>
        <w:t>this to 3.8 s (32-fold reduction). This overhead disparity is most impactful on small datasets and repeated analyses, where the fixed cost of the Nextflow JVM bootstrap becomes a disproportionate fraction of total runtime.</w:t>
      </w:r>
    </w:p>
    <w:p w14:paraId="32AA37B1"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Memory consumption differences are also significant from a practical standpoint. EPI2ME's minimap2 process peaked at 5.2 GB RSS, compared with LOREON's 3.73 GB—a 1.4-fold difference likely attributable to different minimap2 index loading and buffer management strategies. The EPI2ME Nextflow orchestrator itself consumed approximately 438 MB (makeReport step peak), compared to LOREON's 155 MB Python process. On a standard consumer laptop with 8 GB of RAM, this difference may be the deciding factor between a successful run and an out-of-memory failure, particularly when other applications are running concurrently.</w:t>
      </w:r>
    </w:p>
    <w:p w14:paraId="47275F56"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Regarding mapping coverage, LOREON mapped all 958,646 of the 958,655 input reads (100.0%) with no quality filters applied, compared to EPI2ME's 937,342 reads (97.8%). The 21,313-read difference reflects EPI2ME's default active quality filters (minimum percent identity 10%, reference coverage 10%, length filter 800–2,000 bp). In a fully equivalent configuration with matched filters, mapping rates would be expected to be statistically indistinguishable, as both tools use essentially the same minimap2 version (2.28-r1221 vs. 2.28-r1209) and the map-ont preset.</w:t>
      </w:r>
    </w:p>
    <w:p w14:paraId="4C813E82"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The OTU aggregation step merits particular attention. EPI2ME's </w:t>
      </w:r>
      <w:r w:rsidRPr="00296230">
        <w:rPr>
          <w:rFonts w:ascii="Times New Roman" w:hAnsi="Times New Roman" w:cs="Times New Roman"/>
          <w:i/>
          <w:iCs/>
          <w:lang w:val="en-GB"/>
        </w:rPr>
        <w:t>createAbundanceTables</w:t>
      </w:r>
      <w:r w:rsidRPr="00296230">
        <w:rPr>
          <w:rFonts w:ascii="Times New Roman" w:hAnsi="Times New Roman" w:cs="Times New Roman"/>
          <w:lang w:val="en-GB"/>
        </w:rPr>
        <w:t xml:space="preserve"> Nextflow task consumed 14.5 s and 397 MB of memory. LOREON's DuckDB aggregation completed the equivalent operation in 0.21 s (57-fold faster) and 23 MB (17-fold less memory). This advantage scales with dataset size: for large-scale studies with tens of millions of reads and thousands of OTUs, the difference between a seconds-scale and tens-of-seconds-scale aggregation becomes important for iterative re-analysis workflows.</w:t>
      </w:r>
    </w:p>
    <w:p w14:paraId="1547DA05" w14:textId="77777777" w:rsidR="006A2195" w:rsidRPr="00296230" w:rsidRDefault="006A2195" w:rsidP="00186B5A">
      <w:pPr>
        <w:spacing w:before="120" w:after="120"/>
        <w:jc w:val="both"/>
        <w:rPr>
          <w:rFonts w:ascii="Times New Roman" w:hAnsi="Times New Roman" w:cs="Times New Roman"/>
          <w:lang w:val="en-GB"/>
        </w:rPr>
      </w:pPr>
    </w:p>
    <w:p w14:paraId="0083AEAA" w14:textId="5D1E480E" w:rsidR="006A2195" w:rsidRPr="007D6084" w:rsidRDefault="00003D4D" w:rsidP="00186B5A">
      <w:pPr>
        <w:spacing w:before="80" w:after="40"/>
        <w:jc w:val="both"/>
        <w:rPr>
          <w:rFonts w:ascii="Times New Roman" w:hAnsi="Times New Roman" w:cs="Times New Roman"/>
          <w:lang w:val="en-GB"/>
        </w:rPr>
      </w:pPr>
      <w:r>
        <w:rPr>
          <w:rFonts w:ascii="Times New Roman" w:hAnsi="Times New Roman" w:cs="Times New Roman"/>
          <w:noProof/>
          <w:lang w:val="en-GB"/>
        </w:rPr>
        <w:lastRenderedPageBreak/>
        <w:drawing>
          <wp:inline distT="0" distB="0" distL="0" distR="0" wp14:anchorId="6DBF2736" wp14:editId="7DF1CD38">
            <wp:extent cx="3636118" cy="4705350"/>
            <wp:effectExtent l="0" t="0" r="2540" b="0"/>
            <wp:docPr id="347825244" name="Immagin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825244" name="Immagine 347825244"/>
                    <pic:cNvPicPr/>
                  </pic:nvPicPr>
                  <pic:blipFill>
                    <a:blip r:embed="rId13" cstate="print">
                      <a:extLst>
                        <a:ext uri="{28A0092B-C50C-407E-A947-70E740481C1C}">
                          <a14:useLocalDpi xmlns:a14="http://schemas.microsoft.com/office/drawing/2010/main" val="0"/>
                        </a:ext>
                      </a:extLst>
                    </a:blip>
                    <a:stretch>
                      <a:fillRect/>
                    </a:stretch>
                  </pic:blipFill>
                  <pic:spPr>
                    <a:xfrm>
                      <a:off x="0" y="0"/>
                      <a:ext cx="3647286" cy="4719802"/>
                    </a:xfrm>
                    <a:prstGeom prst="rect">
                      <a:avLst/>
                    </a:prstGeom>
                  </pic:spPr>
                </pic:pic>
              </a:graphicData>
            </a:graphic>
          </wp:inline>
        </w:drawing>
      </w:r>
    </w:p>
    <w:p w14:paraId="208C2AA1" w14:textId="77777777" w:rsidR="00820663" w:rsidRDefault="00820663" w:rsidP="00186B5A">
      <w:pPr>
        <w:spacing w:before="40" w:after="60"/>
        <w:jc w:val="both"/>
        <w:rPr>
          <w:rFonts w:ascii="Times New Roman" w:hAnsi="Times New Roman" w:cs="Times New Roman"/>
          <w:noProof/>
        </w:rPr>
      </w:pPr>
    </w:p>
    <w:p w14:paraId="0EC6774F" w14:textId="77777777" w:rsidR="00003D4D" w:rsidRDefault="00FF5A73" w:rsidP="00ED159C">
      <w:pPr>
        <w:spacing w:before="60"/>
        <w:jc w:val="both"/>
        <w:rPr>
          <w:rFonts w:ascii="Times New Roman" w:hAnsi="Times New Roman" w:cs="Times New Roman"/>
          <w:b/>
          <w:bCs/>
          <w:i/>
          <w:iCs/>
          <w:color w:val="444444"/>
          <w:lang w:val="en-GB"/>
        </w:rPr>
      </w:pPr>
      <w:r w:rsidRPr="00003D4D">
        <w:rPr>
          <w:rFonts w:ascii="Times New Roman" w:hAnsi="Times New Roman" w:cs="Times New Roman"/>
          <w:b/>
          <w:bCs/>
          <w:i/>
          <w:iCs/>
          <w:color w:val="444444"/>
          <w:lang w:val="en-GB"/>
        </w:rPr>
        <w:t>Figure 6. LOREON versus EPI2ME wf-16s</w:t>
      </w:r>
      <w:r w:rsidR="00003D4D">
        <w:rPr>
          <w:rFonts w:ascii="Times New Roman" w:hAnsi="Times New Roman" w:cs="Times New Roman"/>
          <w:b/>
          <w:bCs/>
          <w:i/>
          <w:iCs/>
          <w:color w:val="444444"/>
          <w:lang w:val="en-GB"/>
        </w:rPr>
        <w:t>.</w:t>
      </w:r>
    </w:p>
    <w:p w14:paraId="10906819" w14:textId="49008DDE" w:rsidR="006A2195" w:rsidRPr="00296230" w:rsidRDefault="00003D4D" w:rsidP="00ED159C">
      <w:pPr>
        <w:spacing w:before="60"/>
        <w:jc w:val="both"/>
        <w:rPr>
          <w:rFonts w:ascii="Times New Roman" w:hAnsi="Times New Roman" w:cs="Times New Roman"/>
          <w:lang w:val="en-GB"/>
        </w:rPr>
      </w:pPr>
      <w:r>
        <w:rPr>
          <w:rFonts w:ascii="Times New Roman" w:hAnsi="Times New Roman" w:cs="Times New Roman"/>
          <w:i/>
          <w:iCs/>
          <w:color w:val="444444"/>
          <w:lang w:val="en-GB"/>
        </w:rPr>
        <w:t>C</w:t>
      </w:r>
      <w:r w:rsidR="00FF5A73" w:rsidRPr="00296230">
        <w:rPr>
          <w:rFonts w:ascii="Times New Roman" w:hAnsi="Times New Roman" w:cs="Times New Roman"/>
          <w:i/>
          <w:iCs/>
          <w:color w:val="444444"/>
          <w:lang w:val="en-GB"/>
        </w:rPr>
        <w:t xml:space="preserve">omparison on the 16S mock community dataset (958,655 reads, Apple M4 Pro 14-core, 24 GB RAM). </w:t>
      </w:r>
      <w:r w:rsidR="0091785A" w:rsidRPr="0091785A">
        <w:rPr>
          <w:rFonts w:ascii="Times New Roman" w:hAnsi="Times New Roman" w:cs="Times New Roman"/>
          <w:b/>
          <w:bCs/>
          <w:i/>
          <w:iCs/>
          <w:color w:val="444444"/>
          <w:lang w:val="en-GB"/>
        </w:rPr>
        <w:t>a</w:t>
      </w:r>
      <w:r w:rsidR="00FF5A73" w:rsidRPr="0091785A">
        <w:rPr>
          <w:rFonts w:ascii="Times New Roman" w:hAnsi="Times New Roman" w:cs="Times New Roman"/>
          <w:b/>
          <w:bCs/>
          <w:i/>
          <w:iCs/>
          <w:color w:val="444444"/>
          <w:lang w:val="en-GB"/>
        </w:rPr>
        <w:t>)</w:t>
      </w:r>
      <w:r w:rsidR="00FF5A73" w:rsidRPr="00296230">
        <w:rPr>
          <w:rFonts w:ascii="Times New Roman" w:hAnsi="Times New Roman" w:cs="Times New Roman"/>
          <w:i/>
          <w:iCs/>
          <w:color w:val="444444"/>
          <w:lang w:val="en-GB"/>
        </w:rPr>
        <w:t xml:space="preserve"> Wall time decomposition: mapping step (dark) versus orchestration overhead (light). LOREON's overhead is 32-fold lower. </w:t>
      </w:r>
      <w:r w:rsidRPr="00003D4D">
        <w:rPr>
          <w:rFonts w:ascii="Times New Roman" w:hAnsi="Times New Roman" w:cs="Times New Roman"/>
          <w:b/>
          <w:bCs/>
          <w:i/>
          <w:iCs/>
          <w:color w:val="444444"/>
          <w:lang w:val="en-GB"/>
        </w:rPr>
        <w:t>b</w:t>
      </w:r>
      <w:r w:rsidR="00FF5A73" w:rsidRPr="00003D4D">
        <w:rPr>
          <w:rFonts w:ascii="Times New Roman" w:hAnsi="Times New Roman" w:cs="Times New Roman"/>
          <w:b/>
          <w:bCs/>
          <w:i/>
          <w:iCs/>
          <w:color w:val="444444"/>
          <w:lang w:val="en-GB"/>
        </w:rPr>
        <w:t>)</w:t>
      </w:r>
      <w:r w:rsidR="00FF5A73" w:rsidRPr="00296230">
        <w:rPr>
          <w:rFonts w:ascii="Times New Roman" w:hAnsi="Times New Roman" w:cs="Times New Roman"/>
          <w:i/>
          <w:iCs/>
          <w:color w:val="444444"/>
          <w:lang w:val="en-GB"/>
        </w:rPr>
        <w:t xml:space="preserve"> Peak RSS memory: minimap2 process and orchestrator process for each tool. LOREON consumes 1.4× less minimap2 memory and 2.8× less orchestrator memory.</w:t>
      </w:r>
    </w:p>
    <w:p w14:paraId="0EF642E1" w14:textId="77777777" w:rsidR="006A2195" w:rsidRPr="00296230" w:rsidRDefault="006A2195" w:rsidP="00186B5A">
      <w:pPr>
        <w:spacing w:before="80" w:after="80"/>
        <w:jc w:val="both"/>
        <w:rPr>
          <w:rFonts w:ascii="Times New Roman" w:hAnsi="Times New Roman" w:cs="Times New Roman"/>
          <w:lang w:val="en-GB"/>
        </w:rPr>
      </w:pPr>
    </w:p>
    <w:p w14:paraId="64AFDEE6" w14:textId="77777777" w:rsidR="006A2195" w:rsidRPr="00296230" w:rsidRDefault="006A2195" w:rsidP="00186B5A">
      <w:pPr>
        <w:spacing w:before="80" w:after="80"/>
        <w:jc w:val="both"/>
        <w:rPr>
          <w:rFonts w:ascii="Times New Roman" w:hAnsi="Times New Roman" w:cs="Times New Roman"/>
          <w:lang w:val="en-GB"/>
        </w:rPr>
      </w:pPr>
    </w:p>
    <w:p w14:paraId="4A070867" w14:textId="1617F819" w:rsidR="006A2195" w:rsidRPr="00296230" w:rsidRDefault="00FF5A73" w:rsidP="00186B5A">
      <w:pPr>
        <w:pStyle w:val="Titolo2"/>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3.</w:t>
      </w:r>
      <w:r w:rsidR="0085681B">
        <w:rPr>
          <w:rFonts w:ascii="Times New Roman" w:hAnsi="Times New Roman" w:cs="Times New Roman"/>
          <w:sz w:val="22"/>
          <w:szCs w:val="22"/>
          <w:lang w:val="en-GB"/>
        </w:rPr>
        <w:t>7)</w:t>
      </w:r>
      <w:r w:rsidRPr="00296230">
        <w:rPr>
          <w:rFonts w:ascii="Times New Roman" w:hAnsi="Times New Roman" w:cs="Times New Roman"/>
          <w:sz w:val="22"/>
          <w:szCs w:val="22"/>
          <w:lang w:val="en-GB"/>
        </w:rPr>
        <w:t xml:space="preserve"> Accessibility and Learning Curve</w:t>
      </w:r>
    </w:p>
    <w:p w14:paraId="0ADA3203"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A defining feature of LOREON relative to alternative tools is its accessibility for users without bioinformatics training. The hardware summary table (Figure 7) contextualises the benchmark results within the diversity of laboratory hardware, while Supplementary Table S1 provides a detailed comparison of prerequisites, installation steps, and time-to-first-result for LOREON versus a representative Nextflow pipeline.</w:t>
      </w:r>
    </w:p>
    <w:p w14:paraId="6FBD415A" w14:textId="77777777" w:rsidR="006A2195" w:rsidRPr="00296230" w:rsidRDefault="006A2195" w:rsidP="00186B5A">
      <w:pPr>
        <w:spacing w:before="120" w:after="120"/>
        <w:jc w:val="both"/>
        <w:rPr>
          <w:rFonts w:ascii="Times New Roman" w:hAnsi="Times New Roman" w:cs="Times New Roman"/>
          <w:lang w:val="en-GB"/>
        </w:rPr>
      </w:pPr>
    </w:p>
    <w:p w14:paraId="4A81169A" w14:textId="77777777" w:rsidR="006A2195" w:rsidRPr="00296230" w:rsidRDefault="00FF5A73" w:rsidP="00186B5A">
      <w:pPr>
        <w:spacing w:before="80" w:after="60"/>
        <w:jc w:val="both"/>
        <w:rPr>
          <w:rFonts w:ascii="Times New Roman" w:hAnsi="Times New Roman" w:cs="Times New Roman"/>
        </w:rPr>
      </w:pPr>
      <w:r w:rsidRPr="00296230">
        <w:rPr>
          <w:rFonts w:ascii="Times New Roman" w:hAnsi="Times New Roman" w:cs="Times New Roman"/>
          <w:noProof/>
        </w:rPr>
        <w:lastRenderedPageBreak/>
        <w:drawing>
          <wp:inline distT="0" distB="0" distL="0" distR="0" wp14:anchorId="7C7844E4" wp14:editId="152960A8">
            <wp:extent cx="5840459" cy="1147233"/>
            <wp:effectExtent l="0" t="0" r="0" b="0"/>
            <wp:docPr id="428405794" name="Figure 7 - Hardware Summary Table" descr="Figure 7 - Hardware Summary Table" title="Figure 7 - Hardware Summary Tab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4"/>
                    <a:srcRect/>
                    <a:stretch>
                      <a:fillRect/>
                    </a:stretch>
                  </pic:blipFill>
                  <pic:spPr bwMode="auto">
                    <a:xfrm>
                      <a:off x="0" y="0"/>
                      <a:ext cx="5873959" cy="1153813"/>
                    </a:xfrm>
                    <a:prstGeom prst="rect">
                      <a:avLst/>
                    </a:prstGeom>
                  </pic:spPr>
                </pic:pic>
              </a:graphicData>
            </a:graphic>
          </wp:inline>
        </w:drawing>
      </w:r>
    </w:p>
    <w:p w14:paraId="554CE3FE" w14:textId="77777777" w:rsidR="006A2195" w:rsidRPr="00296230" w:rsidRDefault="00FF5A73" w:rsidP="00186B5A">
      <w:pPr>
        <w:spacing w:before="60" w:after="200"/>
        <w:jc w:val="both"/>
        <w:rPr>
          <w:rFonts w:ascii="Times New Roman" w:hAnsi="Times New Roman" w:cs="Times New Roman"/>
          <w:lang w:val="en-GB"/>
        </w:rPr>
      </w:pPr>
      <w:r w:rsidRPr="00983B1B">
        <w:rPr>
          <w:rFonts w:ascii="Times New Roman" w:hAnsi="Times New Roman" w:cs="Times New Roman"/>
          <w:b/>
          <w:bCs/>
          <w:i/>
          <w:iCs/>
          <w:color w:val="444444"/>
          <w:lang w:val="en-GB"/>
        </w:rPr>
        <w:t>Figure 7. Hardware specifications summary for the three benchmarked platforms</w:t>
      </w:r>
      <w:r w:rsidRPr="00296230">
        <w:rPr>
          <w:rFonts w:ascii="Times New Roman" w:hAnsi="Times New Roman" w:cs="Times New Roman"/>
          <w:i/>
          <w:iCs/>
          <w:color w:val="444444"/>
          <w:lang w:val="en-GB"/>
        </w:rPr>
        <w:t>. All three represent hardware commonly available in academic and industrial microbiology laboratories without HPC infrastructure.</w:t>
      </w:r>
    </w:p>
    <w:p w14:paraId="01D35D25" w14:textId="77777777" w:rsidR="006A2195" w:rsidRPr="00296230" w:rsidRDefault="006A2195" w:rsidP="00186B5A">
      <w:pPr>
        <w:spacing w:before="80" w:after="80"/>
        <w:jc w:val="both"/>
        <w:rPr>
          <w:rFonts w:ascii="Times New Roman" w:hAnsi="Times New Roman" w:cs="Times New Roman"/>
          <w:lang w:val="en-GB"/>
        </w:rPr>
      </w:pPr>
    </w:p>
    <w:p w14:paraId="24A90E10"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Installation of LOREON requires a single platform-specific installer (DMG for macOS, DEB for Ubuntu, EXE for Windows) plus installation of minimap2 and samtools—two widely available bioinformatics tools available via a single </w:t>
      </w:r>
      <w:r w:rsidRPr="00296230">
        <w:rPr>
          <w:rFonts w:ascii="Times New Roman" w:hAnsi="Times New Roman" w:cs="Times New Roman"/>
          <w:i/>
          <w:iCs/>
          <w:lang w:val="en-GB"/>
        </w:rPr>
        <w:t>conda install</w:t>
      </w:r>
      <w:r w:rsidRPr="00296230">
        <w:rPr>
          <w:rFonts w:ascii="Times New Roman" w:hAnsi="Times New Roman" w:cs="Times New Roman"/>
          <w:lang w:val="en-GB"/>
        </w:rPr>
        <w:t xml:space="preserve"> or </w:t>
      </w:r>
      <w:r w:rsidRPr="00296230">
        <w:rPr>
          <w:rFonts w:ascii="Times New Roman" w:hAnsi="Times New Roman" w:cs="Times New Roman"/>
          <w:i/>
          <w:iCs/>
          <w:lang w:val="en-GB"/>
        </w:rPr>
        <w:t>apt install</w:t>
      </w:r>
      <w:r w:rsidRPr="00296230">
        <w:rPr>
          <w:rFonts w:ascii="Times New Roman" w:hAnsi="Times New Roman" w:cs="Times New Roman"/>
          <w:lang w:val="en-GB"/>
        </w:rPr>
        <w:t xml:space="preserve"> command on macOS and Linux, </w:t>
      </w:r>
      <w:r w:rsidRPr="00820663">
        <w:rPr>
          <w:rFonts w:ascii="Times New Roman" w:hAnsi="Times New Roman" w:cs="Times New Roman"/>
          <w:lang w:val="en-GB"/>
        </w:rPr>
        <w:t>and</w:t>
      </w:r>
      <w:r w:rsidRPr="00296230">
        <w:rPr>
          <w:rFonts w:ascii="Times New Roman" w:hAnsi="Times New Roman" w:cs="Times New Roman"/>
          <w:lang w:val="en-GB"/>
        </w:rPr>
        <w:t xml:space="preserve"> bundled automatically within the Docker container used on Windows. At first launch, LOREON automatically creates an isolated Python virtual environment containing all required libraries (BioPython, pandas, DuckDB, Plotly, Jinja2), requiring only Python ≥3.8 to be present on the host system. Time to first successful analysis from a fresh installation is approximately 15–20 minutes on all three platforms, including software installation and initial pipeline configuration.</w:t>
      </w:r>
    </w:p>
    <w:p w14:paraId="048D4972"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 xml:space="preserve">In contrast, deploying a representative Nextflow-based ONT metabarcoding pipeline requires installation of Java 11+ (JDK), the Nextflow runtime, Docker or Singularity, Git, and optionally Conda/Mamba, followed by cloning the pipeline repository, configuring a </w:t>
      </w:r>
      <w:r w:rsidRPr="00296230">
        <w:rPr>
          <w:rFonts w:ascii="Times New Roman" w:hAnsi="Times New Roman" w:cs="Times New Roman"/>
          <w:i/>
          <w:iCs/>
          <w:lang w:val="en-GB"/>
        </w:rPr>
        <w:t>nextflow.config</w:t>
      </w:r>
      <w:r w:rsidRPr="00296230">
        <w:rPr>
          <w:rFonts w:ascii="Times New Roman" w:hAnsi="Times New Roman" w:cs="Times New Roman"/>
          <w:lang w:val="en-GB"/>
        </w:rPr>
        <w:t xml:space="preserve"> file with executor profiles, preparing a samplesheet CSV, and downloading or configuring reference databases. The entire process typically requires 2–4 hours for a user with prior experience, and 1–2 days for a user encountering these tools for the first time. A user with no prior bioinformatics exposure cannot realistically achieve independent pipeline operation without dedicated training sessions. LOREON eliminates this barrier entirely through its graphical point-and-click interface: input folder, database file, output folder, three parameter sliders, and a START button.</w:t>
      </w:r>
    </w:p>
    <w:p w14:paraId="3B47456C" w14:textId="77777777" w:rsidR="006A2195" w:rsidRPr="007D6084" w:rsidRDefault="006A2195" w:rsidP="00186B5A">
      <w:pPr>
        <w:spacing w:before="80" w:after="80"/>
        <w:jc w:val="both"/>
        <w:rPr>
          <w:rFonts w:ascii="Times New Roman" w:hAnsi="Times New Roman" w:cs="Times New Roman"/>
          <w:b/>
          <w:bCs/>
          <w:lang w:val="en-GB"/>
        </w:rPr>
      </w:pPr>
    </w:p>
    <w:p w14:paraId="08F6E476" w14:textId="77777777" w:rsidR="00CE29E3" w:rsidRPr="002608CC" w:rsidRDefault="00296230" w:rsidP="002608CC">
      <w:pPr>
        <w:pStyle w:val="Titolo2"/>
        <w:rPr>
          <w:rFonts w:ascii="Times New Roman" w:hAnsi="Times New Roman" w:cs="Times New Roman"/>
          <w:lang w:val="en-GB"/>
        </w:rPr>
      </w:pPr>
      <w:r w:rsidRPr="002608CC">
        <w:rPr>
          <w:rFonts w:ascii="Times New Roman" w:hAnsi="Times New Roman" w:cs="Times New Roman"/>
          <w:lang w:val="en-GB"/>
        </w:rPr>
        <w:t>4. Discussion</w:t>
      </w:r>
    </w:p>
    <w:p w14:paraId="4EF78D2C" w14:textId="60DBC194" w:rsidR="009B45AC" w:rsidRPr="00560AD1" w:rsidRDefault="00F5469D" w:rsidP="00774039">
      <w:pPr>
        <w:spacing w:before="80" w:after="80" w:line="276" w:lineRule="auto"/>
        <w:jc w:val="both"/>
        <w:rPr>
          <w:rFonts w:ascii="Times New Roman" w:hAnsi="Times New Roman" w:cs="Times New Roman"/>
          <w:lang w:val="en-GB"/>
        </w:rPr>
      </w:pPr>
      <w:r>
        <w:rPr>
          <w:rFonts w:ascii="Times New Roman" w:hAnsi="Times New Roman" w:cs="Times New Roman"/>
          <w:b/>
          <w:bCs/>
          <w:lang w:val="en-GB"/>
        </w:rPr>
        <w:br/>
      </w:r>
      <w:r w:rsidR="00774039" w:rsidRPr="00FC2499">
        <w:rPr>
          <w:rFonts w:ascii="Times New Roman" w:hAnsi="Times New Roman" w:cs="Times New Roman"/>
          <w:lang w:val="en-GB"/>
        </w:rPr>
        <w:t xml:space="preserve">The results presented here demonstrate that combining an accessible computational infrastructure with extended-length molecular markers yields measurable improvements in metabarcoding accuracy across both fungal and bacterial systems. LOREON provides a unified, cross-platform framework that supports any barcode marker for which a reference database is available, runs on hardware as modest as a four-core laptop with 15 GB of RAM, and requires no command-line expertise. At the same time, the systematic comparison between standard and ultra-long ITS amplicons provides quantitative evidence that extending the fungal barcode beyond the canonical ITS1–5.8S–ITS2 region </w:t>
      </w:r>
      <w:r w:rsidR="009B45AC" w:rsidRPr="009B45AC">
        <w:rPr>
          <w:rFonts w:ascii="Times New Roman" w:hAnsi="Times New Roman" w:cs="Times New Roman"/>
          <w:lang w:val="en-GB"/>
        </w:rPr>
        <w:t>substantially improves taxonomic assignment, particularly for lineages where ITS alone provides insufficient discriminatory power</w:t>
      </w:r>
      <w:r w:rsidR="009B45AC">
        <w:rPr>
          <w:rFonts w:ascii="Times New Roman" w:hAnsi="Times New Roman" w:cs="Times New Roman"/>
          <w:lang w:val="en-GB"/>
        </w:rPr>
        <w:t>.</w:t>
      </w:r>
      <w:r w:rsidR="00560AD1">
        <w:rPr>
          <w:rFonts w:ascii="Times New Roman" w:hAnsi="Times New Roman" w:cs="Times New Roman"/>
          <w:lang w:val="en-GB"/>
        </w:rPr>
        <w:t xml:space="preserve"> </w:t>
      </w:r>
      <w:r w:rsidR="00560AD1" w:rsidRPr="00560AD1">
        <w:rPr>
          <w:rFonts w:ascii="Times New Roman" w:hAnsi="Times New Roman" w:cs="Times New Roman"/>
          <w:lang w:val="en-GB"/>
        </w:rPr>
        <w:t>This pattern is consistent with recent findings in vertebrate eDNA metabarcoding, where longer amplicons (~2 kb) spanning the mitochondrial 12S–16S region improved species-level assignment of closely related taxa compared to standard short markers</w:t>
      </w:r>
      <w:r w:rsidR="00445441">
        <w:rPr>
          <w:rFonts w:ascii="Times New Roman" w:hAnsi="Times New Roman" w:cs="Times New Roman"/>
          <w:lang w:val="en-GB"/>
        </w:rPr>
        <w:t xml:space="preserve"> </w:t>
      </w:r>
      <w:r w:rsidR="00445441">
        <w:rPr>
          <w:rFonts w:ascii="Times New Roman" w:hAnsi="Times New Roman" w:cs="Times New Roman"/>
          <w:lang w:val="en-GB"/>
        </w:rPr>
        <w:fldChar w:fldCharType="begin"/>
      </w:r>
      <w:r w:rsidR="00C03190">
        <w:rPr>
          <w:rFonts w:ascii="Times New Roman" w:hAnsi="Times New Roman" w:cs="Times New Roman"/>
          <w:lang w:val="en-GB"/>
        </w:rPr>
        <w:instrText xml:space="preserve"> ADDIN EN.CITE &lt;EndNote&gt;&lt;Cite&gt;&lt;Author&gt;Doorenspleet&lt;/Author&gt;&lt;Year&gt;2025&lt;/Year&gt;&lt;RecNum&gt;7&lt;/RecNum&gt;&lt;DisplayText&gt;&lt;style size="10"&gt;[45]&lt;/style&gt;&lt;/DisplayText&gt;&lt;record&gt;&lt;rec-number&gt;7&lt;/rec-number&gt;&lt;foreign-keys&gt;&lt;key app="EN" db-id="a5ewd5adyz0t5pes20q5xvarvd2d0vvvt5zf" timestamp="1782903612"&gt;7&lt;/key&gt;&lt;/foreign-keys&gt;&lt;ref-type name="Journal Article"&gt;17&lt;/ref-type&gt;&lt;contributors&gt;&lt;authors&gt;&lt;author&gt;Doorenspleet, Karlijn&lt;/author&gt;&lt;author&gt;Jansen, Lara&lt;/author&gt;&lt;author&gt;Oosterbroek, Saskia&lt;/author&gt;&lt;author&gt;Kamermans, Pauline&lt;/author&gt;&lt;author&gt;Bos, Oscar&lt;/author&gt;&lt;author&gt;Wurz, Erik&lt;/author&gt;&lt;author&gt;Murk, Albertinka&lt;/author&gt;&lt;author&gt;Nijland, Reindert&lt;/author&gt;&lt;/authors&gt;&lt;/contributors&gt;&lt;titles&gt;&lt;title&gt;The Long and the Short of It: Nanopore‐Based eDNA Metabarcoding of Marine Vertebrates Works; Sensitivity and Species‐Level Assignment Depend on Amplicon Lengths&lt;/title&gt;&lt;secondary-title&gt;Molecular Ecology Resources&lt;/secondary-title&gt;&lt;/titles&gt;&lt;periodical&gt;&lt;full-title&gt;Molecular Ecology Resources&lt;/full-title&gt;&lt;/periodical&gt;&lt;pages&gt;e14079&lt;/pages&gt;&lt;volume&gt;25&lt;/volume&gt;&lt;number&gt;4&lt;/number&gt;&lt;dates&gt;&lt;year&gt;2025&lt;/year&gt;&lt;/dates&gt;&lt;isbn&gt;1755-098X&lt;/isbn&gt;&lt;urls&gt;&lt;/urls&gt;&lt;/record&gt;&lt;/Cite&gt;&lt;/EndNote&gt;</w:instrText>
      </w:r>
      <w:r w:rsidR="00445441">
        <w:rPr>
          <w:rFonts w:ascii="Times New Roman" w:hAnsi="Times New Roman" w:cs="Times New Roman"/>
          <w:lang w:val="en-GB"/>
        </w:rPr>
        <w:fldChar w:fldCharType="separate"/>
      </w:r>
      <w:r w:rsidR="00C03190" w:rsidRPr="00C03190">
        <w:rPr>
          <w:rFonts w:ascii="Times New Roman" w:hAnsi="Times New Roman" w:cs="Times New Roman"/>
          <w:noProof/>
          <w:sz w:val="20"/>
          <w:lang w:val="en-GB"/>
        </w:rPr>
        <w:t>[45]</w:t>
      </w:r>
      <w:r w:rsidR="00445441">
        <w:rPr>
          <w:rFonts w:ascii="Times New Roman" w:hAnsi="Times New Roman" w:cs="Times New Roman"/>
          <w:lang w:val="en-GB"/>
        </w:rPr>
        <w:fldChar w:fldCharType="end"/>
      </w:r>
      <w:r w:rsidR="00AE52D9">
        <w:rPr>
          <w:rFonts w:ascii="Times New Roman" w:hAnsi="Times New Roman" w:cs="Times New Roman"/>
          <w:lang w:val="en-GB"/>
        </w:rPr>
        <w:t>.</w:t>
      </w:r>
    </w:p>
    <w:p w14:paraId="10E18FF5" w14:textId="7E699915" w:rsidR="00774039" w:rsidRPr="00FC2499" w:rsidRDefault="00774039" w:rsidP="00774039">
      <w:pPr>
        <w:spacing w:before="80" w:after="80" w:line="276" w:lineRule="auto"/>
        <w:jc w:val="both"/>
        <w:rPr>
          <w:rFonts w:ascii="Times New Roman" w:hAnsi="Times New Roman" w:cs="Times New Roman"/>
          <w:lang w:val="en-GB"/>
        </w:rPr>
      </w:pPr>
      <w:r w:rsidRPr="00FC2499">
        <w:rPr>
          <w:rFonts w:ascii="Times New Roman" w:hAnsi="Times New Roman" w:cs="Times New Roman"/>
          <w:lang w:val="en-GB"/>
        </w:rPr>
        <w:t xml:space="preserve">The synthetic 16S benchmark confirmed that the </w:t>
      </w:r>
      <w:r w:rsidR="009B45AC">
        <w:rPr>
          <w:rFonts w:ascii="Times New Roman" w:hAnsi="Times New Roman" w:cs="Times New Roman"/>
          <w:lang w:val="en-GB"/>
        </w:rPr>
        <w:t xml:space="preserve">framework </w:t>
      </w:r>
      <w:r w:rsidR="009B45AC" w:rsidRPr="009B45AC">
        <w:rPr>
          <w:rFonts w:ascii="Times New Roman" w:hAnsi="Times New Roman" w:cs="Times New Roman"/>
          <w:lang w:val="en-GB"/>
        </w:rPr>
        <w:t>reference-based alignment with minimap2</w:t>
      </w:r>
      <w:r w:rsidRPr="00FC2499">
        <w:rPr>
          <w:rFonts w:ascii="Times New Roman" w:hAnsi="Times New Roman" w:cs="Times New Roman"/>
          <w:lang w:val="en-GB"/>
        </w:rPr>
        <w:t xml:space="preserve"> achieves high accuracy when applied to a well-curated marker (F1 = 0.86, Spearman </w:t>
      </w:r>
      <w:r w:rsidRPr="00774039">
        <w:rPr>
          <w:rFonts w:ascii="Times New Roman" w:hAnsi="Times New Roman" w:cs="Times New Roman"/>
        </w:rPr>
        <w:t>ρ</w:t>
      </w:r>
      <w:r w:rsidRPr="00FC2499">
        <w:rPr>
          <w:rFonts w:ascii="Times New Roman" w:hAnsi="Times New Roman" w:cs="Times New Roman"/>
          <w:lang w:val="en-GB"/>
        </w:rPr>
        <w:t xml:space="preserve"> = 0.997 for full-length reads), with all metrics improving when extending from V3–V4 to full-length 16S. In fungal metabarcoding, the impact of marker length was more pronounced. The ITS region, despite its role as </w:t>
      </w:r>
      <w:r w:rsidRPr="00FC2499">
        <w:rPr>
          <w:rFonts w:ascii="Times New Roman" w:hAnsi="Times New Roman" w:cs="Times New Roman"/>
          <w:lang w:val="en-GB"/>
        </w:rPr>
        <w:lastRenderedPageBreak/>
        <w:t>the universal fungal barcode, presents well-documented challenges: high length variability</w:t>
      </w:r>
      <w:r w:rsidR="00D34011">
        <w:rPr>
          <w:rFonts w:ascii="Times New Roman" w:hAnsi="Times New Roman" w:cs="Times New Roman"/>
          <w:lang w:val="en-GB"/>
        </w:rPr>
        <w:t xml:space="preserve"> </w:t>
      </w:r>
      <w:r w:rsidR="00D34011">
        <w:rPr>
          <w:rFonts w:ascii="Times New Roman" w:hAnsi="Times New Roman" w:cs="Times New Roman"/>
          <w:lang w:val="en-GB"/>
        </w:rPr>
        <w:fldChar w:fldCharType="begin"/>
      </w:r>
      <w:r w:rsidR="00435114">
        <w:rPr>
          <w:rFonts w:ascii="Times New Roman" w:hAnsi="Times New Roman" w:cs="Times New Roman"/>
          <w:lang w:val="en-GB"/>
        </w:rPr>
        <w:instrText xml:space="preserve"> ADDIN EN.CITE &lt;EndNote&gt;&lt;Cite&gt;&lt;Author&gt;Min&lt;/Author&gt;&lt;Year&gt;2007&lt;/Year&gt;&lt;RecNum&gt;54&lt;/RecNum&gt;&lt;DisplayText&gt;&lt;style size="10"&gt;[46]&lt;/style&gt;&lt;/DisplayText&gt;&lt;record&gt;&lt;rec-number&gt;54&lt;/rec-number&gt;&lt;foreign-keys&gt;&lt;key app="EN" db-id="a5ewd5adyz0t5pes20q5xvarvd2d0vvvt5zf" timestamp="1783932340"&gt;54&lt;/key&gt;&lt;/foreign-keys&gt;&lt;ref-type name="Journal Article"&gt;17&lt;/ref-type&gt;&lt;contributors&gt;&lt;authors&gt;&lt;author&gt;Min, Xiang Jia&lt;/author&gt;&lt;author&gt;Hickey, Donal A&lt;/author&gt;&lt;/authors&gt;&lt;/contributors&gt;&lt;titles&gt;&lt;title&gt;Assessing the effect of varying sequence length on DNA barcoding of fungi&lt;/title&gt;&lt;secondary-title&gt;Molecular Ecology Notes&lt;/secondary-title&gt;&lt;/titles&gt;&lt;periodical&gt;&lt;full-title&gt;Molecular Ecology Notes&lt;/full-title&gt;&lt;/periodical&gt;&lt;pages&gt;365-373&lt;/pages&gt;&lt;volume&gt;7&lt;/volume&gt;&lt;number&gt;3&lt;/number&gt;&lt;dates&gt;&lt;year&gt;2007&lt;/year&gt;&lt;/dates&gt;&lt;isbn&gt;1471-8278&lt;/isbn&gt;&lt;urls&gt;&lt;/urls&gt;&lt;/record&gt;&lt;/Cite&gt;&lt;/EndNote&gt;</w:instrText>
      </w:r>
      <w:r w:rsidR="00D34011">
        <w:rPr>
          <w:rFonts w:ascii="Times New Roman" w:hAnsi="Times New Roman" w:cs="Times New Roman"/>
          <w:lang w:val="en-GB"/>
        </w:rPr>
        <w:fldChar w:fldCharType="separate"/>
      </w:r>
      <w:r w:rsidR="00435114" w:rsidRPr="00435114">
        <w:rPr>
          <w:rFonts w:ascii="Times New Roman" w:hAnsi="Times New Roman" w:cs="Times New Roman"/>
          <w:noProof/>
          <w:sz w:val="20"/>
          <w:lang w:val="en-GB"/>
        </w:rPr>
        <w:t>[46]</w:t>
      </w:r>
      <w:r w:rsidR="00D34011">
        <w:rPr>
          <w:rFonts w:ascii="Times New Roman" w:hAnsi="Times New Roman" w:cs="Times New Roman"/>
          <w:lang w:val="en-GB"/>
        </w:rPr>
        <w:fldChar w:fldCharType="end"/>
      </w:r>
      <w:r w:rsidRPr="00FC2499">
        <w:rPr>
          <w:rFonts w:ascii="Times New Roman" w:hAnsi="Times New Roman" w:cs="Times New Roman"/>
          <w:lang w:val="en-GB"/>
        </w:rPr>
        <w:t xml:space="preserve">, intra-genomic copy heterogeneity </w:t>
      </w:r>
      <w:r w:rsidR="00D34011">
        <w:rPr>
          <w:rFonts w:ascii="Times New Roman" w:hAnsi="Times New Roman" w:cs="Times New Roman"/>
          <w:lang w:val="en-GB"/>
        </w:rPr>
        <w:fldChar w:fldCharType="begin"/>
      </w:r>
      <w:r w:rsidR="00435114">
        <w:rPr>
          <w:rFonts w:ascii="Times New Roman" w:hAnsi="Times New Roman" w:cs="Times New Roman"/>
          <w:lang w:val="en-GB"/>
        </w:rPr>
        <w:instrText xml:space="preserve"> ADDIN EN.CITE &lt;EndNote&gt;&lt;Cite&gt;&lt;Author&gt;Estensmo&lt;/Author&gt;&lt;Year&gt;2021&lt;/Year&gt;&lt;RecNum&gt;52&lt;/RecNum&gt;&lt;DisplayText&gt;&lt;style size="10"&gt;[47,48]&lt;/style&gt;&lt;/DisplayText&gt;&lt;record&gt;&lt;rec-number&gt;52&lt;/rec-number&gt;&lt;foreign-keys&gt;&lt;key app="EN" db-id="a5ewd5adyz0t5pes20q5xvarvd2d0vvvt5zf" timestamp="1783931744"&gt;52&lt;/key&gt;&lt;/foreign-keys&gt;&lt;ref-type name="Journal Article"&gt;17&lt;/ref-type&gt;&lt;contributors&gt;&lt;authors&gt;&lt;author&gt;Estensmo, Eva Lena F&lt;/author&gt;&lt;author&gt;Maurice, Sundy&lt;/author&gt;&lt;author&gt;Morgado, Luis&lt;/author&gt;&lt;author&gt;Martin‐Sanchez, Pedro M&lt;/author&gt;&lt;author&gt;Skrede, Inger&lt;/author&gt;&lt;author&gt;Kauserud, Håvard&lt;/author&gt;&lt;/authors&gt;&lt;/contributors&gt;&lt;titles&gt;&lt;title&gt;The influence of intraspecific sequence variation during DNA metabarcoding: A case study of eleven fungal species&lt;/title&gt;&lt;secondary-title&gt;Molecular Ecology Resources&lt;/secondary-title&gt;&lt;/titles&gt;&lt;periodical&gt;&lt;full-title&gt;Molecular Ecology Resources&lt;/full-title&gt;&lt;/periodical&gt;&lt;pages&gt;1141-1148&lt;/pages&gt;&lt;volume&gt;21&lt;/volume&gt;&lt;number&gt;4&lt;/number&gt;&lt;dates&gt;&lt;year&gt;2021&lt;/year&gt;&lt;/dates&gt;&lt;isbn&gt;1755-098X&lt;/isbn&gt;&lt;urls&gt;&lt;/urls&gt;&lt;/record&gt;&lt;/Cite&gt;&lt;Cite&gt;&lt;Author&gt;Korabečná&lt;/Author&gt;&lt;Year&gt;2003&lt;/Year&gt;&lt;RecNum&gt;55&lt;/RecNum&gt;&lt;record&gt;&lt;rec-number&gt;55&lt;/rec-number&gt;&lt;foreign-keys&gt;&lt;key app="EN" db-id="a5ewd5adyz0t5pes20q5xvarvd2d0vvvt5zf" timestamp="1783932663"&gt;55&lt;/key&gt;&lt;/foreign-keys&gt;&lt;ref-type name="Journal Article"&gt;17&lt;/ref-type&gt;&lt;contributors&gt;&lt;authors&gt;&lt;author&gt;Korabečná, M&lt;/author&gt;&lt;author&gt;Liška, V&lt;/author&gt;&lt;author&gt;Fajfrlík, K&lt;/author&gt;&lt;/authors&gt;&lt;/contributors&gt;&lt;titles&gt;&lt;title&gt;Primers ITS1, ITS2 and ITS4 detect the intraspecies variability in the internal transcribed spacers and 5.8 S rRNA gene region in clinical isolates of fungi&lt;/title&gt;&lt;secondary-title&gt;Folia microbiologica&lt;/secondary-title&gt;&lt;/titles&gt;&lt;periodical&gt;&lt;full-title&gt;Folia microbiologica&lt;/full-title&gt;&lt;/periodical&gt;&lt;pages&gt;233-238&lt;/pages&gt;&lt;volume&gt;48&lt;/volume&gt;&lt;number&gt;2&lt;/number&gt;&lt;dates&gt;&lt;year&gt;2003&lt;/year&gt;&lt;/dates&gt;&lt;isbn&gt;0015-5632&lt;/isbn&gt;&lt;urls&gt;&lt;/urls&gt;&lt;/record&gt;&lt;/Cite&gt;&lt;/EndNote&gt;</w:instrText>
      </w:r>
      <w:r w:rsidR="00D34011">
        <w:rPr>
          <w:rFonts w:ascii="Times New Roman" w:hAnsi="Times New Roman" w:cs="Times New Roman"/>
          <w:lang w:val="en-GB"/>
        </w:rPr>
        <w:fldChar w:fldCharType="separate"/>
      </w:r>
      <w:r w:rsidR="00435114" w:rsidRPr="00435114">
        <w:rPr>
          <w:rFonts w:ascii="Times New Roman" w:hAnsi="Times New Roman" w:cs="Times New Roman"/>
          <w:noProof/>
          <w:sz w:val="20"/>
          <w:lang w:val="en-GB"/>
        </w:rPr>
        <w:t>[47,48]</w:t>
      </w:r>
      <w:r w:rsidR="00D34011">
        <w:rPr>
          <w:rFonts w:ascii="Times New Roman" w:hAnsi="Times New Roman" w:cs="Times New Roman"/>
          <w:lang w:val="en-GB"/>
        </w:rPr>
        <w:fldChar w:fldCharType="end"/>
      </w:r>
      <w:r w:rsidR="00D34011">
        <w:rPr>
          <w:rFonts w:ascii="Times New Roman" w:hAnsi="Times New Roman" w:cs="Times New Roman"/>
          <w:lang w:val="en-GB"/>
        </w:rPr>
        <w:t xml:space="preserve"> </w:t>
      </w:r>
      <w:r w:rsidRPr="00FC2499">
        <w:rPr>
          <w:rFonts w:ascii="Times New Roman" w:hAnsi="Times New Roman" w:cs="Times New Roman"/>
          <w:lang w:val="en-GB"/>
        </w:rPr>
        <w:t>and limited phylogenetic resolution for closely related species</w:t>
      </w:r>
      <w:r w:rsidR="00D34011">
        <w:rPr>
          <w:rFonts w:ascii="Times New Roman" w:hAnsi="Times New Roman" w:cs="Times New Roman"/>
          <w:lang w:val="en-GB"/>
        </w:rPr>
        <w:t xml:space="preserve"> </w:t>
      </w:r>
      <w:r w:rsidR="00D34011">
        <w:rPr>
          <w:rFonts w:ascii="Times New Roman" w:hAnsi="Times New Roman" w:cs="Times New Roman"/>
          <w:lang w:val="en-GB"/>
        </w:rPr>
        <w:fldChar w:fldCharType="begin"/>
      </w:r>
      <w:r w:rsidR="00435114">
        <w:rPr>
          <w:rFonts w:ascii="Times New Roman" w:hAnsi="Times New Roman" w:cs="Times New Roman"/>
          <w:lang w:val="en-GB"/>
        </w:rPr>
        <w:instrText xml:space="preserve"> ADDIN EN.CITE &lt;EndNote&gt;&lt;Cite&gt;&lt;Author&gt;Vu&lt;/Author&gt;&lt;Year&gt;2019&lt;/Year&gt;&lt;RecNum&gt;53&lt;/RecNum&gt;&lt;DisplayText&gt;&lt;style size="10"&gt;[49]&lt;/style&gt;&lt;/DisplayText&gt;&lt;record&gt;&lt;rec-number&gt;53&lt;/rec-number&gt;&lt;foreign-keys&gt;&lt;key app="EN" db-id="a5ewd5adyz0t5pes20q5xvarvd2d0vvvt5zf" timestamp="1783931916"&gt;53&lt;/key&gt;&lt;/foreign-keys&gt;&lt;ref-type name="Journal Article"&gt;17&lt;/ref-type&gt;&lt;contributors&gt;&lt;authors&gt;&lt;author&gt;Vu, Duong&lt;/author&gt;&lt;author&gt;Groenewald, Marizeth&lt;/author&gt;&lt;author&gt;De Vries, Michel&lt;/author&gt;&lt;author&gt;Gehrmann, Thomas&lt;/author&gt;&lt;author&gt;Stielow, Benjamin&lt;/author&gt;&lt;author&gt;Eberhardt, Ursula&lt;/author&gt;&lt;author&gt;Al-Hatmi, Abdullah&lt;/author&gt;&lt;author&gt;Groenewald, Johannes Zacharias&lt;/author&gt;&lt;author&gt;Cardinali, Gianluigi&lt;/author&gt;&lt;author&gt;Houbraken, Jos&lt;/author&gt;&lt;/authors&gt;&lt;/contributors&gt;&lt;titles&gt;&lt;title&gt;Large-scale generation and analysis of filamentous fungal DNA barcodes boosts coverage for kingdom fungi and reveals thresholds for fungal species and higher taxon delimitation&lt;/title&gt;&lt;secondary-title&gt;Studies in mycology&lt;/secondary-title&gt;&lt;/titles&gt;&lt;periodical&gt;&lt;full-title&gt;Studies in mycology&lt;/full-title&gt;&lt;/periodical&gt;&lt;pages&gt;135-154&lt;/pages&gt;&lt;volume&gt;92&lt;/volume&gt;&lt;number&gt;1&lt;/number&gt;&lt;dates&gt;&lt;year&gt;2019&lt;/year&gt;&lt;/dates&gt;&lt;isbn&gt;0166-0616&lt;/isbn&gt;&lt;urls&gt;&lt;/urls&gt;&lt;/record&gt;&lt;/Cite&gt;&lt;/EndNote&gt;</w:instrText>
      </w:r>
      <w:r w:rsidR="00D34011">
        <w:rPr>
          <w:rFonts w:ascii="Times New Roman" w:hAnsi="Times New Roman" w:cs="Times New Roman"/>
          <w:lang w:val="en-GB"/>
        </w:rPr>
        <w:fldChar w:fldCharType="separate"/>
      </w:r>
      <w:r w:rsidR="00435114" w:rsidRPr="00435114">
        <w:rPr>
          <w:rFonts w:ascii="Times New Roman" w:hAnsi="Times New Roman" w:cs="Times New Roman"/>
          <w:noProof/>
          <w:sz w:val="20"/>
          <w:lang w:val="en-GB"/>
        </w:rPr>
        <w:t>[49]</w:t>
      </w:r>
      <w:r w:rsidR="00D34011">
        <w:rPr>
          <w:rFonts w:ascii="Times New Roman" w:hAnsi="Times New Roman" w:cs="Times New Roman"/>
          <w:lang w:val="en-GB"/>
        </w:rPr>
        <w:fldChar w:fldCharType="end"/>
      </w:r>
      <w:r w:rsidRPr="00FC2499">
        <w:rPr>
          <w:rFonts w:ascii="Times New Roman" w:hAnsi="Times New Roman" w:cs="Times New Roman"/>
          <w:lang w:val="en-GB"/>
        </w:rPr>
        <w:t xml:space="preserve">. Across all six wet mock communities, the extended </w:t>
      </w:r>
      <w:r w:rsidR="006A2A44">
        <w:rPr>
          <w:rFonts w:ascii="Times New Roman" w:hAnsi="Times New Roman" w:cs="Times New Roman"/>
          <w:lang w:val="en-GB"/>
        </w:rPr>
        <w:t>18S</w:t>
      </w:r>
      <w:r w:rsidR="006A2A44" w:rsidRPr="00FC2499">
        <w:rPr>
          <w:rFonts w:ascii="Times New Roman" w:hAnsi="Times New Roman" w:cs="Times New Roman"/>
          <w:lang w:val="en-GB"/>
        </w:rPr>
        <w:t>–</w:t>
      </w:r>
      <w:r w:rsidRPr="00FC2499">
        <w:rPr>
          <w:rFonts w:ascii="Times New Roman" w:hAnsi="Times New Roman" w:cs="Times New Roman"/>
          <w:lang w:val="en-GB"/>
        </w:rPr>
        <w:t>ITS–LSU strategy consistently outperformed the standard ITS barcode, with higher F1 scores in every comparison and improved abundance reconstruction (R = 0.70 versus R = 0.39). The sensitivity analysis confirmed that this advantage was robust to filtering threshold: precision–recall curves showed a 2.8-fold higher AUC-PR for the extended marker (0.451 versus 0.162), and the F1 advantage was positive in all 24 pairwise comparisons at operationally relevant thresholds (≤ 0.</w:t>
      </w:r>
      <w:r w:rsidR="00817D6E">
        <w:rPr>
          <w:rFonts w:ascii="Times New Roman" w:hAnsi="Times New Roman" w:cs="Times New Roman"/>
          <w:lang w:val="en-GB"/>
        </w:rPr>
        <w:t>1%</w:t>
      </w:r>
      <w:r w:rsidRPr="00FC2499">
        <w:rPr>
          <w:rFonts w:ascii="Times New Roman" w:hAnsi="Times New Roman" w:cs="Times New Roman"/>
          <w:lang w:val="en-GB"/>
        </w:rPr>
        <w:t>). Notably, the ITS ultra-long curve exhibited a non-monotonic pattern between the 10% and 5% thresholds, where both precision and recall increased simultaneously — indicating that the noise floor of the extended marker is concentrated at very low abundances, allowing true-positive recovery before proportional increases in false-positive detections.</w:t>
      </w:r>
    </w:p>
    <w:p w14:paraId="385C577C" w14:textId="778EF850" w:rsidR="00774039" w:rsidRPr="00FC2499" w:rsidRDefault="00774039" w:rsidP="00774039">
      <w:pPr>
        <w:spacing w:before="80" w:after="80" w:line="276" w:lineRule="auto"/>
        <w:jc w:val="both"/>
        <w:rPr>
          <w:rFonts w:ascii="Times New Roman" w:hAnsi="Times New Roman" w:cs="Times New Roman"/>
          <w:lang w:val="en-GB"/>
        </w:rPr>
      </w:pPr>
      <w:r w:rsidRPr="00FC2499">
        <w:rPr>
          <w:rFonts w:ascii="Times New Roman" w:hAnsi="Times New Roman" w:cs="Times New Roman"/>
          <w:lang w:val="en-GB"/>
        </w:rPr>
        <w:t xml:space="preserve">The biological significance of marker length was most strikingly illustrated by Mock B, a community composed entirely of four congeneric species within the </w:t>
      </w:r>
      <w:r w:rsidRPr="00A05184">
        <w:rPr>
          <w:rFonts w:ascii="Times New Roman" w:hAnsi="Times New Roman" w:cs="Times New Roman"/>
          <w:i/>
          <w:iCs/>
          <w:lang w:val="en-GB"/>
        </w:rPr>
        <w:t>Debaryomyces/Dipodascus</w:t>
      </w:r>
      <w:r w:rsidRPr="00FC2499">
        <w:rPr>
          <w:rFonts w:ascii="Times New Roman" w:hAnsi="Times New Roman" w:cs="Times New Roman"/>
          <w:lang w:val="en-GB"/>
        </w:rPr>
        <w:t xml:space="preserve"> clade. With the standard ITS barcode, 85.8% of the reconstructed community was assigned to two false-positive taxa (</w:t>
      </w:r>
      <w:r w:rsidRPr="00A05184">
        <w:rPr>
          <w:rFonts w:ascii="Times New Roman" w:hAnsi="Times New Roman" w:cs="Times New Roman"/>
          <w:i/>
          <w:iCs/>
          <w:lang w:val="en-GB"/>
        </w:rPr>
        <w:t>Dipodasocus sp</w:t>
      </w:r>
      <w:r w:rsidRPr="00FC2499">
        <w:rPr>
          <w:rFonts w:ascii="Times New Roman" w:hAnsi="Times New Roman" w:cs="Times New Roman"/>
          <w:lang w:val="en-GB"/>
        </w:rPr>
        <w:t xml:space="preserve">. 47.7%; </w:t>
      </w:r>
      <w:r w:rsidRPr="00A05184">
        <w:rPr>
          <w:rFonts w:ascii="Times New Roman" w:hAnsi="Times New Roman" w:cs="Times New Roman"/>
          <w:i/>
          <w:iCs/>
          <w:lang w:val="en-GB"/>
        </w:rPr>
        <w:t>Yamadazyma takamatsuzukensis</w:t>
      </w:r>
      <w:r w:rsidRPr="00FC2499">
        <w:rPr>
          <w:rFonts w:ascii="Times New Roman" w:hAnsi="Times New Roman" w:cs="Times New Roman"/>
          <w:lang w:val="en-GB"/>
        </w:rPr>
        <w:t xml:space="preserve"> 38.1%), while the four expected species received between 0.0% and 0.2% of reads — a complete qualitative inversion of the true community structure. The extended </w:t>
      </w:r>
      <w:r w:rsidR="006D3368">
        <w:rPr>
          <w:rFonts w:ascii="Times New Roman" w:hAnsi="Times New Roman" w:cs="Times New Roman"/>
          <w:lang w:val="en-GB"/>
        </w:rPr>
        <w:t>18S</w:t>
      </w:r>
      <w:r w:rsidR="006D3368" w:rsidRPr="00FC2499">
        <w:rPr>
          <w:rFonts w:ascii="Times New Roman" w:hAnsi="Times New Roman" w:cs="Times New Roman"/>
          <w:lang w:val="en-GB"/>
        </w:rPr>
        <w:t>–</w:t>
      </w:r>
      <w:r w:rsidRPr="00FC2499">
        <w:rPr>
          <w:rFonts w:ascii="Times New Roman" w:hAnsi="Times New Roman" w:cs="Times New Roman"/>
          <w:lang w:val="en-GB"/>
        </w:rPr>
        <w:t>ITS–LSU marker resolved this substantially: three of four expected species were correctly identified (</w:t>
      </w:r>
      <w:r w:rsidRPr="00A05184">
        <w:rPr>
          <w:rFonts w:ascii="Times New Roman" w:hAnsi="Times New Roman" w:cs="Times New Roman"/>
          <w:i/>
          <w:iCs/>
          <w:lang w:val="en-GB"/>
        </w:rPr>
        <w:t>D. robertsiae</w:t>
      </w:r>
      <w:r w:rsidRPr="00FC2499">
        <w:rPr>
          <w:rFonts w:ascii="Times New Roman" w:hAnsi="Times New Roman" w:cs="Times New Roman"/>
          <w:lang w:val="en-GB"/>
        </w:rPr>
        <w:t xml:space="preserve"> 56.6%, </w:t>
      </w:r>
      <w:r w:rsidRPr="00A05184">
        <w:rPr>
          <w:rFonts w:ascii="Times New Roman" w:hAnsi="Times New Roman" w:cs="Times New Roman"/>
          <w:i/>
          <w:iCs/>
          <w:lang w:val="en-GB"/>
        </w:rPr>
        <w:t>D. hansenii</w:t>
      </w:r>
      <w:r w:rsidRPr="00FC2499">
        <w:rPr>
          <w:rFonts w:ascii="Times New Roman" w:hAnsi="Times New Roman" w:cs="Times New Roman"/>
          <w:lang w:val="en-GB"/>
        </w:rPr>
        <w:t xml:space="preserve"> 18.6%, </w:t>
      </w:r>
      <w:r w:rsidRPr="00A05184">
        <w:rPr>
          <w:rFonts w:ascii="Times New Roman" w:hAnsi="Times New Roman" w:cs="Times New Roman"/>
          <w:i/>
          <w:iCs/>
          <w:lang w:val="en-GB"/>
        </w:rPr>
        <w:t>D. udenii</w:t>
      </w:r>
      <w:r w:rsidRPr="00FC2499">
        <w:rPr>
          <w:rFonts w:ascii="Times New Roman" w:hAnsi="Times New Roman" w:cs="Times New Roman"/>
          <w:lang w:val="en-GB"/>
        </w:rPr>
        <w:t xml:space="preserve"> 18.2%), and residual false positives were congeneric species below 1% relative abundance. Conversely, Mock A — composed of species from well-separated genera — showed equivalent performance for both strategies at intermediate thresholds (</w:t>
      </w:r>
      <w:r w:rsidRPr="00774039">
        <w:rPr>
          <w:rFonts w:ascii="Times New Roman" w:hAnsi="Times New Roman" w:cs="Times New Roman"/>
        </w:rPr>
        <w:t>Δ</w:t>
      </w:r>
      <w:r w:rsidRPr="00FC2499">
        <w:rPr>
          <w:rFonts w:ascii="Times New Roman" w:hAnsi="Times New Roman" w:cs="Times New Roman"/>
          <w:lang w:val="en-GB"/>
        </w:rPr>
        <w:t>F1 = 0 at 0.2%), confirming that the advantage of the extended marker is proportional to the taxonomic challenge and greatest precisely where the standard barcode is most likely to fail.</w:t>
      </w:r>
    </w:p>
    <w:p w14:paraId="499513B4" w14:textId="7675693B" w:rsidR="00774039" w:rsidRPr="00FC2499" w:rsidRDefault="00774039" w:rsidP="00774039">
      <w:pPr>
        <w:spacing w:before="80" w:after="80" w:line="276" w:lineRule="auto"/>
        <w:jc w:val="both"/>
        <w:rPr>
          <w:rFonts w:ascii="Times New Roman" w:hAnsi="Times New Roman" w:cs="Times New Roman"/>
          <w:lang w:val="en-GB"/>
        </w:rPr>
      </w:pPr>
      <w:r w:rsidRPr="00FC2499">
        <w:rPr>
          <w:rFonts w:ascii="Times New Roman" w:hAnsi="Times New Roman" w:cs="Times New Roman"/>
          <w:lang w:val="en-GB"/>
        </w:rPr>
        <w:t>From a computational perspective, the head-to-head comparison with EPI2ME wf-16s demonstrated that competitive analytical performance does not require high-performance computing or specialist expertise. LOREON achieved equivalent total analysis time (56.8 versus 60.1 minutes) with 32-fold lower orchestration overhead and 57-fold faster OTU aggregation through its DuckDB engine</w:t>
      </w:r>
      <w:r w:rsidR="007F41AA">
        <w:rPr>
          <w:rFonts w:ascii="Times New Roman" w:hAnsi="Times New Roman" w:cs="Times New Roman"/>
          <w:lang w:val="en-GB"/>
        </w:rPr>
        <w:t xml:space="preserve"> </w:t>
      </w:r>
      <w:r w:rsidR="007F41AA">
        <w:rPr>
          <w:rFonts w:ascii="Times New Roman" w:hAnsi="Times New Roman" w:cs="Times New Roman"/>
          <w:lang w:val="en-GB"/>
        </w:rPr>
        <w:fldChar w:fldCharType="begin"/>
      </w:r>
      <w:r w:rsidR="007F41AA">
        <w:rPr>
          <w:rFonts w:ascii="Times New Roman" w:hAnsi="Times New Roman" w:cs="Times New Roman"/>
          <w:lang w:val="en-GB"/>
        </w:rPr>
        <w:instrText xml:space="preserve"> ADDIN EN.CITE &lt;EndNote&gt;&lt;Cite&gt;&lt;Author&gt;Raasveldt&lt;/Author&gt;&lt;Year&gt;2019&lt;/Year&gt;&lt;RecNum&gt;48&lt;/RecNum&gt;&lt;DisplayText&gt;&lt;style size="10"&gt;[43]&lt;/style&gt;&lt;/DisplayText&gt;&lt;record&gt;&lt;rec-number&gt;48&lt;/rec-number&gt;&lt;foreign-keys&gt;&lt;key app="EN" db-id="a5ewd5adyz0t5pes20q5xvarvd2d0vvvt5zf" timestamp="1783604748"&gt;48&lt;/key&gt;&lt;/foreign-keys&gt;&lt;ref-type name="Conference Proceedings"&gt;10&lt;/ref-type&gt;&lt;contributors&gt;&lt;authors&gt;&lt;author&gt;Raasveldt, Mark&lt;/author&gt;&lt;author&gt;Mühleisen, Hannes&lt;/author&gt;&lt;/authors&gt;&lt;/contributors&gt;&lt;titles&gt;&lt;title&gt;Duckdb: an embeddable analytical database&lt;/title&gt;&lt;secondary-title&gt;Proceedings of the 2019 international conference on management of data&lt;/secondary-title&gt;&lt;/titles&gt;&lt;pages&gt;1981-1984&lt;/pages&gt;&lt;dates&gt;&lt;year&gt;2019&lt;/year&gt;&lt;/dates&gt;&lt;urls&gt;&lt;/urls&gt;&lt;/record&gt;&lt;/Cite&gt;&lt;/EndNote&gt;</w:instrText>
      </w:r>
      <w:r w:rsidR="007F41AA">
        <w:rPr>
          <w:rFonts w:ascii="Times New Roman" w:hAnsi="Times New Roman" w:cs="Times New Roman"/>
          <w:lang w:val="en-GB"/>
        </w:rPr>
        <w:fldChar w:fldCharType="separate"/>
      </w:r>
      <w:r w:rsidR="007F41AA" w:rsidRPr="007F41AA">
        <w:rPr>
          <w:rFonts w:ascii="Times New Roman" w:hAnsi="Times New Roman" w:cs="Times New Roman"/>
          <w:noProof/>
          <w:sz w:val="20"/>
          <w:lang w:val="en-GB"/>
        </w:rPr>
        <w:t>[43]</w:t>
      </w:r>
      <w:r w:rsidR="007F41AA">
        <w:rPr>
          <w:rFonts w:ascii="Times New Roman" w:hAnsi="Times New Roman" w:cs="Times New Roman"/>
          <w:lang w:val="en-GB"/>
        </w:rPr>
        <w:fldChar w:fldCharType="end"/>
      </w:r>
      <w:r w:rsidRPr="00FC2499">
        <w:rPr>
          <w:rFonts w:ascii="Times New Roman" w:hAnsi="Times New Roman" w:cs="Times New Roman"/>
          <w:lang w:val="en-GB"/>
        </w:rPr>
        <w:t>. These differences are most consequential for iterative workflows — parameter tuning, threshold testing, multi-database comparison — where the fixed Nextflow bootstrap cost becomes a disproportionate fraction of runtime</w:t>
      </w:r>
      <w:r w:rsidR="0090099A">
        <w:rPr>
          <w:rFonts w:ascii="Times New Roman" w:hAnsi="Times New Roman" w:cs="Times New Roman"/>
          <w:lang w:val="en-GB"/>
        </w:rPr>
        <w:t xml:space="preserve"> </w:t>
      </w:r>
      <w:r w:rsidR="0090099A">
        <w:rPr>
          <w:rFonts w:ascii="Times New Roman" w:hAnsi="Times New Roman" w:cs="Times New Roman"/>
          <w:lang w:val="en-GB"/>
        </w:rPr>
        <w:fldChar w:fldCharType="begin"/>
      </w:r>
      <w:r w:rsidR="0090099A">
        <w:rPr>
          <w:rFonts w:ascii="Times New Roman" w:hAnsi="Times New Roman" w:cs="Times New Roman"/>
          <w:lang w:val="en-GB"/>
        </w:rPr>
        <w:instrText xml:space="preserve"> ADDIN EN.CITE &lt;EndNote&gt;&lt;Cite&gt;&lt;Author&gt;Spišaková&lt;/Author&gt;&lt;Year&gt;2023&lt;/Year&gt;&lt;RecNum&gt;59&lt;/RecNum&gt;&lt;DisplayText&gt;&lt;style size="10"&gt;[50]&lt;/style&gt;&lt;/DisplayText&gt;&lt;record&gt;&lt;rec-number&gt;59&lt;/rec-number&gt;&lt;foreign-keys&gt;&lt;key app="EN" db-id="a5ewd5adyz0t5pes20q5xvarvd2d0vvvt5zf" timestamp="1783955407"&gt;59&lt;/key&gt;&lt;/foreign-keys&gt;&lt;ref-type name="Journal Article"&gt;17&lt;/ref-type&gt;&lt;contributors&gt;&lt;authors&gt;&lt;author&gt;Spišaková, Viktória&lt;/author&gt;&lt;author&gt;Hejtmánek, Lukáš&lt;/author&gt;&lt;author&gt;Hynšt, Jakub&lt;/author&gt;&lt;/authors&gt;&lt;/contributors&gt;&lt;titles&gt;&lt;title&gt;Nextflow in bioinformatics: Executors performance comparison using genomics data&lt;/title&gt;&lt;secondary-title&gt;Future Generation Computer Systems&lt;/secondary-title&gt;&lt;/titles&gt;&lt;periodical&gt;&lt;full-title&gt;Future Generation Computer Systems&lt;/full-title&gt;&lt;/periodical&gt;&lt;pages&gt;328-339&lt;/pages&gt;&lt;volume&gt;142&lt;/volume&gt;&lt;dates&gt;&lt;year&gt;2023&lt;/year&gt;&lt;/dates&gt;&lt;isbn&gt;0167-739X&lt;/isbn&gt;&lt;urls&gt;&lt;/urls&gt;&lt;/record&gt;&lt;/Cite&gt;&lt;/EndNote&gt;</w:instrText>
      </w:r>
      <w:r w:rsidR="0090099A">
        <w:rPr>
          <w:rFonts w:ascii="Times New Roman" w:hAnsi="Times New Roman" w:cs="Times New Roman"/>
          <w:lang w:val="en-GB"/>
        </w:rPr>
        <w:fldChar w:fldCharType="separate"/>
      </w:r>
      <w:r w:rsidR="0090099A" w:rsidRPr="0090099A">
        <w:rPr>
          <w:rFonts w:ascii="Times New Roman" w:hAnsi="Times New Roman" w:cs="Times New Roman"/>
          <w:noProof/>
          <w:sz w:val="20"/>
          <w:lang w:val="en-GB"/>
        </w:rPr>
        <w:t>[50]</w:t>
      </w:r>
      <w:r w:rsidR="0090099A">
        <w:rPr>
          <w:rFonts w:ascii="Times New Roman" w:hAnsi="Times New Roman" w:cs="Times New Roman"/>
          <w:lang w:val="en-GB"/>
        </w:rPr>
        <w:fldChar w:fldCharType="end"/>
      </w:r>
      <w:r w:rsidR="0086464B">
        <w:rPr>
          <w:rFonts w:ascii="Times New Roman" w:hAnsi="Times New Roman" w:cs="Times New Roman"/>
          <w:lang w:val="en-GB"/>
        </w:rPr>
        <w:t xml:space="preserve"> </w:t>
      </w:r>
      <w:r w:rsidRPr="00FC2499">
        <w:rPr>
          <w:rFonts w:ascii="Times New Roman" w:hAnsi="Times New Roman" w:cs="Times New Roman"/>
          <w:lang w:val="en-GB"/>
        </w:rPr>
        <w:t>. The low memory footprint (155 MB orchestrator, 3.7 GB peak) ensures viability on consumer hardware</w:t>
      </w:r>
      <w:r w:rsidR="007F41AA">
        <w:rPr>
          <w:rFonts w:ascii="Times New Roman" w:hAnsi="Times New Roman" w:cs="Times New Roman"/>
          <w:lang w:val="en-GB"/>
        </w:rPr>
        <w:t xml:space="preserve"> </w:t>
      </w:r>
      <w:r w:rsidR="007F41AA">
        <w:rPr>
          <w:rFonts w:ascii="Times New Roman" w:hAnsi="Times New Roman" w:cs="Times New Roman"/>
          <w:lang w:val="en-GB"/>
        </w:rPr>
        <w:fldChar w:fldCharType="begin"/>
      </w:r>
      <w:r w:rsidR="007F41AA">
        <w:rPr>
          <w:rFonts w:ascii="Times New Roman" w:hAnsi="Times New Roman" w:cs="Times New Roman"/>
          <w:lang w:val="en-GB"/>
        </w:rPr>
        <w:instrText xml:space="preserve"> ADDIN EN.CITE &lt;EndNote&gt;&lt;Cite&gt;&lt;Author&gt;Roberts&lt;/Author&gt;&lt;Year&gt;2004&lt;/Year&gt;&lt;RecNum&gt;61&lt;/RecNum&gt;&lt;DisplayText&gt;&lt;style size="10"&gt;[51]&lt;/style&gt;&lt;/DisplayText&gt;&lt;record&gt;&lt;rec-number&gt;61&lt;/rec-number&gt;&lt;foreign-keys&gt;&lt;key app="EN" db-id="a5ewd5adyz0t5pes20q5xvarvd2d0vvvt5zf" timestamp="1783958012"&gt;61&lt;/key&gt;&lt;/foreign-keys&gt;&lt;ref-type name="Journal Article"&gt;17&lt;/ref-type&gt;&lt;contributors&gt;&lt;authors&gt;&lt;author&gt;Roberts, Michael&lt;/author&gt;&lt;author&gt;Hayes, Wayne&lt;/author&gt;&lt;author&gt;Hunt, Brian R&lt;/author&gt;&lt;author&gt;Mount, Stephen M&lt;/author&gt;&lt;author&gt;Yorke, James A&lt;/author&gt;&lt;/authors&gt;&lt;/contributors&gt;&lt;titles&gt;&lt;title&gt;Reducing storage requirements for biological sequence comparison&lt;/title&gt;&lt;secondary-title&gt;Bioinformatics&lt;/secondary-title&gt;&lt;/titles&gt;&lt;periodical&gt;&lt;full-title&gt;Bioinformatics&lt;/full-title&gt;&lt;/periodical&gt;&lt;pages&gt;3363-3369&lt;/pages&gt;&lt;volume&gt;20&lt;/volume&gt;&lt;number&gt;18&lt;/number&gt;&lt;dates&gt;&lt;year&gt;2004&lt;/year&gt;&lt;/dates&gt;&lt;isbn&gt;1367-4811&lt;/isbn&gt;&lt;urls&gt;&lt;/urls&gt;&lt;/record&gt;&lt;/Cite&gt;&lt;/EndNote&gt;</w:instrText>
      </w:r>
      <w:r w:rsidR="007F41AA">
        <w:rPr>
          <w:rFonts w:ascii="Times New Roman" w:hAnsi="Times New Roman" w:cs="Times New Roman"/>
          <w:lang w:val="en-GB"/>
        </w:rPr>
        <w:fldChar w:fldCharType="separate"/>
      </w:r>
      <w:r w:rsidR="007F41AA" w:rsidRPr="007F41AA">
        <w:rPr>
          <w:rFonts w:ascii="Times New Roman" w:hAnsi="Times New Roman" w:cs="Times New Roman"/>
          <w:noProof/>
          <w:sz w:val="20"/>
          <w:lang w:val="en-GB"/>
        </w:rPr>
        <w:t>[51]</w:t>
      </w:r>
      <w:r w:rsidR="007F41AA">
        <w:rPr>
          <w:rFonts w:ascii="Times New Roman" w:hAnsi="Times New Roman" w:cs="Times New Roman"/>
          <w:lang w:val="en-GB"/>
        </w:rPr>
        <w:fldChar w:fldCharType="end"/>
      </w:r>
      <w:r w:rsidRPr="00FC2499">
        <w:rPr>
          <w:rFonts w:ascii="Times New Roman" w:hAnsi="Times New Roman" w:cs="Times New Roman"/>
          <w:lang w:val="en-GB"/>
        </w:rPr>
        <w:t>, removing a practical barrier that determines whether a laboratory can perform its own analyses or must depend on external bioinformatics support.</w:t>
      </w:r>
    </w:p>
    <w:p w14:paraId="7721AA31" w14:textId="7A133EEA" w:rsidR="00774039" w:rsidRPr="00FC2499" w:rsidRDefault="00774039" w:rsidP="00774039">
      <w:pPr>
        <w:spacing w:before="80" w:after="80" w:line="276" w:lineRule="auto"/>
        <w:jc w:val="both"/>
        <w:rPr>
          <w:rFonts w:ascii="Times New Roman" w:hAnsi="Times New Roman" w:cs="Times New Roman"/>
          <w:lang w:val="en-GB"/>
        </w:rPr>
      </w:pPr>
      <w:r w:rsidRPr="00FC2499">
        <w:rPr>
          <w:rFonts w:ascii="Times New Roman" w:hAnsi="Times New Roman" w:cs="Times New Roman"/>
          <w:lang w:val="en-GB"/>
        </w:rPr>
        <w:t>Several limitations should be noted. As a reference-based approach, LOREON's assignments are entirely dependent on database completeness</w:t>
      </w:r>
      <w:r w:rsidR="00F72320">
        <w:rPr>
          <w:rFonts w:ascii="Times New Roman" w:hAnsi="Times New Roman" w:cs="Times New Roman"/>
          <w:lang w:val="en-GB"/>
        </w:rPr>
        <w:t xml:space="preserve"> </w:t>
      </w:r>
      <w:r w:rsidR="00F72320">
        <w:rPr>
          <w:rFonts w:ascii="Times New Roman" w:hAnsi="Times New Roman" w:cs="Times New Roman"/>
          <w:lang w:val="en-GB"/>
        </w:rPr>
        <w:fldChar w:fldCharType="begin">
          <w:fldData xml:space="preserve">PEVuZE5vdGU+PENpdGU+PEF1dGhvcj5LZWNrPC9BdXRob3I+PFllYXI+MjAyMzwvWWVhcj48UmVj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</w:fldData>
        </w:fldChar>
      </w:r>
      <w:r w:rsidR="007F41AA">
        <w:rPr>
          <w:rFonts w:ascii="Times New Roman" w:hAnsi="Times New Roman" w:cs="Times New Roman"/>
          <w:lang w:val="en-GB"/>
        </w:rPr>
        <w:instrText xml:space="preserve"> ADDIN EN.CITE </w:instrText>
      </w:r>
      <w:r w:rsidR="007F41AA">
        <w:rPr>
          <w:rFonts w:ascii="Times New Roman" w:hAnsi="Times New Roman" w:cs="Times New Roman"/>
          <w:lang w:val="en-GB"/>
        </w:rPr>
        <w:fldChar w:fldCharType="begin">
          <w:fldData xml:space="preserve">PEVuZE5vdGU+PENpdGU+PEF1dGhvcj5LZWNrPC9BdXRob3I+PFllYXI+MjAyMzwvWWVhcj48UmVj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</w:fldData>
        </w:fldChar>
      </w:r>
      <w:r w:rsidR="007F41AA">
        <w:rPr>
          <w:rFonts w:ascii="Times New Roman" w:hAnsi="Times New Roman" w:cs="Times New Roman"/>
          <w:lang w:val="en-GB"/>
        </w:rPr>
        <w:instrText xml:space="preserve"> ADDIN EN.CITE.DATA </w:instrText>
      </w:r>
      <w:r w:rsidR="007F41AA">
        <w:rPr>
          <w:rFonts w:ascii="Times New Roman" w:hAnsi="Times New Roman" w:cs="Times New Roman"/>
          <w:lang w:val="en-GB"/>
        </w:rPr>
      </w:r>
      <w:r w:rsidR="007F41AA">
        <w:rPr>
          <w:rFonts w:ascii="Times New Roman" w:hAnsi="Times New Roman" w:cs="Times New Roman"/>
          <w:lang w:val="en-GB"/>
        </w:rPr>
        <w:fldChar w:fldCharType="end"/>
      </w:r>
      <w:r w:rsidR="00F72320">
        <w:rPr>
          <w:rFonts w:ascii="Times New Roman" w:hAnsi="Times New Roman" w:cs="Times New Roman"/>
          <w:lang w:val="en-GB"/>
        </w:rPr>
        <w:fldChar w:fldCharType="separate"/>
      </w:r>
      <w:r w:rsidR="007F41AA" w:rsidRPr="007F41AA">
        <w:rPr>
          <w:rFonts w:ascii="Times New Roman" w:hAnsi="Times New Roman" w:cs="Times New Roman"/>
          <w:noProof/>
          <w:sz w:val="20"/>
          <w:lang w:val="en-GB"/>
        </w:rPr>
        <w:t>[52-54]</w:t>
      </w:r>
      <w:r w:rsidR="00F72320">
        <w:rPr>
          <w:rFonts w:ascii="Times New Roman" w:hAnsi="Times New Roman" w:cs="Times New Roman"/>
          <w:lang w:val="en-GB"/>
        </w:rPr>
        <w:fldChar w:fldCharType="end"/>
      </w:r>
      <w:r w:rsidRPr="00FC2499">
        <w:rPr>
          <w:rFonts w:ascii="Times New Roman" w:hAnsi="Times New Roman" w:cs="Times New Roman"/>
          <w:lang w:val="en-GB"/>
        </w:rPr>
        <w:t xml:space="preserve">: taxa absent from the database cannot be identified, regardless of marker length — a fundamental constraint distinguishing reference-based methods from de novo approaches such as ASV inference. Residual false positives (7–15 per mock community) likely reflect incomplete reference representation and alignment ambiguity in regions of low sequence complexity </w:t>
      </w:r>
      <w:r w:rsidR="007F41AA">
        <w:rPr>
          <w:rFonts w:ascii="Times New Roman" w:hAnsi="Times New Roman" w:cs="Times New Roman"/>
          <w:lang w:val="en-GB"/>
        </w:rPr>
        <w:fldChar w:fldCharType="begin"/>
      </w:r>
      <w:r w:rsidR="007F41AA">
        <w:rPr>
          <w:rFonts w:ascii="Times New Roman" w:hAnsi="Times New Roman" w:cs="Times New Roman"/>
          <w:lang w:val="en-GB"/>
        </w:rPr>
        <w:instrText xml:space="preserve"> ADDIN EN.CITE &lt;EndNote&gt;&lt;Cite&gt;&lt;Author&gt;Mugnai&lt;/Author&gt;&lt;Year&gt;2023&lt;/Year&gt;&lt;RecNum&gt;62&lt;/RecNum&gt;&lt;DisplayText&gt;&lt;style size="10"&gt;[55]&lt;/style&gt;&lt;/DisplayText&gt;&lt;record&gt;&lt;rec-number&gt;62&lt;/rec-number&gt;&lt;foreign-keys&gt;&lt;key app="EN" db-id="a5ewd5adyz0t5pes20q5xvarvd2d0vvvt5zf" timestamp="1783958244"&gt;62&lt;/key&gt;&lt;/foreign-keys&gt;&lt;ref-type name="Journal Article"&gt;17&lt;/ref-type&gt;&lt;contributors&gt;&lt;authors&gt;&lt;author&gt;Mugnai, Francesco&lt;/author&gt;&lt;author&gt;Costantini, Federica&lt;/author&gt;&lt;author&gt;Chenuil, Anne&lt;/author&gt;&lt;author&gt;Leduc, Michèle&lt;/author&gt;&lt;author&gt;Ortega, José Miguel Gutiérrez&lt;/author&gt;&lt;author&gt;Meglécz, Emese&lt;/author&gt;&lt;/authors&gt;&lt;/contributors&gt;&lt;titles&gt;&lt;title&gt;Be positive: customized reference databases and new, local barcodes balance false taxonomic assignments in metabarcoding studies&lt;/title&gt;&lt;secondary-title&gt;PeerJ&lt;/secondary-title&gt;&lt;/titles&gt;&lt;periodical&gt;&lt;full-title&gt;PeerJ&lt;/full-title&gt;&lt;/periodical&gt;&lt;pages&gt;e14616&lt;/pages&gt;&lt;volume&gt;11&lt;/volume&gt;&lt;dates&gt;&lt;year&gt;2023&lt;/year&gt;&lt;/dates&gt;&lt;isbn&gt;2167-8359&lt;/isbn&gt;&lt;urls&gt;&lt;/urls&gt;&lt;/record&gt;&lt;/Cite&gt;&lt;/EndNote&gt;</w:instrText>
      </w:r>
      <w:r w:rsidR="007F41AA">
        <w:rPr>
          <w:rFonts w:ascii="Times New Roman" w:hAnsi="Times New Roman" w:cs="Times New Roman"/>
          <w:lang w:val="en-GB"/>
        </w:rPr>
        <w:fldChar w:fldCharType="separate"/>
      </w:r>
      <w:r w:rsidR="007F41AA" w:rsidRPr="007F41AA">
        <w:rPr>
          <w:rFonts w:ascii="Times New Roman" w:hAnsi="Times New Roman" w:cs="Times New Roman"/>
          <w:noProof/>
          <w:sz w:val="20"/>
          <w:lang w:val="en-GB"/>
        </w:rPr>
        <w:t>[55]</w:t>
      </w:r>
      <w:r w:rsidR="007F41AA">
        <w:rPr>
          <w:rFonts w:ascii="Times New Roman" w:hAnsi="Times New Roman" w:cs="Times New Roman"/>
          <w:lang w:val="en-GB"/>
        </w:rPr>
        <w:fldChar w:fldCharType="end"/>
      </w:r>
      <w:r w:rsidRPr="00FC2499">
        <w:rPr>
          <w:rFonts w:ascii="Times New Roman" w:hAnsi="Times New Roman" w:cs="Times New Roman"/>
          <w:lang w:val="en-GB"/>
        </w:rPr>
        <w:t>. The potential for mitigating these limitations through multi-marker strategies is supported by recent work demonstrating that integration of multiple hypervariable markers with weighted algorithms improves mycobiome classification</w:t>
      </w:r>
      <w:r w:rsidR="00080B83">
        <w:rPr>
          <w:rFonts w:ascii="Times New Roman" w:hAnsi="Times New Roman" w:cs="Times New Roman"/>
          <w:lang w:val="en-GB"/>
        </w:rPr>
        <w:t xml:space="preserve"> </w:t>
      </w:r>
      <w:r w:rsidR="00080B83">
        <w:rPr>
          <w:rFonts w:ascii="Times New Roman" w:hAnsi="Times New Roman" w:cs="Times New Roman"/>
          <w:lang w:val="en-GB"/>
        </w:rPr>
        <w:fldChar w:fldCharType="begin"/>
      </w:r>
      <w:r w:rsidR="00080B83">
        <w:rPr>
          <w:rFonts w:ascii="Times New Roman" w:hAnsi="Times New Roman" w:cs="Times New Roman"/>
          <w:lang w:val="en-GB"/>
        </w:rPr>
        <w:instrText xml:space="preserve"> ADDIN EN.CITE &lt;EndNote&gt;&lt;Cite&gt;&lt;Author&gt;Wang&lt;/Author&gt;&lt;Year&gt;2026&lt;/Year&gt;&lt;RecNum&gt;63&lt;/RecNum&gt;&lt;DisplayText&gt;&lt;style size="10"&gt;[56]&lt;/style&gt;&lt;/DisplayText&gt;&lt;record&gt;&lt;rec-number&gt;63&lt;/rec-number&gt;&lt;foreign-keys&gt;&lt;key app="EN" db-id="a5ewd5adyz0t5pes20q5xvarvd2d0vvvt5zf" timestamp="1783958329"&gt;63&lt;/key&gt;&lt;/foreign-keys&gt;&lt;ref-type name="Journal Article"&gt;17&lt;/ref-type&gt;&lt;contributors&gt;&lt;authors&gt;&lt;author&gt;Wang, Haihua&lt;/author&gt;&lt;author&gt;Wu, Steven H&lt;/author&gt;&lt;author&gt;Zhang, Kaile&lt;/author&gt;&lt;author&gt;Chen, Ko-Hsuan&lt;/author&gt;&lt;author&gt;Vilgalys, Rytas&lt;/author&gt;&lt;author&gt;Liao, Hui-Ling&lt;/author&gt;&lt;/authors&gt;&lt;/contributors&gt;&lt;titles&gt;&lt;title&gt;Multiple hypervariable markers improve mycobiome classification in metatranscriptome and metagenome data&lt;/title&gt;&lt;secondary-title&gt;Communications Biology&lt;/secondary-title&gt;&lt;/titles&gt;&lt;periodical&gt;&lt;full-title&gt;Communications Biology&lt;/full-title&gt;&lt;/periodical&gt;&lt;dates&gt;&lt;year&gt;2026&lt;/year&gt;&lt;/dates&gt;&lt;isbn&gt;2399-3642&lt;/isbn&gt;&lt;urls&gt;&lt;/urls&gt;&lt;/record&gt;&lt;/Cite&gt;&lt;/EndNote&gt;</w:instrText>
      </w:r>
      <w:r w:rsidR="00080B83">
        <w:rPr>
          <w:rFonts w:ascii="Times New Roman" w:hAnsi="Times New Roman" w:cs="Times New Roman"/>
          <w:lang w:val="en-GB"/>
        </w:rPr>
        <w:fldChar w:fldCharType="separate"/>
      </w:r>
      <w:r w:rsidR="00080B83" w:rsidRPr="00080B83">
        <w:rPr>
          <w:rFonts w:ascii="Times New Roman" w:hAnsi="Times New Roman" w:cs="Times New Roman"/>
          <w:noProof/>
          <w:sz w:val="20"/>
          <w:lang w:val="en-GB"/>
        </w:rPr>
        <w:t>[56]</w:t>
      </w:r>
      <w:r w:rsidR="00080B83">
        <w:rPr>
          <w:rFonts w:ascii="Times New Roman" w:hAnsi="Times New Roman" w:cs="Times New Roman"/>
          <w:lang w:val="en-GB"/>
        </w:rPr>
        <w:fldChar w:fldCharType="end"/>
      </w:r>
      <w:r w:rsidRPr="00FC2499">
        <w:rPr>
          <w:rFonts w:ascii="Times New Roman" w:hAnsi="Times New Roman" w:cs="Times New Roman"/>
          <w:lang w:val="en-GB"/>
        </w:rPr>
        <w:t>; LOREON's architecture is inherently compatible with such approaches. Additionally, the present evaluation was conducted on defined mock communities; validation on natural environmental samples will be necessary to establish operational boundaries</w:t>
      </w:r>
      <w:r w:rsidR="00080B83">
        <w:rPr>
          <w:rFonts w:ascii="Times New Roman" w:hAnsi="Times New Roman" w:cs="Times New Roman"/>
          <w:lang w:val="en-GB"/>
        </w:rPr>
        <w:t xml:space="preserve"> </w:t>
      </w:r>
      <w:r w:rsidR="00080B83">
        <w:rPr>
          <w:rFonts w:ascii="Times New Roman" w:hAnsi="Times New Roman" w:cs="Times New Roman"/>
          <w:lang w:val="en-GB"/>
        </w:rPr>
        <w:fldChar w:fldCharType="begin"/>
      </w:r>
      <w:r w:rsidR="00080B83">
        <w:rPr>
          <w:rFonts w:ascii="Times New Roman" w:hAnsi="Times New Roman" w:cs="Times New Roman"/>
          <w:lang w:val="en-GB"/>
        </w:rPr>
        <w:instrText xml:space="preserve"> ADDIN EN.CITE &lt;EndNote&gt;&lt;Cite&gt;&lt;Author&gt;Schloss&lt;/Author&gt;&lt;Year&gt;2018&lt;/Year&gt;&lt;RecNum&gt;64&lt;/RecNum&gt;&lt;DisplayText&gt;&lt;style size="10"&gt;[57]&lt;/style&gt;&lt;/DisplayText&gt;&lt;record&gt;&lt;rec-number&gt;64&lt;/rec-number&gt;&lt;foreign-keys&gt;&lt;key app="EN" db-id="a5ewd5adyz0t5pes20q5xvarvd2d0vvvt5zf" timestamp="1783958440"&gt;64&lt;/key&gt;&lt;/foreign-keys&gt;&lt;ref-type name="Journal Article"&gt;17&lt;/ref-type&gt;&lt;contributors&gt;&lt;authors&gt;&lt;author&gt;Schloss, Patrick D&lt;/author&gt;&lt;/authors&gt;&lt;/contributors&gt;&lt;titles&gt;&lt;title&gt;Identifying and overcoming threats to reproducibility, replicability, robustness, and generalizability in microbiome research&lt;/title&gt;&lt;secondary-title&gt;MBio&lt;/secondary-title&gt;&lt;/titles&gt;&lt;periodical&gt;&lt;full-title&gt;MBio&lt;/full-title&gt;&lt;/periodical&gt;&lt;pages&gt;10.1128/mbio. 00525-18&lt;/pages&gt;&lt;volume&gt;9&lt;/volume&gt;&lt;number&gt;3&lt;/number&gt;&lt;dates&gt;&lt;year&gt;2018&lt;/year&gt;&lt;/dates&gt;&lt;isbn&gt;2161-2129&lt;/isbn&gt;&lt;urls&gt;&lt;/urls&gt;&lt;/record&gt;&lt;/Cite&gt;&lt;/EndNote&gt;</w:instrText>
      </w:r>
      <w:r w:rsidR="00080B83">
        <w:rPr>
          <w:rFonts w:ascii="Times New Roman" w:hAnsi="Times New Roman" w:cs="Times New Roman"/>
          <w:lang w:val="en-GB"/>
        </w:rPr>
        <w:fldChar w:fldCharType="separate"/>
      </w:r>
      <w:r w:rsidR="00080B83" w:rsidRPr="00080B83">
        <w:rPr>
          <w:rFonts w:ascii="Times New Roman" w:hAnsi="Times New Roman" w:cs="Times New Roman"/>
          <w:noProof/>
          <w:sz w:val="20"/>
          <w:lang w:val="en-GB"/>
        </w:rPr>
        <w:t>[57]</w:t>
      </w:r>
      <w:r w:rsidR="00080B83">
        <w:rPr>
          <w:rFonts w:ascii="Times New Roman" w:hAnsi="Times New Roman" w:cs="Times New Roman"/>
          <w:lang w:val="en-GB"/>
        </w:rPr>
        <w:fldChar w:fldCharType="end"/>
      </w:r>
      <w:r w:rsidRPr="00FC2499">
        <w:rPr>
          <w:rFonts w:ascii="Times New Roman" w:hAnsi="Times New Roman" w:cs="Times New Roman"/>
          <w:lang w:val="en-GB"/>
        </w:rPr>
        <w:t>. Finally, systematic biases intrinsic to ONT-based metabarcoding — primer-dependent amplification efficiency, GC-content effects, and length-dependent mapping biases — may contribute to quantitative distortion independent of the analytical pipeline</w:t>
      </w:r>
      <w:r w:rsidR="00080B83">
        <w:rPr>
          <w:rFonts w:ascii="Times New Roman" w:hAnsi="Times New Roman" w:cs="Times New Roman"/>
          <w:lang w:val="en-GB"/>
        </w:rPr>
        <w:t xml:space="preserve"> </w:t>
      </w:r>
      <w:r w:rsidR="00080B83">
        <w:rPr>
          <w:rFonts w:ascii="Times New Roman" w:hAnsi="Times New Roman" w:cs="Times New Roman"/>
          <w:lang w:val="en-GB"/>
        </w:rPr>
        <w:fldChar w:fldCharType="begin"/>
      </w:r>
      <w:r w:rsidR="00080B83">
        <w:rPr>
          <w:rFonts w:ascii="Times New Roman" w:hAnsi="Times New Roman" w:cs="Times New Roman"/>
          <w:lang w:val="en-GB"/>
        </w:rPr>
        <w:instrText xml:space="preserve"> ADDIN EN.CITE &lt;EndNote&gt;&lt;Cite&gt;&lt;Author&gt;Feau&lt;/Author&gt;&lt;Year&gt;2025&lt;/Year&gt;&lt;RecNum&gt;66&lt;/RecNum&gt;&lt;DisplayText&gt;&lt;style size="10"&gt;[58]&lt;/style&gt;&lt;/DisplayText&gt;&lt;record&gt;&lt;rec-number&gt;66&lt;/rec-number&gt;&lt;foreign-keys&gt;&lt;key app="EN" db-id="a5ewd5adyz0t5pes20q5xvarvd2d0vvvt5zf" timestamp="1783958551"&gt;66&lt;/key&gt;&lt;/foreign-keys&gt;&lt;ref-type name="Journal Article"&gt;17&lt;/ref-type&gt;&lt;contributors&gt;&lt;authors&gt;&lt;author&gt;Feau, Nicolas&lt;/author&gt;&lt;author&gt;Laughton, Isabella&lt;/author&gt;&lt;author&gt;Dicaire, Annie&lt;/author&gt;&lt;author&gt;Ramsfield, Tod&lt;/author&gt;&lt;author&gt;Tanguay, Philippe&lt;/author&gt;&lt;author&gt;Tanney, Joey B&lt;/author&gt;&lt;/authors&gt;&lt;/contributors&gt;&lt;titles&gt;&lt;title&gt;Fungal Community Profiling and Pathogen Detection in Conifer Seed Lots: Benchmarking Oxford Nanopore DNA Metabarcoding Against Conventional Methods&lt;/title&gt;&lt;secondary-title&gt;PhytoFrontiers™&lt;/secondary-title&gt;&lt;/titles&gt;&lt;periodical&gt;&lt;full-title&gt;PhytoFrontiers™&lt;/full-title&gt;&lt;/periodical&gt;&lt;pages&gt;582-595&lt;/pages&gt;&lt;volume&gt;5&lt;/volume&gt;&lt;number&gt;4&lt;/number&gt;&lt;dates&gt;&lt;year&gt;2025&lt;/year&gt;&lt;/dates&gt;&lt;isbn&gt;2690-5442&lt;/isbn&gt;&lt;urls&gt;&lt;/urls&gt;&lt;/record&gt;&lt;/Cite&gt;&lt;/EndNote&gt;</w:instrText>
      </w:r>
      <w:r w:rsidR="00080B83">
        <w:rPr>
          <w:rFonts w:ascii="Times New Roman" w:hAnsi="Times New Roman" w:cs="Times New Roman"/>
          <w:lang w:val="en-GB"/>
        </w:rPr>
        <w:fldChar w:fldCharType="separate"/>
      </w:r>
      <w:r w:rsidR="00080B83" w:rsidRPr="00080B83">
        <w:rPr>
          <w:rFonts w:ascii="Times New Roman" w:hAnsi="Times New Roman" w:cs="Times New Roman"/>
          <w:noProof/>
          <w:sz w:val="20"/>
          <w:lang w:val="en-GB"/>
        </w:rPr>
        <w:t>[58]</w:t>
      </w:r>
      <w:r w:rsidR="00080B83">
        <w:rPr>
          <w:rFonts w:ascii="Times New Roman" w:hAnsi="Times New Roman" w:cs="Times New Roman"/>
          <w:lang w:val="en-GB"/>
        </w:rPr>
        <w:fldChar w:fldCharType="end"/>
      </w:r>
      <w:r w:rsidRPr="00FC2499">
        <w:rPr>
          <w:rFonts w:ascii="Times New Roman" w:hAnsi="Times New Roman" w:cs="Times New Roman"/>
          <w:lang w:val="en-GB"/>
        </w:rPr>
        <w:t>.</w:t>
      </w:r>
    </w:p>
    <w:p w14:paraId="618B16C8" w14:textId="7C6331E6" w:rsidR="00774039" w:rsidRPr="00FC2499" w:rsidRDefault="00774039" w:rsidP="00774039">
      <w:pPr>
        <w:spacing w:before="80" w:after="80" w:line="276" w:lineRule="auto"/>
        <w:jc w:val="both"/>
        <w:rPr>
          <w:rFonts w:ascii="Times New Roman" w:hAnsi="Times New Roman" w:cs="Times New Roman"/>
          <w:lang w:val="en-GB"/>
        </w:rPr>
      </w:pPr>
      <w:r w:rsidRPr="00FC2499">
        <w:rPr>
          <w:rFonts w:ascii="Times New Roman" w:hAnsi="Times New Roman" w:cs="Times New Roman"/>
          <w:lang w:val="en-GB"/>
        </w:rPr>
        <w:t xml:space="preserve">Taken together, our results support a shift in metabarcoding strategies toward longer, information-rich marker regions combining variable and conserved elements. LOREON is designed to serve this </w:t>
      </w:r>
      <w:r w:rsidRPr="00FC2499">
        <w:rPr>
          <w:rFonts w:ascii="Times New Roman" w:hAnsi="Times New Roman" w:cs="Times New Roman"/>
          <w:lang w:val="en-GB"/>
        </w:rPr>
        <w:lastRenderedPageBreak/>
        <w:t xml:space="preserve">paradigm: by supporting diverse marker types and reference databases within a unified, accessible framework, and by extending naturally to targeted metagenomics and shotgun applications where analogous challenges of database representativeness and sequence heterogeneity arise </w:t>
      </w:r>
      <w:r w:rsidR="00080B83">
        <w:rPr>
          <w:rFonts w:ascii="Times New Roman" w:hAnsi="Times New Roman" w:cs="Times New Roman"/>
          <w:lang w:val="en-GB"/>
        </w:rPr>
        <w:fldChar w:fldCharType="begin"/>
      </w:r>
      <w:r w:rsidR="00080B83">
        <w:rPr>
          <w:rFonts w:ascii="Times New Roman" w:hAnsi="Times New Roman" w:cs="Times New Roman"/>
          <w:lang w:val="en-GB"/>
        </w:rPr>
        <w:instrText xml:space="preserve"> ADDIN EN.CITE &lt;EndNote&gt;&lt;Cite&gt;&lt;Author&gt;Liu&lt;/Author&gt;&lt;Year&gt;2025&lt;/Year&gt;&lt;RecNum&gt;67&lt;/RecNum&gt;&lt;DisplayText&gt;&lt;style size="10"&gt;[59]&lt;/style&gt;&lt;/DisplayText&gt;&lt;record&gt;&lt;rec-number&gt;67&lt;/rec-number&gt;&lt;foreign-keys&gt;&lt;key app="EN" db-id="a5ewd5adyz0t5pes20q5xvarvd2d0vvvt5zf" timestamp="1783958627"&gt;67&lt;/key&gt;&lt;/foreign-keys&gt;&lt;ref-type name="Journal Article"&gt;17&lt;/ref-type&gt;&lt;contributors&gt;&lt;authors&gt;&lt;author&gt;Liu, Shaopeng&lt;/author&gt;&lt;author&gt;Rodriguez, Judith S&lt;/author&gt;&lt;author&gt;Munteanu, Viorel&lt;/author&gt;&lt;author&gt;Ronkowski, Cynthia&lt;/author&gt;&lt;author&gt;Sharma, Nitesh Kumar&lt;/author&gt;&lt;author&gt;Alser, Mohammed&lt;/author&gt;&lt;author&gt;Andreace, Francesco&lt;/author&gt;&lt;author&gt;Blekhman, Ran&lt;/author&gt;&lt;author&gt;Błaszczyk, Dagmara&lt;/author&gt;&lt;author&gt;Chikhi, Rayan&lt;/author&gt;&lt;/authors&gt;&lt;/contributors&gt;&lt;titles&gt;&lt;title&gt;Analysis of metagenomic data&lt;/title&gt;&lt;secondary-title&gt;Nature Reviews Methods Primers&lt;/secondary-title&gt;&lt;/titles&gt;&lt;periodical&gt;&lt;full-title&gt;Nature Reviews Methods Primers&lt;/full-title&gt;&lt;/periodical&gt;&lt;pages&gt;5&lt;/pages&gt;&lt;volume&gt;5&lt;/volume&gt;&lt;number&gt;1&lt;/number&gt;&lt;dates&gt;&lt;year&gt;2025&lt;/year&gt;&lt;/dates&gt;&lt;isbn&gt;2662-8449&lt;/isbn&gt;&lt;urls&gt;&lt;/urls&gt;&lt;/record&gt;&lt;/Cite&gt;&lt;/EndNote&gt;</w:instrText>
      </w:r>
      <w:r w:rsidR="00080B83">
        <w:rPr>
          <w:rFonts w:ascii="Times New Roman" w:hAnsi="Times New Roman" w:cs="Times New Roman"/>
          <w:lang w:val="en-GB"/>
        </w:rPr>
        <w:fldChar w:fldCharType="separate"/>
      </w:r>
      <w:r w:rsidR="00080B83" w:rsidRPr="00080B83">
        <w:rPr>
          <w:rFonts w:ascii="Times New Roman" w:hAnsi="Times New Roman" w:cs="Times New Roman"/>
          <w:noProof/>
          <w:sz w:val="20"/>
          <w:lang w:val="en-GB"/>
        </w:rPr>
        <w:t>[59]</w:t>
      </w:r>
      <w:r w:rsidR="00080B83">
        <w:rPr>
          <w:rFonts w:ascii="Times New Roman" w:hAnsi="Times New Roman" w:cs="Times New Roman"/>
          <w:lang w:val="en-GB"/>
        </w:rPr>
        <w:fldChar w:fldCharType="end"/>
      </w:r>
      <w:r w:rsidRPr="00FC2499">
        <w:rPr>
          <w:rFonts w:ascii="Times New Roman" w:hAnsi="Times New Roman" w:cs="Times New Roman"/>
          <w:lang w:val="en-GB"/>
        </w:rPr>
        <w:t>, it provides a practical foundation for expanding long-read community profiling across research and applied settings.</w:t>
      </w:r>
    </w:p>
    <w:p w14:paraId="383F241D" w14:textId="30863242" w:rsidR="006A2195" w:rsidRPr="00296230" w:rsidRDefault="006A2195" w:rsidP="00774039">
      <w:pPr>
        <w:spacing w:before="80" w:after="80" w:line="276" w:lineRule="auto"/>
        <w:jc w:val="both"/>
        <w:rPr>
          <w:rFonts w:ascii="Times New Roman" w:hAnsi="Times New Roman" w:cs="Times New Roman"/>
          <w:lang w:val="en-GB"/>
        </w:rPr>
      </w:pPr>
    </w:p>
    <w:p w14:paraId="69594B3E" w14:textId="3CB035F1" w:rsidR="006A2195" w:rsidRPr="00296230" w:rsidRDefault="00296230" w:rsidP="00186B5A">
      <w:pPr>
        <w:pStyle w:val="Titolo1"/>
        <w:jc w:val="both"/>
        <w:rPr>
          <w:rFonts w:ascii="Times New Roman" w:hAnsi="Times New Roman" w:cs="Times New Roman"/>
          <w:sz w:val="22"/>
          <w:szCs w:val="22"/>
          <w:lang w:val="en-GB"/>
        </w:rPr>
      </w:pPr>
      <w:r>
        <w:rPr>
          <w:rFonts w:ascii="Times New Roman" w:hAnsi="Times New Roman" w:cs="Times New Roman"/>
          <w:sz w:val="22"/>
          <w:szCs w:val="22"/>
          <w:lang w:val="en-GB"/>
        </w:rPr>
        <w:t>5</w:t>
      </w:r>
      <w:r w:rsidR="00FF5A73" w:rsidRPr="00296230">
        <w:rPr>
          <w:rFonts w:ascii="Times New Roman" w:hAnsi="Times New Roman" w:cs="Times New Roman"/>
          <w:sz w:val="22"/>
          <w:szCs w:val="22"/>
          <w:lang w:val="en-GB"/>
        </w:rPr>
        <w:t>. Conclusions</w:t>
      </w:r>
    </w:p>
    <w:p w14:paraId="21A87A25" w14:textId="0AD20BB3"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LOREON represents a substantive contribution to the accessibility of long-read ONT metabarcoding and metagenomics analysis. By integrating the same well-validated alignment tools (minimap2, samtools)</w:t>
      </w:r>
      <w:r w:rsidRPr="00296230">
        <w:rPr>
          <w:rFonts w:ascii="Times New Roman" w:hAnsi="Times New Roman" w:cs="Times New Roman"/>
          <w:i/>
          <w:lang w:val="en-GB"/>
        </w:rPr>
        <w:t xml:space="preserve"> </w:t>
      </w:r>
      <w:r w:rsidRPr="00296230">
        <w:rPr>
          <w:rFonts w:ascii="Times New Roman" w:hAnsi="Times New Roman" w:cs="Times New Roman"/>
          <w:lang w:val="en-GB"/>
        </w:rPr>
        <w:t>used by specialist workflows into a cross-platform graphical application with an automated installation process and no HPC dependency, LOREON enables high-quality community profiling analyses to be performed autonomously by laboratory staff without bioinformatics expertise in 15–20 minutes from a fresh software installation.</w:t>
      </w:r>
    </w:p>
    <w:p w14:paraId="57629124"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The three key scientific contributions of this work are: (1) a rigorous demonstration that LOREON achieves precision, recall, and F1 scores fully suitable for publication across three metabarcoding strategies (ITS standard, ITS ultra-long, 16S rRNA); (2) the first systematic quantitative comparison of standard versus ultra-long ITS amplicon ONT sequencing for fungal community profiling, showing that the extended ITS–LSU approach substantially reduces false-positive species assignments; and (3) a direct performance benchmark against EPI2ME wf-16s demonstrating equivalent analytical performance with 32-fold lower orchestration overhead, 1.4-fold lower peak memory consumption, and dramatically lower deployment complexity on standard laboratory hardware.</w:t>
      </w:r>
    </w:p>
    <w:p w14:paraId="7B66F8A7" w14:textId="688757D1"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LOREON is open-source</w:t>
      </w:r>
      <w:r w:rsidRPr="00296230">
        <w:rPr>
          <w:rStyle w:val="Rimandonotaapidipagina"/>
          <w:rFonts w:ascii="Times New Roman" w:hAnsi="Times New Roman" w:cs="Times New Roman"/>
        </w:rPr>
        <w:footnoteReference w:id="2"/>
      </w:r>
      <w:r w:rsidRPr="00296230">
        <w:rPr>
          <w:rFonts w:ascii="Times New Roman" w:hAnsi="Times New Roman" w:cs="Times New Roman"/>
          <w:lang w:val="en-GB"/>
        </w:rPr>
        <w:t>, actively developed, and designed with extensibility in mind: future releases will incorporate additional reference database integrations. We anticipate that LOREON will significantly expand the adoption of long-read ONT metabarcoding in microbiology, food science, environmental monitoring, and clinical diagnostics laboratories that currently lack the computational infrastructure or bioinformatics expertise required to leverage their sequencing investments fully.</w:t>
      </w:r>
    </w:p>
    <w:p w14:paraId="385E120F" w14:textId="77777777" w:rsidR="006A2195" w:rsidRPr="00296230" w:rsidRDefault="006A2195" w:rsidP="00186B5A">
      <w:pPr>
        <w:spacing w:before="200" w:after="200"/>
        <w:jc w:val="both"/>
        <w:rPr>
          <w:rFonts w:ascii="Times New Roman" w:hAnsi="Times New Roman" w:cs="Times New Roman"/>
          <w:lang w:val="en-GB"/>
        </w:rPr>
      </w:pPr>
    </w:p>
    <w:p w14:paraId="0BE798CD" w14:textId="77777777" w:rsidR="006A2195" w:rsidRPr="00296230" w:rsidRDefault="00FF5A73" w:rsidP="00186B5A">
      <w:pPr>
        <w:pStyle w:val="Titolo1"/>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Acknowledgements</w:t>
      </w:r>
    </w:p>
    <w:p w14:paraId="37EA6F49" w14:textId="0E7FA735" w:rsidR="00655894" w:rsidRDefault="007E3EA4" w:rsidP="00186B5A">
      <w:pPr>
        <w:spacing w:before="80" w:after="80" w:line="276" w:lineRule="auto"/>
        <w:jc w:val="both"/>
        <w:rPr>
          <w:rFonts w:ascii="Times New Roman" w:hAnsi="Times New Roman" w:cs="Times New Roman"/>
          <w:lang w:val="en-GB"/>
        </w:rPr>
      </w:pPr>
      <w:r>
        <w:rPr>
          <w:rFonts w:ascii="Times New Roman" w:hAnsi="Times New Roman" w:cs="Times New Roman"/>
          <w:lang w:val="en-GB"/>
        </w:rPr>
        <w:t xml:space="preserve">Italian PNNR project has </w:t>
      </w:r>
      <w:r w:rsidR="00411AEF">
        <w:rPr>
          <w:rFonts w:ascii="Times New Roman" w:hAnsi="Times New Roman" w:cs="Times New Roman"/>
          <w:lang w:val="en-GB"/>
        </w:rPr>
        <w:t>contributed by supporting R.S. and A.C</w:t>
      </w:r>
      <w:r w:rsidR="00A64DC8">
        <w:rPr>
          <w:rFonts w:ascii="Times New Roman" w:hAnsi="Times New Roman" w:cs="Times New Roman"/>
          <w:lang w:val="en-GB"/>
        </w:rPr>
        <w:t xml:space="preserve"> (</w:t>
      </w:r>
      <w:r w:rsidR="00A64DC8" w:rsidRPr="008E4D13">
        <w:rPr>
          <w:rFonts w:ascii="Times New Roman" w:hAnsi="Times New Roman" w:cs="Times New Roman"/>
          <w:lang w:val="en-GB"/>
        </w:rPr>
        <w:t>grant ECS00000041—VITALITY—CUP J97G22000170005.</w:t>
      </w:r>
      <w:r w:rsidR="00A64DC8">
        <w:rPr>
          <w:rFonts w:ascii="Times New Roman" w:hAnsi="Times New Roman" w:cs="Times New Roman"/>
          <w:lang w:val="en-GB"/>
        </w:rPr>
        <w:t>)</w:t>
      </w:r>
      <w:r w:rsidR="00411AEF">
        <w:rPr>
          <w:rFonts w:ascii="Times New Roman" w:hAnsi="Times New Roman" w:cs="Times New Roman"/>
          <w:lang w:val="en-GB"/>
        </w:rPr>
        <w:t>.</w:t>
      </w:r>
    </w:p>
    <w:p w14:paraId="4EDDB1A9" w14:textId="37BC1B30" w:rsidR="006A2195" w:rsidRPr="00296230" w:rsidRDefault="00411AEF" w:rsidP="00186B5A">
      <w:pPr>
        <w:spacing w:before="80" w:after="80" w:line="276" w:lineRule="auto"/>
        <w:jc w:val="both"/>
        <w:rPr>
          <w:rFonts w:ascii="Times New Roman" w:hAnsi="Times New Roman" w:cs="Times New Roman"/>
          <w:lang w:val="en-GB"/>
        </w:rPr>
      </w:pPr>
      <w:r>
        <w:rPr>
          <w:rFonts w:ascii="Times New Roman" w:hAnsi="Times New Roman" w:cs="Times New Roman"/>
          <w:lang w:val="en-GB"/>
        </w:rPr>
        <w:t>European Project Eco2Wines (</w:t>
      </w:r>
      <w:r w:rsidR="00D02837" w:rsidRPr="00D02837">
        <w:rPr>
          <w:rFonts w:ascii="Times New Roman" w:hAnsi="Times New Roman" w:cs="Times New Roman"/>
          <w:lang w:val="en-US"/>
        </w:rPr>
        <w:t>EU-HORIZON-MSCA-2022- Project</w:t>
      </w:r>
      <w:r w:rsidR="007257D0">
        <w:rPr>
          <w:rFonts w:ascii="Times New Roman" w:hAnsi="Times New Roman" w:cs="Times New Roman"/>
          <w:lang w:val="en-US"/>
        </w:rPr>
        <w:t xml:space="preserve"> </w:t>
      </w:r>
      <w:r w:rsidR="00D02837" w:rsidRPr="00D02837">
        <w:rPr>
          <w:rFonts w:ascii="Times New Roman" w:hAnsi="Times New Roman" w:cs="Times New Roman"/>
          <w:lang w:val="en-US"/>
        </w:rPr>
        <w:t>101119480</w:t>
      </w:r>
      <w:r>
        <w:rPr>
          <w:rFonts w:ascii="Times New Roman" w:hAnsi="Times New Roman" w:cs="Times New Roman"/>
          <w:lang w:val="en-GB"/>
        </w:rPr>
        <w:t xml:space="preserve">) has </w:t>
      </w:r>
      <w:r w:rsidR="006B4F13">
        <w:rPr>
          <w:rFonts w:ascii="Times New Roman" w:hAnsi="Times New Roman" w:cs="Times New Roman"/>
          <w:lang w:val="en-GB"/>
        </w:rPr>
        <w:t xml:space="preserve">contributed partially to the </w:t>
      </w:r>
      <w:r w:rsidR="007257D0">
        <w:rPr>
          <w:rFonts w:ascii="Times New Roman" w:hAnsi="Times New Roman" w:cs="Times New Roman"/>
          <w:lang w:val="en-GB"/>
        </w:rPr>
        <w:t>accomplishment</w:t>
      </w:r>
      <w:r w:rsidR="006B4F13">
        <w:rPr>
          <w:rFonts w:ascii="Times New Roman" w:hAnsi="Times New Roman" w:cs="Times New Roman"/>
          <w:lang w:val="en-GB"/>
        </w:rPr>
        <w:t xml:space="preserve"> of the paper. </w:t>
      </w:r>
    </w:p>
    <w:p w14:paraId="29F57B49" w14:textId="77777777" w:rsidR="006A2195" w:rsidRPr="00296230" w:rsidRDefault="006A2195" w:rsidP="00186B5A">
      <w:pPr>
        <w:spacing w:before="80" w:after="80"/>
        <w:jc w:val="both"/>
        <w:rPr>
          <w:rFonts w:ascii="Times New Roman" w:hAnsi="Times New Roman" w:cs="Times New Roman"/>
          <w:lang w:val="en-GB"/>
        </w:rPr>
      </w:pPr>
    </w:p>
    <w:p w14:paraId="49875FA8" w14:textId="77777777" w:rsidR="006A2195" w:rsidRPr="00296230" w:rsidRDefault="00FF5A73" w:rsidP="00186B5A">
      <w:pPr>
        <w:pStyle w:val="Titolo1"/>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Author Contributions</w:t>
      </w:r>
    </w:p>
    <w:p w14:paraId="696D9C73"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R.S.: conceptualisation, software development, validation, formal analysis, visualisation, writing – original draft. A.C.: conceptualisation, biological validation, writing – review and editing, supervision. G.C.: conceptualisation, resources, writing – review and editing, supervision, funding acquisition. All authors read and approved the final manuscript.</w:t>
      </w:r>
    </w:p>
    <w:p w14:paraId="2D17E19D" w14:textId="77777777" w:rsidR="006A2195" w:rsidRPr="00296230" w:rsidRDefault="006A2195" w:rsidP="00186B5A">
      <w:pPr>
        <w:spacing w:before="80" w:after="80"/>
        <w:jc w:val="both"/>
        <w:rPr>
          <w:rFonts w:ascii="Times New Roman" w:hAnsi="Times New Roman" w:cs="Times New Roman"/>
          <w:lang w:val="en-GB"/>
        </w:rPr>
      </w:pPr>
    </w:p>
    <w:p w14:paraId="083704DA" w14:textId="77777777" w:rsidR="006A2195" w:rsidRPr="00296230" w:rsidRDefault="00FF5A73" w:rsidP="00186B5A">
      <w:pPr>
        <w:pStyle w:val="Titolo1"/>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Competing Interests</w:t>
      </w:r>
    </w:p>
    <w:p w14:paraId="41C1D73E" w14:textId="77777777"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The authors declare no competing interests.</w:t>
      </w:r>
    </w:p>
    <w:p w14:paraId="446B3A44" w14:textId="77777777" w:rsidR="006A2195" w:rsidRPr="00296230" w:rsidRDefault="006A2195" w:rsidP="00186B5A">
      <w:pPr>
        <w:spacing w:before="80" w:after="80"/>
        <w:jc w:val="both"/>
        <w:rPr>
          <w:rFonts w:ascii="Times New Roman" w:hAnsi="Times New Roman" w:cs="Times New Roman"/>
          <w:lang w:val="en-GB"/>
        </w:rPr>
      </w:pPr>
    </w:p>
    <w:p w14:paraId="60A72D40" w14:textId="77777777" w:rsidR="006A2195" w:rsidRPr="00296230" w:rsidRDefault="00FF5A73" w:rsidP="00186B5A">
      <w:pPr>
        <w:pStyle w:val="Titolo1"/>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t>Data Availability</w:t>
      </w:r>
    </w:p>
    <w:p w14:paraId="087FD555" w14:textId="6C1B5216" w:rsidR="006A2195" w:rsidRPr="00296230" w:rsidRDefault="00FF5A73" w:rsidP="00186B5A">
      <w:pPr>
        <w:spacing w:before="80" w:after="80" w:line="276" w:lineRule="auto"/>
        <w:jc w:val="both"/>
        <w:rPr>
          <w:rFonts w:ascii="Times New Roman" w:hAnsi="Times New Roman" w:cs="Times New Roman"/>
          <w:lang w:val="en-GB"/>
        </w:rPr>
      </w:pPr>
      <w:r w:rsidRPr="00296230">
        <w:rPr>
          <w:rFonts w:ascii="Times New Roman" w:hAnsi="Times New Roman" w:cs="Times New Roman"/>
          <w:lang w:val="en-GB"/>
        </w:rPr>
        <w:t>LOREON source code is publicly available at https://github.com/iscka/loreon (MIT licence). Mock community sequencing datasets</w:t>
      </w:r>
      <w:r w:rsidR="00972F79">
        <w:rPr>
          <w:rFonts w:ascii="Times New Roman" w:hAnsi="Times New Roman" w:cs="Times New Roman"/>
          <w:lang w:val="en-GB"/>
        </w:rPr>
        <w:t xml:space="preserve"> </w:t>
      </w:r>
      <w:r w:rsidRPr="00296230">
        <w:rPr>
          <w:rFonts w:ascii="Times New Roman" w:hAnsi="Times New Roman" w:cs="Times New Roman"/>
          <w:lang w:val="en-GB"/>
        </w:rPr>
        <w:t>and benchmark performance reports are available from the corresponding author upon reasonable request. Reference databases used in this study (UNITE, Eukariome, SILVA) are publicly available from their respective repositories.</w:t>
      </w:r>
    </w:p>
    <w:p w14:paraId="2B27D2A1" w14:textId="77777777" w:rsidR="006A2195" w:rsidRPr="00296230" w:rsidRDefault="006A2195" w:rsidP="00186B5A">
      <w:pPr>
        <w:spacing w:before="200" w:after="200"/>
        <w:jc w:val="both"/>
        <w:rPr>
          <w:rFonts w:ascii="Times New Roman" w:hAnsi="Times New Roman" w:cs="Times New Roman"/>
          <w:lang w:val="en-GB"/>
        </w:rPr>
      </w:pPr>
    </w:p>
    <w:p w14:paraId="31C83F88" w14:textId="77777777" w:rsidR="006A2195" w:rsidRPr="00296230" w:rsidRDefault="00FF5A73" w:rsidP="00186B5A">
      <w:pPr>
        <w:jc w:val="both"/>
        <w:rPr>
          <w:rFonts w:ascii="Times New Roman" w:hAnsi="Times New Roman" w:cs="Times New Roman"/>
          <w:lang w:val="en-GB"/>
        </w:rPr>
      </w:pPr>
      <w:r w:rsidRPr="00296230">
        <w:rPr>
          <w:rFonts w:ascii="Times New Roman" w:hAnsi="Times New Roman" w:cs="Times New Roman"/>
          <w:lang w:val="en-GB"/>
        </w:rPr>
        <w:br w:type="page"/>
      </w:r>
    </w:p>
    <w:p w14:paraId="6A3A2476" w14:textId="77777777" w:rsidR="006A2195" w:rsidRPr="00296230" w:rsidRDefault="00FF5A73" w:rsidP="00186B5A">
      <w:pPr>
        <w:pStyle w:val="Titolo1"/>
        <w:jc w:val="both"/>
        <w:rPr>
          <w:rFonts w:ascii="Times New Roman" w:hAnsi="Times New Roman" w:cs="Times New Roman"/>
          <w:sz w:val="22"/>
          <w:szCs w:val="22"/>
          <w:lang w:val="en-GB"/>
        </w:rPr>
      </w:pPr>
      <w:r w:rsidRPr="00296230">
        <w:rPr>
          <w:rFonts w:ascii="Times New Roman" w:hAnsi="Times New Roman" w:cs="Times New Roman"/>
          <w:sz w:val="22"/>
          <w:szCs w:val="22"/>
          <w:lang w:val="en-GB"/>
        </w:rPr>
        <w:lastRenderedPageBreak/>
        <w:t>References</w:t>
      </w:r>
    </w:p>
    <w:p w14:paraId="1FCC1BF5" w14:textId="77777777" w:rsidR="00080B83" w:rsidRPr="00080B83" w:rsidRDefault="00C2278B" w:rsidP="00080B83">
      <w:pPr>
        <w:pStyle w:val="EndNoteBibliography"/>
        <w:ind w:left="720" w:hanging="720"/>
      </w:pPr>
      <w:r>
        <w:rPr>
          <w:rFonts w:ascii="Times New Roman" w:hAnsi="Times New Roman" w:cs="Times New Roman"/>
          <w:color w:val="333333"/>
          <w:lang w:val="en-GB"/>
        </w:rPr>
        <w:fldChar w:fldCharType="begin"/>
      </w:r>
      <w:r>
        <w:rPr>
          <w:rFonts w:ascii="Times New Roman" w:hAnsi="Times New Roman" w:cs="Times New Roman"/>
          <w:color w:val="333333"/>
          <w:lang w:val="en-GB"/>
        </w:rPr>
        <w:instrText xml:space="preserve"> ADDIN EN.REFLIST </w:instrText>
      </w:r>
      <w:r>
        <w:rPr>
          <w:rFonts w:ascii="Times New Roman" w:hAnsi="Times New Roman" w:cs="Times New Roman"/>
          <w:color w:val="333333"/>
          <w:lang w:val="en-GB"/>
        </w:rPr>
        <w:fldChar w:fldCharType="separate"/>
      </w:r>
      <w:r w:rsidR="00080B83" w:rsidRPr="00080B83">
        <w:t>1.</w:t>
      </w:r>
      <w:r w:rsidR="00080B83" w:rsidRPr="00080B83">
        <w:tab/>
        <w:t xml:space="preserve">Schloss, P.D.; Westcott, S.L.; Ryabin, T.; Hall, J.R.; Hartmann, M.; Hollister, E.B.; Lesniewski, R.A.; Oakley, B.B.; Parks, D.H.; Robinson, C.J. Introducing mothur: open-source, platform-independent, community-supported software for describing and comparing microbial communities. </w:t>
      </w:r>
      <w:r w:rsidR="00080B83" w:rsidRPr="00080B83">
        <w:rPr>
          <w:i/>
        </w:rPr>
        <w:t xml:space="preserve">Applied and environmental microbiology </w:t>
      </w:r>
      <w:r w:rsidR="00080B83" w:rsidRPr="00080B83">
        <w:rPr>
          <w:b/>
        </w:rPr>
        <w:t>2009</w:t>
      </w:r>
      <w:r w:rsidR="00080B83" w:rsidRPr="00080B83">
        <w:t xml:space="preserve">, </w:t>
      </w:r>
      <w:r w:rsidR="00080B83" w:rsidRPr="00080B83">
        <w:rPr>
          <w:i/>
        </w:rPr>
        <w:t>75</w:t>
      </w:r>
      <w:r w:rsidR="00080B83" w:rsidRPr="00080B83">
        <w:t>, 7537–7541.</w:t>
      </w:r>
    </w:p>
    <w:p w14:paraId="04071CE5" w14:textId="77777777" w:rsidR="00080B83" w:rsidRPr="00080B83" w:rsidRDefault="00080B83" w:rsidP="00080B83">
      <w:pPr>
        <w:pStyle w:val="EndNoteBibliography"/>
        <w:ind w:left="720" w:hanging="720"/>
      </w:pPr>
      <w:r w:rsidRPr="00080B83">
        <w:t>2.</w:t>
      </w:r>
      <w:r w:rsidRPr="00080B83">
        <w:tab/>
        <w:t xml:space="preserve">Callahan, B.J.; McMurdie, P.J.; Holmes, S.P. Exact sequence variants should replace operational taxonomic units in marker-gene data analysis. </w:t>
      </w:r>
      <w:r w:rsidRPr="00080B83">
        <w:rPr>
          <w:i/>
        </w:rPr>
        <w:t xml:space="preserve">The ISME journal </w:t>
      </w:r>
      <w:r w:rsidRPr="00080B83">
        <w:rPr>
          <w:b/>
        </w:rPr>
        <w:t>2017</w:t>
      </w:r>
      <w:r w:rsidRPr="00080B83">
        <w:t xml:space="preserve">, </w:t>
      </w:r>
      <w:r w:rsidRPr="00080B83">
        <w:rPr>
          <w:i/>
        </w:rPr>
        <w:t>11</w:t>
      </w:r>
      <w:r w:rsidRPr="00080B83">
        <w:t>, 2639–2643.</w:t>
      </w:r>
    </w:p>
    <w:p w14:paraId="42814864" w14:textId="77777777" w:rsidR="00080B83" w:rsidRPr="00080B83" w:rsidRDefault="00080B83" w:rsidP="00080B83">
      <w:pPr>
        <w:pStyle w:val="EndNoteBibliography"/>
        <w:ind w:left="720" w:hanging="720"/>
      </w:pPr>
      <w:r w:rsidRPr="00080B83">
        <w:t>3.</w:t>
      </w:r>
      <w:r w:rsidRPr="00080B83">
        <w:tab/>
        <w:t xml:space="preserve">Callahan, B.J.; McMurdie, P.J.; Rosen, M.J.; Han, A.W.; Johnson, A.J.A.; Holmes, S.P. DADA2: High-resolution sample inference from Illumina amplicon data. </w:t>
      </w:r>
      <w:r w:rsidRPr="00080B83">
        <w:rPr>
          <w:i/>
        </w:rPr>
        <w:t xml:space="preserve">Nature methods </w:t>
      </w:r>
      <w:r w:rsidRPr="00080B83">
        <w:rPr>
          <w:b/>
        </w:rPr>
        <w:t>2016</w:t>
      </w:r>
      <w:r w:rsidRPr="00080B83">
        <w:t xml:space="preserve">, </w:t>
      </w:r>
      <w:r w:rsidRPr="00080B83">
        <w:rPr>
          <w:i/>
        </w:rPr>
        <w:t>13</w:t>
      </w:r>
      <w:r w:rsidRPr="00080B83">
        <w:t>, 581–583.</w:t>
      </w:r>
    </w:p>
    <w:p w14:paraId="5891EF8F" w14:textId="77777777" w:rsidR="00080B83" w:rsidRPr="00080B83" w:rsidRDefault="00080B83" w:rsidP="00080B83">
      <w:pPr>
        <w:pStyle w:val="EndNoteBibliography"/>
        <w:ind w:left="720" w:hanging="720"/>
      </w:pPr>
      <w:r w:rsidRPr="00080B83">
        <w:t>4.</w:t>
      </w:r>
      <w:r w:rsidRPr="00080B83">
        <w:tab/>
        <w:t xml:space="preserve">Fasolo, A.; Deb, S.; Stevanato, P.; Concheri, G.; Squartini, A. ASV vs OTUs clustering: Effects on alpha, beta, and gamma diversities in microbiome metabarcoding studies. </w:t>
      </w:r>
      <w:r w:rsidRPr="00080B83">
        <w:rPr>
          <w:i/>
        </w:rPr>
        <w:t xml:space="preserve">PLoS One </w:t>
      </w:r>
      <w:r w:rsidRPr="00080B83">
        <w:rPr>
          <w:b/>
        </w:rPr>
        <w:t>2024</w:t>
      </w:r>
      <w:r w:rsidRPr="00080B83">
        <w:t xml:space="preserve">, </w:t>
      </w:r>
      <w:r w:rsidRPr="00080B83">
        <w:rPr>
          <w:i/>
        </w:rPr>
        <w:t>19</w:t>
      </w:r>
      <w:r w:rsidRPr="00080B83">
        <w:t>, e0309065.</w:t>
      </w:r>
    </w:p>
    <w:p w14:paraId="11483774" w14:textId="77777777" w:rsidR="00080B83" w:rsidRPr="00080B83" w:rsidRDefault="00080B83" w:rsidP="00080B83">
      <w:pPr>
        <w:pStyle w:val="EndNoteBibliography"/>
        <w:ind w:left="720" w:hanging="720"/>
      </w:pPr>
      <w:r w:rsidRPr="00080B83">
        <w:t>5.</w:t>
      </w:r>
      <w:r w:rsidRPr="00080B83">
        <w:tab/>
        <w:t xml:space="preserve">Bolyen, E.; Rideout, J.R.; Dillon, M.R.; Bokulich, N.A.; Abnet, C.C.; Al-Ghalith, G.A.; Alexander, H.; Alm, E.J.; Arumugam, M.; Asnicar, F. Reproducible, interactive, scalable and extensible microbiome data science using QIIME 2. </w:t>
      </w:r>
      <w:r w:rsidRPr="00080B83">
        <w:rPr>
          <w:i/>
        </w:rPr>
        <w:t xml:space="preserve">Nature biotechnology </w:t>
      </w:r>
      <w:r w:rsidRPr="00080B83">
        <w:rPr>
          <w:b/>
        </w:rPr>
        <w:t>2019</w:t>
      </w:r>
      <w:r w:rsidRPr="00080B83">
        <w:t xml:space="preserve">, </w:t>
      </w:r>
      <w:r w:rsidRPr="00080B83">
        <w:rPr>
          <w:i/>
        </w:rPr>
        <w:t>37</w:t>
      </w:r>
      <w:r w:rsidRPr="00080B83">
        <w:t>, 852–857.</w:t>
      </w:r>
    </w:p>
    <w:p w14:paraId="3D7DD9B9" w14:textId="77777777" w:rsidR="00080B83" w:rsidRPr="00080B83" w:rsidRDefault="00080B83" w:rsidP="00080B83">
      <w:pPr>
        <w:pStyle w:val="EndNoteBibliography"/>
        <w:ind w:left="720" w:hanging="720"/>
      </w:pPr>
      <w:r w:rsidRPr="00080B83">
        <w:t>6.</w:t>
      </w:r>
      <w:r w:rsidRPr="00080B83">
        <w:tab/>
        <w:t xml:space="preserve">Hakimzadeh, A.; Abdala Asbun, A.; Albanese, D.; Bernard, M.; Buchner, D.; Callahan, B.; Caporaso, J.G.; Curd, E.; Djemiel, C.; Brandström Durling, M. A pile of pipelines: An overview of the bioinformatics software for metabarcoding data analyses. </w:t>
      </w:r>
      <w:r w:rsidRPr="00080B83">
        <w:rPr>
          <w:i/>
        </w:rPr>
        <w:t xml:space="preserve">Molecular ecology resources </w:t>
      </w:r>
      <w:r w:rsidRPr="00080B83">
        <w:rPr>
          <w:b/>
        </w:rPr>
        <w:t>2024</w:t>
      </w:r>
      <w:r w:rsidRPr="00080B83">
        <w:t xml:space="preserve">, </w:t>
      </w:r>
      <w:r w:rsidRPr="00080B83">
        <w:rPr>
          <w:i/>
        </w:rPr>
        <w:t>24</w:t>
      </w:r>
      <w:r w:rsidRPr="00080B83">
        <w:t>, e13847.</w:t>
      </w:r>
    </w:p>
    <w:p w14:paraId="387ACB3A" w14:textId="77777777" w:rsidR="00080B83" w:rsidRPr="00080B83" w:rsidRDefault="00080B83" w:rsidP="00080B83">
      <w:pPr>
        <w:pStyle w:val="EndNoteBibliography"/>
        <w:ind w:left="720" w:hanging="720"/>
      </w:pPr>
      <w:r w:rsidRPr="00080B83">
        <w:t>7.</w:t>
      </w:r>
      <w:r w:rsidRPr="00080B83">
        <w:tab/>
        <w:t xml:space="preserve">Jain, M.; Koren, S.; Miga, K.H.; Quick, J.; Rand, A.C.; Sasani, T.A.; Tyson, J.R.; Beggs, A.D.; Dilthey, A.T.; Fiddes, I.T. Nanopore sequencing and assembly of a human genome with ultra-long reads. </w:t>
      </w:r>
      <w:r w:rsidRPr="00080B83">
        <w:rPr>
          <w:i/>
        </w:rPr>
        <w:t xml:space="preserve">Nature biotechnology </w:t>
      </w:r>
      <w:r w:rsidRPr="00080B83">
        <w:rPr>
          <w:b/>
        </w:rPr>
        <w:t>2018</w:t>
      </w:r>
      <w:r w:rsidRPr="00080B83">
        <w:t xml:space="preserve">, </w:t>
      </w:r>
      <w:r w:rsidRPr="00080B83">
        <w:rPr>
          <w:i/>
        </w:rPr>
        <w:t>36</w:t>
      </w:r>
      <w:r w:rsidRPr="00080B83">
        <w:t>, 338–345.</w:t>
      </w:r>
    </w:p>
    <w:p w14:paraId="4F978172" w14:textId="77777777" w:rsidR="00080B83" w:rsidRPr="00080B83" w:rsidRDefault="00080B83" w:rsidP="00080B83">
      <w:pPr>
        <w:pStyle w:val="EndNoteBibliography"/>
        <w:ind w:left="720" w:hanging="720"/>
      </w:pPr>
      <w:r w:rsidRPr="00080B83">
        <w:t>8.</w:t>
      </w:r>
      <w:r w:rsidRPr="00080B83">
        <w:tab/>
        <w:t xml:space="preserve">Jain, M.; Olsen, H.E.; Paten, B.; Akeson, M. The Oxford Nanopore MinION: delivery of nanopore sequencing to the genomics community. </w:t>
      </w:r>
      <w:r w:rsidRPr="00080B83">
        <w:rPr>
          <w:i/>
        </w:rPr>
        <w:t xml:space="preserve">Genome biology </w:t>
      </w:r>
      <w:r w:rsidRPr="00080B83">
        <w:rPr>
          <w:b/>
        </w:rPr>
        <w:t>2016</w:t>
      </w:r>
      <w:r w:rsidRPr="00080B83">
        <w:t xml:space="preserve">, </w:t>
      </w:r>
      <w:r w:rsidRPr="00080B83">
        <w:rPr>
          <w:i/>
        </w:rPr>
        <w:t>17</w:t>
      </w:r>
      <w:r w:rsidRPr="00080B83">
        <w:t>, 239.</w:t>
      </w:r>
    </w:p>
    <w:p w14:paraId="715BAA11" w14:textId="77777777" w:rsidR="00080B83" w:rsidRPr="00080B83" w:rsidRDefault="00080B83" w:rsidP="00080B83">
      <w:pPr>
        <w:pStyle w:val="EndNoteBibliography"/>
        <w:ind w:left="720" w:hanging="720"/>
      </w:pPr>
      <w:r w:rsidRPr="00080B83">
        <w:t>9.</w:t>
      </w:r>
      <w:r w:rsidRPr="00080B83">
        <w:tab/>
        <w:t xml:space="preserve">Lerminiaux, N.; Fakharuddin, K.; Adam, H.J.; Bharat, A.; Golding, G.R.; Martin, I.; Mulvey, M.; Mataseje, L.F. Rapid identification of microbial pathogens and antimicrobial resistance from bloodstream infections using long-read sequencing. </w:t>
      </w:r>
      <w:r w:rsidRPr="00080B83">
        <w:rPr>
          <w:i/>
        </w:rPr>
        <w:t xml:space="preserve">Microbial Genomics </w:t>
      </w:r>
      <w:r w:rsidRPr="00080B83">
        <w:rPr>
          <w:b/>
        </w:rPr>
        <w:t>2026</w:t>
      </w:r>
      <w:r w:rsidRPr="00080B83">
        <w:t xml:space="preserve">, </w:t>
      </w:r>
      <w:r w:rsidRPr="00080B83">
        <w:rPr>
          <w:i/>
        </w:rPr>
        <w:t>12</w:t>
      </w:r>
      <w:r w:rsidRPr="00080B83">
        <w:t>, 001699.</w:t>
      </w:r>
    </w:p>
    <w:p w14:paraId="0F66710E" w14:textId="77777777" w:rsidR="00080B83" w:rsidRPr="00080B83" w:rsidRDefault="00080B83" w:rsidP="00080B83">
      <w:pPr>
        <w:pStyle w:val="EndNoteBibliography"/>
        <w:ind w:left="720" w:hanging="720"/>
      </w:pPr>
      <w:r w:rsidRPr="00080B83">
        <w:t>10.</w:t>
      </w:r>
      <w:r w:rsidRPr="00080B83">
        <w:tab/>
        <w:t>Heeger, F.; Bourne, E.C.; Baschien, C.; Yurkov, A.; Bunk, B.; Spröer, C.; Overmann, J.; Mazzoni, C.J.; Monaghan, M.T. Long</w:t>
      </w:r>
      <w:r w:rsidRPr="00080B83">
        <w:rPr>
          <w:rFonts w:ascii="Cambria Math" w:hAnsi="Cambria Math" w:cs="Cambria Math"/>
        </w:rPr>
        <w:t>‐</w:t>
      </w:r>
      <w:r w:rsidRPr="00080B83">
        <w:t xml:space="preserve">read DNA metabarcoding of ribosomal RNA in the analysis of fungi from aquatic environments. </w:t>
      </w:r>
      <w:r w:rsidRPr="00080B83">
        <w:rPr>
          <w:i/>
        </w:rPr>
        <w:t xml:space="preserve">Molecular Ecology Resources </w:t>
      </w:r>
      <w:r w:rsidRPr="00080B83">
        <w:rPr>
          <w:b/>
        </w:rPr>
        <w:t>2018</w:t>
      </w:r>
      <w:r w:rsidRPr="00080B83">
        <w:t xml:space="preserve">, </w:t>
      </w:r>
      <w:r w:rsidRPr="00080B83">
        <w:rPr>
          <w:i/>
        </w:rPr>
        <w:t>18</w:t>
      </w:r>
      <w:r w:rsidRPr="00080B83">
        <w:t>, 1500–1514.</w:t>
      </w:r>
    </w:p>
    <w:p w14:paraId="399A7BB2" w14:textId="77777777" w:rsidR="00080B83" w:rsidRPr="00080B83" w:rsidRDefault="00080B83" w:rsidP="00080B83">
      <w:pPr>
        <w:pStyle w:val="EndNoteBibliography"/>
        <w:ind w:left="720" w:hanging="720"/>
      </w:pPr>
      <w:r w:rsidRPr="00080B83">
        <w:t>11.</w:t>
      </w:r>
      <w:r w:rsidRPr="00080B83">
        <w:tab/>
        <w:t xml:space="preserve">Albastaki, A.; Smith, J. Choosing Between Short-Read 16S, Full-Length ONT 16S, and Long-Read Shotgun Metagenomics for Soil Microbiome Studies: A Critical Review of the Benchmarking Evidence. </w:t>
      </w:r>
      <w:r w:rsidRPr="00080B83">
        <w:rPr>
          <w:i/>
        </w:rPr>
        <w:t xml:space="preserve">Microorganisms </w:t>
      </w:r>
      <w:r w:rsidRPr="00080B83">
        <w:rPr>
          <w:b/>
        </w:rPr>
        <w:t>2026</w:t>
      </w:r>
      <w:r w:rsidRPr="00080B83">
        <w:t xml:space="preserve">, </w:t>
      </w:r>
      <w:r w:rsidRPr="00080B83">
        <w:rPr>
          <w:i/>
        </w:rPr>
        <w:t>14</w:t>
      </w:r>
      <w:r w:rsidRPr="00080B83">
        <w:t>, 1132.</w:t>
      </w:r>
    </w:p>
    <w:p w14:paraId="1A481EEE" w14:textId="77777777" w:rsidR="00080B83" w:rsidRPr="00080B83" w:rsidRDefault="00080B83" w:rsidP="00080B83">
      <w:pPr>
        <w:pStyle w:val="EndNoteBibliography"/>
        <w:ind w:left="720" w:hanging="720"/>
      </w:pPr>
      <w:r w:rsidRPr="00080B83">
        <w:t>12.</w:t>
      </w:r>
      <w:r w:rsidRPr="00080B83">
        <w:tab/>
        <w:t>Wurzbacher, C.; Larsson, E.; Bengtsson</w:t>
      </w:r>
      <w:r w:rsidRPr="00080B83">
        <w:rPr>
          <w:rFonts w:ascii="Cambria Math" w:hAnsi="Cambria Math" w:cs="Cambria Math"/>
        </w:rPr>
        <w:t>‐</w:t>
      </w:r>
      <w:r w:rsidRPr="00080B83">
        <w:t xml:space="preserve">Palme, J.; Van den Wyngaert, S.; Svantesson, S.; Kristiansson, E.; Kagami, M.; Nilsson, R.H. Introducing ribosomal tandem repeat barcoding for fungi. </w:t>
      </w:r>
      <w:r w:rsidRPr="00080B83">
        <w:rPr>
          <w:i/>
        </w:rPr>
        <w:t xml:space="preserve">Molecular ecology resources </w:t>
      </w:r>
      <w:r w:rsidRPr="00080B83">
        <w:rPr>
          <w:b/>
        </w:rPr>
        <w:t>2019</w:t>
      </w:r>
      <w:r w:rsidRPr="00080B83">
        <w:t xml:space="preserve">, </w:t>
      </w:r>
      <w:r w:rsidRPr="00080B83">
        <w:rPr>
          <w:i/>
        </w:rPr>
        <w:t>19</w:t>
      </w:r>
      <w:r w:rsidRPr="00080B83">
        <w:t>, 118–127.</w:t>
      </w:r>
    </w:p>
    <w:p w14:paraId="334A649C" w14:textId="77777777" w:rsidR="00080B83" w:rsidRPr="00080B83" w:rsidRDefault="00080B83" w:rsidP="00080B83">
      <w:pPr>
        <w:pStyle w:val="EndNoteBibliography"/>
        <w:ind w:left="720" w:hanging="720"/>
      </w:pPr>
      <w:r w:rsidRPr="00080B83">
        <w:t>13.</w:t>
      </w:r>
      <w:r w:rsidRPr="00080B83">
        <w:tab/>
        <w:t xml:space="preserve">Leidenfrost, R.M.; Pöther, D.-C.; Jäckel, U.; Wünschiers, R. Benchmarking the MinION: evaluating long reads for microbial profiling. </w:t>
      </w:r>
      <w:r w:rsidRPr="00080B83">
        <w:rPr>
          <w:i/>
        </w:rPr>
        <w:t xml:space="preserve">Scientific Reports </w:t>
      </w:r>
      <w:r w:rsidRPr="00080B83">
        <w:rPr>
          <w:b/>
        </w:rPr>
        <w:t>2020</w:t>
      </w:r>
      <w:r w:rsidRPr="00080B83">
        <w:t xml:space="preserve">, </w:t>
      </w:r>
      <w:r w:rsidRPr="00080B83">
        <w:rPr>
          <w:i/>
        </w:rPr>
        <w:t>10</w:t>
      </w:r>
      <w:r w:rsidRPr="00080B83">
        <w:t>, 5125.</w:t>
      </w:r>
    </w:p>
    <w:p w14:paraId="2236AAE3" w14:textId="77777777" w:rsidR="00080B83" w:rsidRPr="00080B83" w:rsidRDefault="00080B83" w:rsidP="00080B83">
      <w:pPr>
        <w:pStyle w:val="EndNoteBibliography"/>
        <w:ind w:left="720" w:hanging="720"/>
      </w:pPr>
      <w:r w:rsidRPr="00080B83">
        <w:t>14.</w:t>
      </w:r>
      <w:r w:rsidRPr="00080B83">
        <w:tab/>
        <w:t xml:space="preserve">Nicholls, S.M.; Quick, J.C.; Tang, S.; Loman, N.J. Ultra-deep, long-read nanopore sequencing of mock microbial community standards. </w:t>
      </w:r>
      <w:r w:rsidRPr="00080B83">
        <w:rPr>
          <w:i/>
        </w:rPr>
        <w:t xml:space="preserve">Gigascience </w:t>
      </w:r>
      <w:r w:rsidRPr="00080B83">
        <w:rPr>
          <w:b/>
        </w:rPr>
        <w:t>2019</w:t>
      </w:r>
      <w:r w:rsidRPr="00080B83">
        <w:t xml:space="preserve">, </w:t>
      </w:r>
      <w:r w:rsidRPr="00080B83">
        <w:rPr>
          <w:i/>
        </w:rPr>
        <w:t>8</w:t>
      </w:r>
      <w:r w:rsidRPr="00080B83">
        <w:t>, giz043.</w:t>
      </w:r>
    </w:p>
    <w:p w14:paraId="1046A0B6" w14:textId="77777777" w:rsidR="00080B83" w:rsidRPr="00080B83" w:rsidRDefault="00080B83" w:rsidP="00080B83">
      <w:pPr>
        <w:pStyle w:val="EndNoteBibliography"/>
        <w:ind w:left="720" w:hanging="720"/>
      </w:pPr>
      <w:r w:rsidRPr="00080B83">
        <w:t>15.</w:t>
      </w:r>
      <w:r w:rsidRPr="00080B83">
        <w:tab/>
        <w:t xml:space="preserve">Li, H. Minimap2: pairwise alignment for nucleotide sequences. </w:t>
      </w:r>
      <w:r w:rsidRPr="00080B83">
        <w:rPr>
          <w:i/>
        </w:rPr>
        <w:t xml:space="preserve">Bioinformatics </w:t>
      </w:r>
      <w:r w:rsidRPr="00080B83">
        <w:rPr>
          <w:b/>
        </w:rPr>
        <w:t>2018</w:t>
      </w:r>
      <w:r w:rsidRPr="00080B83">
        <w:t xml:space="preserve">, </w:t>
      </w:r>
      <w:r w:rsidRPr="00080B83">
        <w:rPr>
          <w:i/>
        </w:rPr>
        <w:t>34</w:t>
      </w:r>
      <w:r w:rsidRPr="00080B83">
        <w:t>, 3094–3100.</w:t>
      </w:r>
    </w:p>
    <w:p w14:paraId="34DC1AC0" w14:textId="77777777" w:rsidR="00080B83" w:rsidRPr="00080B83" w:rsidRDefault="00080B83" w:rsidP="00080B83">
      <w:pPr>
        <w:pStyle w:val="EndNoteBibliography"/>
        <w:ind w:left="720" w:hanging="720"/>
      </w:pPr>
      <w:r w:rsidRPr="00080B83">
        <w:t>16.</w:t>
      </w:r>
      <w:r w:rsidRPr="00080B83">
        <w:tab/>
        <w:t xml:space="preserve">Aslani, F.; Geisen, S.; Ning, D.; Tedersoo, L.; Bahram, M. Towards revealing the global diversity and community assembly of soil eukaryotes. </w:t>
      </w:r>
      <w:r w:rsidRPr="00080B83">
        <w:rPr>
          <w:i/>
        </w:rPr>
        <w:t xml:space="preserve">Ecology letters </w:t>
      </w:r>
      <w:r w:rsidRPr="00080B83">
        <w:rPr>
          <w:b/>
        </w:rPr>
        <w:t>2022</w:t>
      </w:r>
      <w:r w:rsidRPr="00080B83">
        <w:t xml:space="preserve">, </w:t>
      </w:r>
      <w:r w:rsidRPr="00080B83">
        <w:rPr>
          <w:i/>
        </w:rPr>
        <w:t>25</w:t>
      </w:r>
      <w:r w:rsidRPr="00080B83">
        <w:t>, 65–76.</w:t>
      </w:r>
    </w:p>
    <w:p w14:paraId="25FB1A97" w14:textId="77777777" w:rsidR="00080B83" w:rsidRPr="00080B83" w:rsidRDefault="00080B83" w:rsidP="00080B83">
      <w:pPr>
        <w:pStyle w:val="EndNoteBibliography"/>
        <w:ind w:left="720" w:hanging="720"/>
      </w:pPr>
      <w:r w:rsidRPr="00080B83">
        <w:t>17.</w:t>
      </w:r>
      <w:r w:rsidRPr="00080B83">
        <w:tab/>
        <w:t xml:space="preserve">Pearman, W.S.; Freed, N.E.; Silander, O.K. Testing the advantages and disadvantages of short-and long-read eukaryotic metagenomics using simulated reads. </w:t>
      </w:r>
      <w:r w:rsidRPr="00080B83">
        <w:rPr>
          <w:i/>
        </w:rPr>
        <w:t xml:space="preserve">BMC bioinformatics </w:t>
      </w:r>
      <w:r w:rsidRPr="00080B83">
        <w:rPr>
          <w:b/>
        </w:rPr>
        <w:t>2020</w:t>
      </w:r>
      <w:r w:rsidRPr="00080B83">
        <w:t xml:space="preserve">, </w:t>
      </w:r>
      <w:r w:rsidRPr="00080B83">
        <w:rPr>
          <w:i/>
        </w:rPr>
        <w:t>21</w:t>
      </w:r>
      <w:r w:rsidRPr="00080B83">
        <w:t>, 220.</w:t>
      </w:r>
    </w:p>
    <w:p w14:paraId="21CF72BD" w14:textId="77777777" w:rsidR="00080B83" w:rsidRPr="00080B83" w:rsidRDefault="00080B83" w:rsidP="00080B83">
      <w:pPr>
        <w:pStyle w:val="EndNoteBibliography"/>
        <w:ind w:left="720" w:hanging="720"/>
      </w:pPr>
      <w:r w:rsidRPr="00080B83">
        <w:lastRenderedPageBreak/>
        <w:t>18.</w:t>
      </w:r>
      <w:r w:rsidRPr="00080B83">
        <w:tab/>
        <w:t xml:space="preserve">Nilsson, R.H.; Anslan, S.; Bahram, M.; Wurzbacher, C.; Baldrian, P.; Tedersoo, L. Mycobiome diversity: high-throughput sequencing and identification of fungi. </w:t>
      </w:r>
      <w:r w:rsidRPr="00080B83">
        <w:rPr>
          <w:i/>
        </w:rPr>
        <w:t xml:space="preserve">Nature Reviews Microbiology </w:t>
      </w:r>
      <w:r w:rsidRPr="00080B83">
        <w:rPr>
          <w:b/>
        </w:rPr>
        <w:t>2019</w:t>
      </w:r>
      <w:r w:rsidRPr="00080B83">
        <w:t xml:space="preserve">, </w:t>
      </w:r>
      <w:r w:rsidRPr="00080B83">
        <w:rPr>
          <w:i/>
        </w:rPr>
        <w:t>17</w:t>
      </w:r>
      <w:r w:rsidRPr="00080B83">
        <w:t>, 95–109.</w:t>
      </w:r>
    </w:p>
    <w:p w14:paraId="636916DC" w14:textId="77777777" w:rsidR="00080B83" w:rsidRPr="00080B83" w:rsidRDefault="00080B83" w:rsidP="00080B83">
      <w:pPr>
        <w:pStyle w:val="EndNoteBibliography"/>
        <w:ind w:left="720" w:hanging="720"/>
      </w:pPr>
      <w:r w:rsidRPr="00080B83">
        <w:t>19.</w:t>
      </w:r>
      <w:r w:rsidRPr="00080B83">
        <w:tab/>
        <w:t xml:space="preserve">Lücking, R.; Aime, M.C.; Robbertse, B.; Miller, A.N.; Ariyawansa, H.A.; Aoki, T.; Cardinali, G.; Crous, P.W.; Druzhinina, I.S.; Geiser, D.M. Unambiguous identification of fungi: where do we stand and how accurate and precise is fungal DNA barcoding? </w:t>
      </w:r>
      <w:r w:rsidRPr="00080B83">
        <w:rPr>
          <w:i/>
        </w:rPr>
        <w:t xml:space="preserve">IMA fungus </w:t>
      </w:r>
      <w:r w:rsidRPr="00080B83">
        <w:rPr>
          <w:b/>
        </w:rPr>
        <w:t>2020</w:t>
      </w:r>
      <w:r w:rsidRPr="00080B83">
        <w:t xml:space="preserve">, </w:t>
      </w:r>
      <w:r w:rsidRPr="00080B83">
        <w:rPr>
          <w:i/>
        </w:rPr>
        <w:t>11</w:t>
      </w:r>
      <w:r w:rsidRPr="00080B83">
        <w:t>, 14.</w:t>
      </w:r>
    </w:p>
    <w:p w14:paraId="1EFF0474" w14:textId="77777777" w:rsidR="00080B83" w:rsidRPr="00080B83" w:rsidRDefault="00080B83" w:rsidP="00080B83">
      <w:pPr>
        <w:pStyle w:val="EndNoteBibliography"/>
        <w:ind w:left="720" w:hanging="720"/>
      </w:pPr>
      <w:r w:rsidRPr="00080B83">
        <w:t>20.</w:t>
      </w:r>
      <w:r w:rsidRPr="00080B83">
        <w:tab/>
        <w:t xml:space="preserve">Schoch, C.L.; Seifert, K.A.; Huhndorf, S.; Robert, V.; Spouge, J.L.; Levesque, C.A.; Chen, W.; Consortium, F.B.; List, F.B.C.A.; Bolchacova, E. Nuclear ribosomal internal transcribed spacer (ITS) region as a universal DNA barcode marker for Fungi. </w:t>
      </w:r>
      <w:r w:rsidRPr="00080B83">
        <w:rPr>
          <w:i/>
        </w:rPr>
        <w:t xml:space="preserve">Proceedings of the national academy of Sciences </w:t>
      </w:r>
      <w:r w:rsidRPr="00080B83">
        <w:rPr>
          <w:b/>
        </w:rPr>
        <w:t>2012</w:t>
      </w:r>
      <w:r w:rsidRPr="00080B83">
        <w:t xml:space="preserve">, </w:t>
      </w:r>
      <w:r w:rsidRPr="00080B83">
        <w:rPr>
          <w:i/>
        </w:rPr>
        <w:t>109</w:t>
      </w:r>
      <w:r w:rsidRPr="00080B83">
        <w:t>, 6241–6246.</w:t>
      </w:r>
    </w:p>
    <w:p w14:paraId="4D2AC842" w14:textId="77777777" w:rsidR="00080B83" w:rsidRPr="00080B83" w:rsidRDefault="00080B83" w:rsidP="00080B83">
      <w:pPr>
        <w:pStyle w:val="EndNoteBibliography"/>
        <w:ind w:left="720" w:hanging="720"/>
      </w:pPr>
      <w:r w:rsidRPr="00080B83">
        <w:t>21.</w:t>
      </w:r>
      <w:r w:rsidRPr="00080B83">
        <w:tab/>
        <w:t xml:space="preserve">Winand, R.; D’hooge, E.; Van Uffelen, A.; Bogaerts, B.; Van Braekel, J.; Hoffman, S.; Roosens, N.H.; Becker, P.; De Keersmaecker, S.C.; Vanneste, K. Investigating fungal diversity through metabarcoding for environmental samples: assessment of ITS1 and ITS2 Illumina sequencing using multiple defined mock communities with different classification methods and reference databases. </w:t>
      </w:r>
      <w:r w:rsidRPr="00080B83">
        <w:rPr>
          <w:i/>
        </w:rPr>
        <w:t xml:space="preserve">BMC genomics </w:t>
      </w:r>
      <w:r w:rsidRPr="00080B83">
        <w:rPr>
          <w:b/>
        </w:rPr>
        <w:t>2025</w:t>
      </w:r>
      <w:r w:rsidRPr="00080B83">
        <w:t xml:space="preserve">, </w:t>
      </w:r>
      <w:r w:rsidRPr="00080B83">
        <w:rPr>
          <w:i/>
        </w:rPr>
        <w:t>26</w:t>
      </w:r>
      <w:r w:rsidRPr="00080B83">
        <w:t>, 729.</w:t>
      </w:r>
    </w:p>
    <w:p w14:paraId="72976240" w14:textId="77777777" w:rsidR="00080B83" w:rsidRPr="00080B83" w:rsidRDefault="00080B83" w:rsidP="00080B83">
      <w:pPr>
        <w:pStyle w:val="EndNoteBibliography"/>
        <w:ind w:left="720" w:hanging="720"/>
      </w:pPr>
      <w:r w:rsidRPr="00080B83">
        <w:t>22.</w:t>
      </w:r>
      <w:r w:rsidRPr="00080B83">
        <w:tab/>
        <w:t xml:space="preserve">Shapkin, V.; Zelenka, T.; Větrovský, T.; Kostovčík, M.; Eichlerová, I.; Kohout, P.; Žifčáková, L.; Borovička, J.; Tomšovský, M.; Adamčík, S. Limitations of Common Molecular Markers in Fungal Biodiversity Analysis and the Benefits of Their Synergistic Use. </w:t>
      </w:r>
      <w:r w:rsidRPr="00080B83">
        <w:rPr>
          <w:i/>
        </w:rPr>
        <w:t xml:space="preserve">Molecular Ecology Resources </w:t>
      </w:r>
      <w:r w:rsidRPr="00080B83">
        <w:rPr>
          <w:b/>
        </w:rPr>
        <w:t>2026</w:t>
      </w:r>
      <w:r w:rsidRPr="00080B83">
        <w:t xml:space="preserve">, </w:t>
      </w:r>
      <w:r w:rsidRPr="00080B83">
        <w:rPr>
          <w:i/>
        </w:rPr>
        <w:t>26</w:t>
      </w:r>
      <w:r w:rsidRPr="00080B83">
        <w:t>, e70123.</w:t>
      </w:r>
    </w:p>
    <w:p w14:paraId="71949C0A" w14:textId="77777777" w:rsidR="00080B83" w:rsidRPr="00080B83" w:rsidRDefault="00080B83" w:rsidP="00080B83">
      <w:pPr>
        <w:pStyle w:val="EndNoteBibliography"/>
        <w:ind w:left="720" w:hanging="720"/>
      </w:pPr>
      <w:r w:rsidRPr="00080B83">
        <w:t>23.</w:t>
      </w:r>
      <w:r w:rsidRPr="00080B83">
        <w:tab/>
        <w:t>Turco, S.; Giubilei, I.; Mahawar, L.; Mazzaglia, A.; Albrectsen, B.R. Comparative Metabarcoding of ITS1, ITS2, and Full</w:t>
      </w:r>
      <w:r w:rsidRPr="00080B83">
        <w:rPr>
          <w:rFonts w:ascii="Cambria Math" w:hAnsi="Cambria Math" w:cs="Cambria Math"/>
        </w:rPr>
        <w:t>‐</w:t>
      </w:r>
      <w:r w:rsidRPr="00080B83">
        <w:t>Length ITS Reveals Marker</w:t>
      </w:r>
      <w:r w:rsidRPr="00080B83">
        <w:rPr>
          <w:rFonts w:ascii="Cambria Math" w:hAnsi="Cambria Math" w:cs="Cambria Math"/>
        </w:rPr>
        <w:t>‐</w:t>
      </w:r>
      <w:r w:rsidRPr="00080B83">
        <w:t>and Tissue</w:t>
      </w:r>
      <w:r w:rsidRPr="00080B83">
        <w:rPr>
          <w:rFonts w:ascii="Cambria Math" w:hAnsi="Cambria Math" w:cs="Cambria Math"/>
        </w:rPr>
        <w:t>‐</w:t>
      </w:r>
      <w:r w:rsidRPr="00080B83">
        <w:t xml:space="preserve">Specific Variation in Fungal Community Profiling in Potato. </w:t>
      </w:r>
      <w:r w:rsidRPr="00080B83">
        <w:rPr>
          <w:i/>
        </w:rPr>
        <w:t>Plant</w:t>
      </w:r>
      <w:r w:rsidRPr="00080B83">
        <w:rPr>
          <w:rFonts w:ascii="Cambria Math" w:hAnsi="Cambria Math" w:cs="Cambria Math"/>
          <w:i/>
        </w:rPr>
        <w:t>‐</w:t>
      </w:r>
      <w:r w:rsidRPr="00080B83">
        <w:rPr>
          <w:i/>
        </w:rPr>
        <w:t xml:space="preserve">Environment Interactions </w:t>
      </w:r>
      <w:r w:rsidRPr="00080B83">
        <w:rPr>
          <w:b/>
        </w:rPr>
        <w:t>2026</w:t>
      </w:r>
      <w:r w:rsidRPr="00080B83">
        <w:t xml:space="preserve">, </w:t>
      </w:r>
      <w:r w:rsidRPr="00080B83">
        <w:rPr>
          <w:i/>
        </w:rPr>
        <w:t>7</w:t>
      </w:r>
      <w:r w:rsidRPr="00080B83">
        <w:t>, e70168.</w:t>
      </w:r>
    </w:p>
    <w:p w14:paraId="532EC59D" w14:textId="77777777" w:rsidR="00080B83" w:rsidRPr="00080B83" w:rsidRDefault="00080B83" w:rsidP="00080B83">
      <w:pPr>
        <w:pStyle w:val="EndNoteBibliography"/>
        <w:ind w:left="720" w:hanging="720"/>
      </w:pPr>
      <w:r w:rsidRPr="00080B83">
        <w:t>24.</w:t>
      </w:r>
      <w:r w:rsidRPr="00080B83">
        <w:tab/>
        <w:t xml:space="preserve">Colabella, C.; Casagrande Pierantoni, D.; Corte, L.; Roscini, L.; Conti, A.; Bassetti, M.; Tascini, C.; Robert, V.; Cardinali, G. Single strain high-depth NGS reveals high rDNA (ITS-LSU) variability in the four prevalent pathogenic species of the genus Candida. </w:t>
      </w:r>
      <w:r w:rsidRPr="00080B83">
        <w:rPr>
          <w:i/>
        </w:rPr>
        <w:t xml:space="preserve">Microorganisms </w:t>
      </w:r>
      <w:r w:rsidRPr="00080B83">
        <w:rPr>
          <w:b/>
        </w:rPr>
        <w:t>2021</w:t>
      </w:r>
      <w:r w:rsidRPr="00080B83">
        <w:t xml:space="preserve">, </w:t>
      </w:r>
      <w:r w:rsidRPr="00080B83">
        <w:rPr>
          <w:i/>
        </w:rPr>
        <w:t>9</w:t>
      </w:r>
      <w:r w:rsidRPr="00080B83">
        <w:t>, 302.</w:t>
      </w:r>
    </w:p>
    <w:p w14:paraId="5FD77775" w14:textId="77777777" w:rsidR="00080B83" w:rsidRPr="00080B83" w:rsidRDefault="00080B83" w:rsidP="00080B83">
      <w:pPr>
        <w:pStyle w:val="EndNoteBibliography"/>
        <w:ind w:left="720" w:hanging="720"/>
      </w:pPr>
      <w:r w:rsidRPr="00080B83">
        <w:t>25.</w:t>
      </w:r>
      <w:r w:rsidRPr="00080B83">
        <w:tab/>
        <w:t xml:space="preserve">Colabella, C.; Corte, L.; Roscini, L.; Bassetti, M.; Tascini, C.; Mellor, J.C.; Meyer, W.; Robert, V.; Vu, D.; Cardinali, G. NGS barcode sequencing in taxonomy and diagnostics, an application in “Candida” pathogenic yeasts with a metagenomic perspective. </w:t>
      </w:r>
      <w:r w:rsidRPr="00080B83">
        <w:rPr>
          <w:i/>
        </w:rPr>
        <w:t xml:space="preserve">IMA fungus </w:t>
      </w:r>
      <w:r w:rsidRPr="00080B83">
        <w:rPr>
          <w:b/>
        </w:rPr>
        <w:t>2018</w:t>
      </w:r>
      <w:r w:rsidRPr="00080B83">
        <w:t xml:space="preserve">, </w:t>
      </w:r>
      <w:r w:rsidRPr="00080B83">
        <w:rPr>
          <w:i/>
        </w:rPr>
        <w:t>9</w:t>
      </w:r>
      <w:r w:rsidRPr="00080B83">
        <w:t>, 91–105.</w:t>
      </w:r>
    </w:p>
    <w:p w14:paraId="1A2B7E23" w14:textId="77777777" w:rsidR="00080B83" w:rsidRPr="00080B83" w:rsidRDefault="00080B83" w:rsidP="00080B83">
      <w:pPr>
        <w:pStyle w:val="EndNoteBibliography"/>
        <w:ind w:left="720" w:hanging="720"/>
      </w:pPr>
      <w:r w:rsidRPr="00080B83">
        <w:t>26.</w:t>
      </w:r>
      <w:r w:rsidRPr="00080B83">
        <w:tab/>
        <w:t xml:space="preserve">Nilsson, R.H.; Kristiansson, E.; Ryberg, M.; Hallenberg, N.; Larsson, K.-H. Intraspecific ITS variability in the kingdom Fungi as expressed in the international sequence databases and its implications for molecular species identification. </w:t>
      </w:r>
      <w:r w:rsidRPr="00080B83">
        <w:rPr>
          <w:i/>
        </w:rPr>
        <w:t xml:space="preserve">Evolutionary bioinformatics </w:t>
      </w:r>
      <w:r w:rsidRPr="00080B83">
        <w:rPr>
          <w:b/>
        </w:rPr>
        <w:t>2008</w:t>
      </w:r>
      <w:r w:rsidRPr="00080B83">
        <w:t xml:space="preserve">, </w:t>
      </w:r>
      <w:r w:rsidRPr="00080B83">
        <w:rPr>
          <w:i/>
        </w:rPr>
        <w:t>4</w:t>
      </w:r>
      <w:r w:rsidRPr="00080B83">
        <w:t>, EBO. S653.</w:t>
      </w:r>
    </w:p>
    <w:p w14:paraId="142271E4" w14:textId="77777777" w:rsidR="00080B83" w:rsidRPr="00080B83" w:rsidRDefault="00080B83" w:rsidP="00080B83">
      <w:pPr>
        <w:pStyle w:val="EndNoteBibliography"/>
        <w:ind w:left="720" w:hanging="720"/>
      </w:pPr>
      <w:r w:rsidRPr="00080B83">
        <w:t>27.</w:t>
      </w:r>
      <w:r w:rsidRPr="00080B83">
        <w:tab/>
        <w:t xml:space="preserve">Stadler, M.; Lambert, C.; Wibberg, D.; Kalinowski, J.; Cox, R.J.; Kolařík, M.; Kuhnert, E. Intragenomic polymorphisms in the ITS region of high-quality genomes of the Hypoxylaceae (Xylariales, Ascomycota). </w:t>
      </w:r>
      <w:r w:rsidRPr="00080B83">
        <w:rPr>
          <w:i/>
        </w:rPr>
        <w:t xml:space="preserve">Mycological Progress </w:t>
      </w:r>
      <w:r w:rsidRPr="00080B83">
        <w:rPr>
          <w:b/>
        </w:rPr>
        <w:t>2020</w:t>
      </w:r>
      <w:r w:rsidRPr="00080B83">
        <w:t xml:space="preserve">, </w:t>
      </w:r>
      <w:r w:rsidRPr="00080B83">
        <w:rPr>
          <w:i/>
        </w:rPr>
        <w:t>19</w:t>
      </w:r>
      <w:r w:rsidRPr="00080B83">
        <w:t>, 235–245.</w:t>
      </w:r>
    </w:p>
    <w:p w14:paraId="7BE3FCFF" w14:textId="77777777" w:rsidR="00080B83" w:rsidRPr="00080B83" w:rsidRDefault="00080B83" w:rsidP="00080B83">
      <w:pPr>
        <w:pStyle w:val="EndNoteBibliography"/>
        <w:ind w:left="720" w:hanging="720"/>
      </w:pPr>
      <w:r w:rsidRPr="00080B83">
        <w:t>28.</w:t>
      </w:r>
      <w:r w:rsidRPr="00080B83">
        <w:tab/>
        <w:t xml:space="preserve">Rzehak, T.; Praeg, N.; Galla, G.; Seeber, J.; Hauffe, H.C.; Illmer, P. Comparison of commonly used software pipelines for analyzing fungal metabarcoding data. </w:t>
      </w:r>
      <w:r w:rsidRPr="00080B83">
        <w:rPr>
          <w:i/>
        </w:rPr>
        <w:t xml:space="preserve">BMC genomics </w:t>
      </w:r>
      <w:r w:rsidRPr="00080B83">
        <w:rPr>
          <w:b/>
        </w:rPr>
        <w:t>2024</w:t>
      </w:r>
      <w:r w:rsidRPr="00080B83">
        <w:t xml:space="preserve">, </w:t>
      </w:r>
      <w:r w:rsidRPr="00080B83">
        <w:rPr>
          <w:i/>
        </w:rPr>
        <w:t>25</w:t>
      </w:r>
      <w:r w:rsidRPr="00080B83">
        <w:t>, 1085.</w:t>
      </w:r>
    </w:p>
    <w:p w14:paraId="7821DFE3" w14:textId="77777777" w:rsidR="00080B83" w:rsidRPr="00080B83" w:rsidRDefault="00080B83" w:rsidP="00080B83">
      <w:pPr>
        <w:pStyle w:val="EndNoteBibliography"/>
        <w:ind w:left="720" w:hanging="720"/>
      </w:pPr>
      <w:r w:rsidRPr="00080B83">
        <w:t>29.</w:t>
      </w:r>
      <w:r w:rsidRPr="00080B83">
        <w:tab/>
        <w:t>Bista, I.; Lino, A. Long</w:t>
      </w:r>
      <w:r w:rsidRPr="00080B83">
        <w:rPr>
          <w:rFonts w:ascii="Cambria Math" w:hAnsi="Cambria Math" w:cs="Cambria Math"/>
        </w:rPr>
        <w:t>‐</w:t>
      </w:r>
      <w:r w:rsidRPr="00080B83">
        <w:t xml:space="preserve">read sequencing for biodiversity analyses—A comprehensive guide. </w:t>
      </w:r>
      <w:r w:rsidRPr="00080B83">
        <w:rPr>
          <w:i/>
        </w:rPr>
        <w:t xml:space="preserve">Methods in Ecology and Evolution </w:t>
      </w:r>
      <w:r w:rsidRPr="00080B83">
        <w:rPr>
          <w:b/>
        </w:rPr>
        <w:t>2026</w:t>
      </w:r>
      <w:r w:rsidRPr="00080B83">
        <w:t xml:space="preserve">, </w:t>
      </w:r>
      <w:r w:rsidRPr="00080B83">
        <w:rPr>
          <w:i/>
        </w:rPr>
        <w:t>17</w:t>
      </w:r>
      <w:r w:rsidRPr="00080B83">
        <w:t>, 650–667.</w:t>
      </w:r>
    </w:p>
    <w:p w14:paraId="4C9B8D5D" w14:textId="77777777" w:rsidR="00080B83" w:rsidRPr="00080B83" w:rsidRDefault="00080B83" w:rsidP="00080B83">
      <w:pPr>
        <w:pStyle w:val="EndNoteBibliography"/>
        <w:ind w:left="720" w:hanging="720"/>
      </w:pPr>
      <w:r w:rsidRPr="00080B83">
        <w:t>30.</w:t>
      </w:r>
      <w:r w:rsidRPr="00080B83">
        <w:tab/>
        <w:t>Skouroliakou, D.I.; Dupont, D.W.; Vandenboer, Y.; D'hont, S.; Sabbe, K.; Schön, I. Unveiling Protist Composition and Diversity Patterns With eDNA Metabarcoding: Comparing Short</w:t>
      </w:r>
      <w:r w:rsidRPr="00080B83">
        <w:rPr>
          <w:rFonts w:ascii="Cambria Math" w:hAnsi="Cambria Math" w:cs="Cambria Math"/>
        </w:rPr>
        <w:t>‐</w:t>
      </w:r>
      <w:r w:rsidRPr="00080B83">
        <w:t>and Long</w:t>
      </w:r>
      <w:r w:rsidRPr="00080B83">
        <w:rPr>
          <w:rFonts w:ascii="Cambria Math" w:hAnsi="Cambria Math" w:cs="Cambria Math"/>
        </w:rPr>
        <w:t>‐</w:t>
      </w:r>
      <w:r w:rsidRPr="00080B83">
        <w:t xml:space="preserve">Read Approaches. </w:t>
      </w:r>
      <w:r w:rsidRPr="00080B83">
        <w:rPr>
          <w:i/>
        </w:rPr>
        <w:t xml:space="preserve">Ecology and Evolution </w:t>
      </w:r>
      <w:r w:rsidRPr="00080B83">
        <w:rPr>
          <w:b/>
        </w:rPr>
        <w:t>2026</w:t>
      </w:r>
      <w:r w:rsidRPr="00080B83">
        <w:t xml:space="preserve">, </w:t>
      </w:r>
      <w:r w:rsidRPr="00080B83">
        <w:rPr>
          <w:i/>
        </w:rPr>
        <w:t>16</w:t>
      </w:r>
      <w:r w:rsidRPr="00080B83">
        <w:t>, e73218.</w:t>
      </w:r>
    </w:p>
    <w:p w14:paraId="6A0C0DE9" w14:textId="77777777" w:rsidR="00080B83" w:rsidRPr="00080B83" w:rsidRDefault="00080B83" w:rsidP="00080B83">
      <w:pPr>
        <w:pStyle w:val="EndNoteBibliography"/>
        <w:ind w:left="720" w:hanging="720"/>
      </w:pPr>
      <w:r w:rsidRPr="00080B83">
        <w:t>31.</w:t>
      </w:r>
      <w:r w:rsidRPr="00080B83">
        <w:tab/>
        <w:t>Ritter, C.D.; Dunthorn, M.; Anslan, S.; de Lima, V.X.; Tedersoo, L.; Nilsson, R.H.; Antonelli, A. Advancing biodiversity assessments with environmental DNA: Long</w:t>
      </w:r>
      <w:r w:rsidRPr="00080B83">
        <w:rPr>
          <w:rFonts w:ascii="Cambria Math" w:hAnsi="Cambria Math" w:cs="Cambria Math"/>
        </w:rPr>
        <w:t>‐</w:t>
      </w:r>
      <w:r w:rsidRPr="00080B83">
        <w:t xml:space="preserve">read technologies help reveal the drivers of Amazonian fungal diversity. </w:t>
      </w:r>
      <w:r w:rsidRPr="00080B83">
        <w:rPr>
          <w:i/>
        </w:rPr>
        <w:t xml:space="preserve">Ecology and Evolution </w:t>
      </w:r>
      <w:r w:rsidRPr="00080B83">
        <w:rPr>
          <w:b/>
        </w:rPr>
        <w:t>2020</w:t>
      </w:r>
      <w:r w:rsidRPr="00080B83">
        <w:t xml:space="preserve">, </w:t>
      </w:r>
      <w:r w:rsidRPr="00080B83">
        <w:rPr>
          <w:i/>
        </w:rPr>
        <w:t>10</w:t>
      </w:r>
      <w:r w:rsidRPr="00080B83">
        <w:t>, 7509–7524.</w:t>
      </w:r>
    </w:p>
    <w:p w14:paraId="7EA3514C" w14:textId="77777777" w:rsidR="00080B83" w:rsidRPr="00080B83" w:rsidRDefault="00080B83" w:rsidP="00080B83">
      <w:pPr>
        <w:pStyle w:val="EndNoteBibliography"/>
        <w:ind w:left="720" w:hanging="720"/>
      </w:pPr>
      <w:r w:rsidRPr="00080B83">
        <w:t>32.</w:t>
      </w:r>
      <w:r w:rsidRPr="00080B83">
        <w:tab/>
        <w:t>Mousavi</w:t>
      </w:r>
      <w:r w:rsidRPr="00080B83">
        <w:rPr>
          <w:rFonts w:ascii="Cambria Math" w:hAnsi="Cambria Math" w:cs="Cambria Math"/>
        </w:rPr>
        <w:t>‐</w:t>
      </w:r>
      <w:r w:rsidRPr="00080B83">
        <w:t xml:space="preserve">Derazmahalleh, M.; Stott, A.; Lines, R.; Peverley, G.; Nester, G.; Simpson, T.; Zawierta, M.; De La Pierre, M.; Bunce, M.; Christophersen, C.T. eDNAFlow, an automated, reproducible and scalable workflow for analysis of environmental DNA </w:t>
      </w:r>
      <w:r w:rsidRPr="00080B83">
        <w:lastRenderedPageBreak/>
        <w:t xml:space="preserve">sequences exploiting Nextflow and Singularity. </w:t>
      </w:r>
      <w:r w:rsidRPr="00080B83">
        <w:rPr>
          <w:i/>
        </w:rPr>
        <w:t xml:space="preserve">Molecular Ecology Resources </w:t>
      </w:r>
      <w:r w:rsidRPr="00080B83">
        <w:rPr>
          <w:b/>
        </w:rPr>
        <w:t>2021</w:t>
      </w:r>
      <w:r w:rsidRPr="00080B83">
        <w:t xml:space="preserve">, </w:t>
      </w:r>
      <w:r w:rsidRPr="00080B83">
        <w:rPr>
          <w:i/>
        </w:rPr>
        <w:t>21</w:t>
      </w:r>
      <w:r w:rsidRPr="00080B83">
        <w:t>, 1697–1704.</w:t>
      </w:r>
    </w:p>
    <w:p w14:paraId="3E949EA5" w14:textId="77777777" w:rsidR="00080B83" w:rsidRPr="00080B83" w:rsidRDefault="00080B83" w:rsidP="00080B83">
      <w:pPr>
        <w:pStyle w:val="EndNoteBibliography"/>
        <w:ind w:left="720" w:hanging="720"/>
      </w:pPr>
      <w:r w:rsidRPr="00080B83">
        <w:t>33.</w:t>
      </w:r>
      <w:r w:rsidRPr="00080B83">
        <w:tab/>
        <w:t xml:space="preserve">Ewels, P.A.; Peltzer, A.; Fillinger, S.; Patel, H.; Alneberg, J.; Wilm, A.; Garcia, M.U.; Di Tommaso, P.; Nahnsen, S. The nf-core framework for community-curated bioinformatics pipelines. </w:t>
      </w:r>
      <w:r w:rsidRPr="00080B83">
        <w:rPr>
          <w:i/>
        </w:rPr>
        <w:t xml:space="preserve">Nature biotechnology </w:t>
      </w:r>
      <w:r w:rsidRPr="00080B83">
        <w:rPr>
          <w:b/>
        </w:rPr>
        <w:t>2020</w:t>
      </w:r>
      <w:r w:rsidRPr="00080B83">
        <w:t xml:space="preserve">, </w:t>
      </w:r>
      <w:r w:rsidRPr="00080B83">
        <w:rPr>
          <w:i/>
        </w:rPr>
        <w:t>38</w:t>
      </w:r>
      <w:r w:rsidRPr="00080B83">
        <w:t>, 276–278.</w:t>
      </w:r>
    </w:p>
    <w:p w14:paraId="1B186ED8" w14:textId="77777777" w:rsidR="00080B83" w:rsidRPr="00080B83" w:rsidRDefault="00080B83" w:rsidP="00080B83">
      <w:pPr>
        <w:pStyle w:val="EndNoteBibliography"/>
        <w:ind w:left="720" w:hanging="720"/>
      </w:pPr>
      <w:r w:rsidRPr="00080B83">
        <w:t>34.</w:t>
      </w:r>
      <w:r w:rsidRPr="00080B83">
        <w:tab/>
        <w:t xml:space="preserve">Wratten, L.; Wilm, A.; Göke, J. Reproducible, scalable, and shareable analysis pipelines with bioinformatics workflow managers. </w:t>
      </w:r>
      <w:r w:rsidRPr="00080B83">
        <w:rPr>
          <w:i/>
        </w:rPr>
        <w:t xml:space="preserve">Nature methods </w:t>
      </w:r>
      <w:r w:rsidRPr="00080B83">
        <w:rPr>
          <w:b/>
        </w:rPr>
        <w:t>2021</w:t>
      </w:r>
      <w:r w:rsidRPr="00080B83">
        <w:t xml:space="preserve">, </w:t>
      </w:r>
      <w:r w:rsidRPr="00080B83">
        <w:rPr>
          <w:i/>
        </w:rPr>
        <w:t>18</w:t>
      </w:r>
      <w:r w:rsidRPr="00080B83">
        <w:t>, 1161–1168.</w:t>
      </w:r>
    </w:p>
    <w:p w14:paraId="0E7769B3" w14:textId="77777777" w:rsidR="00080B83" w:rsidRPr="00080B83" w:rsidRDefault="00080B83" w:rsidP="00080B83">
      <w:pPr>
        <w:pStyle w:val="EndNoteBibliography"/>
        <w:ind w:left="720" w:hanging="720"/>
      </w:pPr>
      <w:r w:rsidRPr="00080B83">
        <w:t>35.</w:t>
      </w:r>
      <w:r w:rsidRPr="00080B83">
        <w:tab/>
        <w:t xml:space="preserve">The Galaxy platform for accessible, reproducible and collaborative biomedical analyses: 2022 update. </w:t>
      </w:r>
      <w:r w:rsidRPr="00080B83">
        <w:rPr>
          <w:i/>
        </w:rPr>
        <w:t xml:space="preserve">Nucleic acids research </w:t>
      </w:r>
      <w:r w:rsidRPr="00080B83">
        <w:rPr>
          <w:b/>
        </w:rPr>
        <w:t>2022</w:t>
      </w:r>
      <w:r w:rsidRPr="00080B83">
        <w:t xml:space="preserve">, </w:t>
      </w:r>
      <w:r w:rsidRPr="00080B83">
        <w:rPr>
          <w:i/>
        </w:rPr>
        <w:t>50</w:t>
      </w:r>
      <w:r w:rsidRPr="00080B83">
        <w:t>, W345–W351.</w:t>
      </w:r>
    </w:p>
    <w:p w14:paraId="39331195" w14:textId="77777777" w:rsidR="00080B83" w:rsidRPr="00080B83" w:rsidRDefault="00080B83" w:rsidP="00080B83">
      <w:pPr>
        <w:pStyle w:val="EndNoteBibliography"/>
        <w:ind w:left="720" w:hanging="720"/>
      </w:pPr>
      <w:r w:rsidRPr="00080B83">
        <w:t>36.</w:t>
      </w:r>
      <w:r w:rsidRPr="00080B83">
        <w:tab/>
        <w:t>Macher, T.H.; Beermann, A.J.; Leese, F. TaxonTableTools: A comprehensive, platform</w:t>
      </w:r>
      <w:r w:rsidRPr="00080B83">
        <w:rPr>
          <w:rFonts w:ascii="Cambria Math" w:hAnsi="Cambria Math" w:cs="Cambria Math"/>
        </w:rPr>
        <w:t>‐</w:t>
      </w:r>
      <w:r w:rsidRPr="00080B83">
        <w:t xml:space="preserve">independent graphical user interface software to explore and visualise DNA metabarcoding data. </w:t>
      </w:r>
      <w:r w:rsidRPr="00080B83">
        <w:rPr>
          <w:i/>
        </w:rPr>
        <w:t xml:space="preserve">Molecular Ecology Resources </w:t>
      </w:r>
      <w:r w:rsidRPr="00080B83">
        <w:rPr>
          <w:b/>
        </w:rPr>
        <w:t>2021</w:t>
      </w:r>
      <w:r w:rsidRPr="00080B83">
        <w:t xml:space="preserve">, </w:t>
      </w:r>
      <w:r w:rsidRPr="00080B83">
        <w:rPr>
          <w:i/>
        </w:rPr>
        <w:t>21</w:t>
      </w:r>
      <w:r w:rsidRPr="00080B83">
        <w:t>, 1705–1714.</w:t>
      </w:r>
    </w:p>
    <w:p w14:paraId="033011CD" w14:textId="77777777" w:rsidR="00080B83" w:rsidRPr="00080B83" w:rsidRDefault="00080B83" w:rsidP="00080B83">
      <w:pPr>
        <w:pStyle w:val="EndNoteBibliography"/>
        <w:ind w:left="720" w:hanging="720"/>
      </w:pPr>
      <w:r w:rsidRPr="00080B83">
        <w:t>37.</w:t>
      </w:r>
      <w:r w:rsidRPr="00080B83">
        <w:tab/>
        <w:t>Vasar, M.; Davison, J.; Neuenkamp, L.; Sepp, S.K.; Young, J.P.W.; Moora, M.; Öpik, M. User</w:t>
      </w:r>
      <w:r w:rsidRPr="00080B83">
        <w:rPr>
          <w:rFonts w:ascii="Cambria Math" w:hAnsi="Cambria Math" w:cs="Cambria Math"/>
        </w:rPr>
        <w:t>‐</w:t>
      </w:r>
      <w:r w:rsidRPr="00080B83">
        <w:t xml:space="preserve">friendly bioinformatics pipeline gDAT (graphical downstream analysis tool) for analysing rDNA sequences. </w:t>
      </w:r>
      <w:r w:rsidRPr="00080B83">
        <w:rPr>
          <w:i/>
        </w:rPr>
        <w:t xml:space="preserve">Molecular Ecology Resources </w:t>
      </w:r>
      <w:r w:rsidRPr="00080B83">
        <w:rPr>
          <w:b/>
        </w:rPr>
        <w:t>2021</w:t>
      </w:r>
      <w:r w:rsidRPr="00080B83">
        <w:t xml:space="preserve">, </w:t>
      </w:r>
      <w:r w:rsidRPr="00080B83">
        <w:rPr>
          <w:i/>
        </w:rPr>
        <w:t>21</w:t>
      </w:r>
      <w:r w:rsidRPr="00080B83">
        <w:t>, 1380–1392.</w:t>
      </w:r>
    </w:p>
    <w:p w14:paraId="2F09EE7B" w14:textId="77777777" w:rsidR="00080B83" w:rsidRPr="00080B83" w:rsidRDefault="00080B83" w:rsidP="00080B83">
      <w:pPr>
        <w:pStyle w:val="EndNoteBibliography"/>
        <w:ind w:left="720" w:hanging="720"/>
      </w:pPr>
      <w:r w:rsidRPr="00080B83">
        <w:t>38.</w:t>
      </w:r>
      <w:r w:rsidRPr="00080B83">
        <w:tab/>
        <w:t xml:space="preserve">Li, H.; Handsaker, B.; Wysoker, A.; Fennell, T.; Ruan, J.; Homer, N.; Marth, G.; Abecasis, G.; Durbin, R.; Subgroup, G.P.D.P. The sequence alignment/map format and SAMtools. </w:t>
      </w:r>
      <w:r w:rsidRPr="00080B83">
        <w:rPr>
          <w:i/>
        </w:rPr>
        <w:t xml:space="preserve">bioinformatics </w:t>
      </w:r>
      <w:r w:rsidRPr="00080B83">
        <w:rPr>
          <w:b/>
        </w:rPr>
        <w:t>2009</w:t>
      </w:r>
      <w:r w:rsidRPr="00080B83">
        <w:t xml:space="preserve">, </w:t>
      </w:r>
      <w:r w:rsidRPr="00080B83">
        <w:rPr>
          <w:i/>
        </w:rPr>
        <w:t>25</w:t>
      </w:r>
      <w:r w:rsidRPr="00080B83">
        <w:t>, 2078–2079.</w:t>
      </w:r>
    </w:p>
    <w:p w14:paraId="2F71B056" w14:textId="77777777" w:rsidR="00080B83" w:rsidRPr="00080B83" w:rsidRDefault="00080B83" w:rsidP="00080B83">
      <w:pPr>
        <w:pStyle w:val="EndNoteBibliography"/>
        <w:ind w:left="720" w:hanging="720"/>
      </w:pPr>
      <w:r w:rsidRPr="00080B83">
        <w:t>39.</w:t>
      </w:r>
      <w:r w:rsidRPr="00080B83">
        <w:tab/>
        <w:t xml:space="preserve">Abarenkov, K.; Zirk, A.; Piirmann, T.; Pöhönen, R.; Ivanov, F.; Nilsson, R.H.; Kõljalg, U. UNITE general FASTA release for eukaryotes 2. </w:t>
      </w:r>
      <w:r w:rsidRPr="00080B83">
        <w:rPr>
          <w:i/>
        </w:rPr>
        <w:t xml:space="preserve">(No Title) </w:t>
      </w:r>
      <w:r w:rsidRPr="00080B83">
        <w:rPr>
          <w:b/>
        </w:rPr>
        <w:t>2020</w:t>
      </w:r>
      <w:r w:rsidRPr="00080B83">
        <w:t>.</w:t>
      </w:r>
    </w:p>
    <w:p w14:paraId="07AB5775" w14:textId="77777777" w:rsidR="00080B83" w:rsidRPr="00080B83" w:rsidRDefault="00080B83" w:rsidP="00080B83">
      <w:pPr>
        <w:pStyle w:val="EndNoteBibliography"/>
        <w:ind w:left="720" w:hanging="720"/>
      </w:pPr>
      <w:r w:rsidRPr="00080B83">
        <w:t>40.</w:t>
      </w:r>
      <w:r w:rsidRPr="00080B83">
        <w:tab/>
        <w:t xml:space="preserve">Nilsson, R.H.; Larsson, K.-H.; Taylor, A.F.S.; Bengtsson-Palme, J.; Jeppesen, T.S.; Schigel, D.; Kennedy, P.; Picard, K.; Glöckner, F.O.; Tedersoo, L. The UNITE database for molecular identification of fungi: handling dark taxa and parallel taxonomic classifications. </w:t>
      </w:r>
      <w:r w:rsidRPr="00080B83">
        <w:rPr>
          <w:i/>
        </w:rPr>
        <w:t xml:space="preserve">Nucleic acids research </w:t>
      </w:r>
      <w:r w:rsidRPr="00080B83">
        <w:rPr>
          <w:b/>
        </w:rPr>
        <w:t>2019</w:t>
      </w:r>
      <w:r w:rsidRPr="00080B83">
        <w:t xml:space="preserve">, </w:t>
      </w:r>
      <w:r w:rsidRPr="00080B83">
        <w:rPr>
          <w:i/>
        </w:rPr>
        <w:t>47</w:t>
      </w:r>
      <w:r w:rsidRPr="00080B83">
        <w:t>, D259–D264.</w:t>
      </w:r>
    </w:p>
    <w:p w14:paraId="37DC465F" w14:textId="77777777" w:rsidR="00080B83" w:rsidRPr="00080B83" w:rsidRDefault="00080B83" w:rsidP="00080B83">
      <w:pPr>
        <w:pStyle w:val="EndNoteBibliography"/>
        <w:ind w:left="720" w:hanging="720"/>
      </w:pPr>
      <w:r w:rsidRPr="00080B83">
        <w:t>41.</w:t>
      </w:r>
      <w:r w:rsidRPr="00080B83">
        <w:tab/>
        <w:t xml:space="preserve">Quast, C.; Pruesse, E.; Yilmaz, P.; Gerken, J.; Schweer, T.; Yarza, P.; Peplies, J.; Glöckner, F.O. The SILVA ribosomal RNA gene database project: improved data processing and web-based tools. </w:t>
      </w:r>
      <w:r w:rsidRPr="00080B83">
        <w:rPr>
          <w:i/>
        </w:rPr>
        <w:t xml:space="preserve">Nucleic acids research </w:t>
      </w:r>
      <w:r w:rsidRPr="00080B83">
        <w:rPr>
          <w:b/>
        </w:rPr>
        <w:t>2012</w:t>
      </w:r>
      <w:r w:rsidRPr="00080B83">
        <w:t xml:space="preserve">, </w:t>
      </w:r>
      <w:r w:rsidRPr="00080B83">
        <w:rPr>
          <w:i/>
        </w:rPr>
        <w:t>41</w:t>
      </w:r>
      <w:r w:rsidRPr="00080B83">
        <w:t>, D590–D596.</w:t>
      </w:r>
    </w:p>
    <w:p w14:paraId="2839E998" w14:textId="77777777" w:rsidR="00080B83" w:rsidRPr="00080B83" w:rsidRDefault="00080B83" w:rsidP="00080B83">
      <w:pPr>
        <w:pStyle w:val="EndNoteBibliography"/>
        <w:ind w:left="720" w:hanging="720"/>
      </w:pPr>
      <w:r w:rsidRPr="00080B83">
        <w:t>42.</w:t>
      </w:r>
      <w:r w:rsidRPr="00080B83">
        <w:tab/>
        <w:t xml:space="preserve">Tedersoo, L.; Hosseyni Moghaddam, M.S.; Mikryukov, V.; Hakimzadeh, A.; Bahram, M.; Nilsson, R.H.; Yatsiuk, I.; Geisen, S.; Schwelm, A.; Piwosz, K. EUKARYOME: the rRNA gene reference database for identification of all eukaryotes. </w:t>
      </w:r>
      <w:r w:rsidRPr="00080B83">
        <w:rPr>
          <w:i/>
        </w:rPr>
        <w:t xml:space="preserve">Database </w:t>
      </w:r>
      <w:r w:rsidRPr="00080B83">
        <w:rPr>
          <w:b/>
        </w:rPr>
        <w:t>2024</w:t>
      </w:r>
      <w:r w:rsidRPr="00080B83">
        <w:t xml:space="preserve">, </w:t>
      </w:r>
      <w:r w:rsidRPr="00080B83">
        <w:rPr>
          <w:i/>
        </w:rPr>
        <w:t>2024</w:t>
      </w:r>
      <w:r w:rsidRPr="00080B83">
        <w:t>, baae043.</w:t>
      </w:r>
    </w:p>
    <w:p w14:paraId="788714E8" w14:textId="77777777" w:rsidR="00080B83" w:rsidRPr="00080B83" w:rsidRDefault="00080B83" w:rsidP="00080B83">
      <w:pPr>
        <w:pStyle w:val="EndNoteBibliography"/>
        <w:ind w:left="720" w:hanging="720"/>
      </w:pPr>
      <w:r w:rsidRPr="00080B83">
        <w:t>43.</w:t>
      </w:r>
      <w:r w:rsidRPr="00080B83">
        <w:tab/>
        <w:t>Raasveldt, M.; Mühleisen, H. Duckdb: an embeddable analytical database. In Proceedings of the Proceedings of the 2019 international conference on management of data, 2019; pp. 1981–1984.</w:t>
      </w:r>
    </w:p>
    <w:p w14:paraId="7F12293A" w14:textId="77777777" w:rsidR="00080B83" w:rsidRPr="00080B83" w:rsidRDefault="00080B83" w:rsidP="00080B83">
      <w:pPr>
        <w:pStyle w:val="EndNoteBibliography"/>
        <w:ind w:left="720" w:hanging="720"/>
      </w:pPr>
      <w:r w:rsidRPr="00080B83">
        <w:t>44.</w:t>
      </w:r>
      <w:r w:rsidRPr="00080B83">
        <w:tab/>
        <w:t xml:space="preserve">Conti, A.; Casagrande Pierantoni, D.; Robert, V.; Corte, L.; Cardinali, G. MinION sequencing of yeast mock communities to assess the effect of databases and ITS-LSU markers on the reliability of metabarcoding analysis. </w:t>
      </w:r>
      <w:r w:rsidRPr="00080B83">
        <w:rPr>
          <w:i/>
        </w:rPr>
        <w:t xml:space="preserve">Microbiology spectrum </w:t>
      </w:r>
      <w:r w:rsidRPr="00080B83">
        <w:rPr>
          <w:b/>
        </w:rPr>
        <w:t>2023</w:t>
      </w:r>
      <w:r w:rsidRPr="00080B83">
        <w:t xml:space="preserve">, </w:t>
      </w:r>
      <w:r w:rsidRPr="00080B83">
        <w:rPr>
          <w:i/>
        </w:rPr>
        <w:t>11</w:t>
      </w:r>
      <w:r w:rsidRPr="00080B83">
        <w:t>, e01052–01022.</w:t>
      </w:r>
    </w:p>
    <w:p w14:paraId="47198DC3" w14:textId="77777777" w:rsidR="00080B83" w:rsidRPr="00080B83" w:rsidRDefault="00080B83" w:rsidP="00080B83">
      <w:pPr>
        <w:pStyle w:val="EndNoteBibliography"/>
        <w:ind w:left="720" w:hanging="720"/>
      </w:pPr>
      <w:r w:rsidRPr="00080B83">
        <w:t>45.</w:t>
      </w:r>
      <w:r w:rsidRPr="00080B83">
        <w:tab/>
        <w:t>Doorenspleet, K.; Jansen, L.; Oosterbroek, S.; Kamermans, P.; Bos, O.; Wurz, E.; Murk, A.; Nijland, R. The Long and the Short of It: Nanopore</w:t>
      </w:r>
      <w:r w:rsidRPr="00080B83">
        <w:rPr>
          <w:rFonts w:ascii="Cambria Math" w:hAnsi="Cambria Math" w:cs="Cambria Math"/>
        </w:rPr>
        <w:t>‐</w:t>
      </w:r>
      <w:r w:rsidRPr="00080B83">
        <w:t>Based eDNA Metabarcoding of Marine Vertebrates Works; Sensitivity and Species</w:t>
      </w:r>
      <w:r w:rsidRPr="00080B83">
        <w:rPr>
          <w:rFonts w:ascii="Cambria Math" w:hAnsi="Cambria Math" w:cs="Cambria Math"/>
        </w:rPr>
        <w:t>‐</w:t>
      </w:r>
      <w:r w:rsidRPr="00080B83">
        <w:t xml:space="preserve">Level Assignment Depend on Amplicon Lengths. </w:t>
      </w:r>
      <w:r w:rsidRPr="00080B83">
        <w:rPr>
          <w:i/>
        </w:rPr>
        <w:t xml:space="preserve">Molecular Ecology Resources </w:t>
      </w:r>
      <w:r w:rsidRPr="00080B83">
        <w:rPr>
          <w:b/>
        </w:rPr>
        <w:t>2025</w:t>
      </w:r>
      <w:r w:rsidRPr="00080B83">
        <w:t xml:space="preserve">, </w:t>
      </w:r>
      <w:r w:rsidRPr="00080B83">
        <w:rPr>
          <w:i/>
        </w:rPr>
        <w:t>25</w:t>
      </w:r>
      <w:r w:rsidRPr="00080B83">
        <w:t>, e14079.</w:t>
      </w:r>
    </w:p>
    <w:p w14:paraId="4FB8A1BC" w14:textId="77777777" w:rsidR="00080B83" w:rsidRPr="00080B83" w:rsidRDefault="00080B83" w:rsidP="00080B83">
      <w:pPr>
        <w:pStyle w:val="EndNoteBibliography"/>
        <w:ind w:left="720" w:hanging="720"/>
      </w:pPr>
      <w:r w:rsidRPr="00080B83">
        <w:t>46.</w:t>
      </w:r>
      <w:r w:rsidRPr="00080B83">
        <w:tab/>
        <w:t xml:space="preserve">Min, X.J.; Hickey, D.A. Assessing the effect of varying sequence length on DNA barcoding of fungi. </w:t>
      </w:r>
      <w:r w:rsidRPr="00080B83">
        <w:rPr>
          <w:i/>
        </w:rPr>
        <w:t xml:space="preserve">Molecular Ecology Notes </w:t>
      </w:r>
      <w:r w:rsidRPr="00080B83">
        <w:rPr>
          <w:b/>
        </w:rPr>
        <w:t>2007</w:t>
      </w:r>
      <w:r w:rsidRPr="00080B83">
        <w:t xml:space="preserve">, </w:t>
      </w:r>
      <w:r w:rsidRPr="00080B83">
        <w:rPr>
          <w:i/>
        </w:rPr>
        <w:t>7</w:t>
      </w:r>
      <w:r w:rsidRPr="00080B83">
        <w:t>, 365–373.</w:t>
      </w:r>
    </w:p>
    <w:p w14:paraId="780BCDA1" w14:textId="77777777" w:rsidR="00080B83" w:rsidRPr="00080B83" w:rsidRDefault="00080B83" w:rsidP="00080B83">
      <w:pPr>
        <w:pStyle w:val="EndNoteBibliography"/>
        <w:ind w:left="720" w:hanging="720"/>
      </w:pPr>
      <w:r w:rsidRPr="00080B83">
        <w:t>47.</w:t>
      </w:r>
      <w:r w:rsidRPr="00080B83">
        <w:tab/>
        <w:t>Estensmo, E.L.F.; Maurice, S.; Morgado, L.; Martin</w:t>
      </w:r>
      <w:r w:rsidRPr="00080B83">
        <w:rPr>
          <w:rFonts w:ascii="Cambria Math" w:hAnsi="Cambria Math" w:cs="Cambria Math"/>
        </w:rPr>
        <w:t>‐</w:t>
      </w:r>
      <w:r w:rsidRPr="00080B83">
        <w:t xml:space="preserve">Sanchez, P.M.; Skrede, I.; Kauserud, H. The influence of intraspecific sequence variation during DNA metabarcoding: A case study of eleven fungal species. </w:t>
      </w:r>
      <w:r w:rsidRPr="00080B83">
        <w:rPr>
          <w:i/>
        </w:rPr>
        <w:t xml:space="preserve">Molecular Ecology Resources </w:t>
      </w:r>
      <w:r w:rsidRPr="00080B83">
        <w:rPr>
          <w:b/>
        </w:rPr>
        <w:t>2021</w:t>
      </w:r>
      <w:r w:rsidRPr="00080B83">
        <w:t xml:space="preserve">, </w:t>
      </w:r>
      <w:r w:rsidRPr="00080B83">
        <w:rPr>
          <w:i/>
        </w:rPr>
        <w:t>21</w:t>
      </w:r>
      <w:r w:rsidRPr="00080B83">
        <w:t>, 1141–1148.</w:t>
      </w:r>
    </w:p>
    <w:p w14:paraId="09674075" w14:textId="77777777" w:rsidR="00080B83" w:rsidRPr="00080B83" w:rsidRDefault="00080B83" w:rsidP="00080B83">
      <w:pPr>
        <w:pStyle w:val="EndNoteBibliography"/>
        <w:ind w:left="720" w:hanging="720"/>
      </w:pPr>
      <w:r w:rsidRPr="00080B83">
        <w:t>48.</w:t>
      </w:r>
      <w:r w:rsidRPr="00080B83">
        <w:tab/>
        <w:t xml:space="preserve">Korabečná, M.; Liška, V.; Fajfrlík, K. Primers ITS1, ITS2 and ITS4 detect the intraspecies variability in the internal transcribed spacers and 5.8 S rRNA gene region in clinical isolates of fungi. </w:t>
      </w:r>
      <w:r w:rsidRPr="00080B83">
        <w:rPr>
          <w:i/>
        </w:rPr>
        <w:t xml:space="preserve">Folia microbiologica </w:t>
      </w:r>
      <w:r w:rsidRPr="00080B83">
        <w:rPr>
          <w:b/>
        </w:rPr>
        <w:t>2003</w:t>
      </w:r>
      <w:r w:rsidRPr="00080B83">
        <w:t xml:space="preserve">, </w:t>
      </w:r>
      <w:r w:rsidRPr="00080B83">
        <w:rPr>
          <w:i/>
        </w:rPr>
        <w:t>48</w:t>
      </w:r>
      <w:r w:rsidRPr="00080B83">
        <w:t>, 233–238.</w:t>
      </w:r>
    </w:p>
    <w:p w14:paraId="3693A4C2" w14:textId="77777777" w:rsidR="00080B83" w:rsidRPr="00080B83" w:rsidRDefault="00080B83" w:rsidP="00080B83">
      <w:pPr>
        <w:pStyle w:val="EndNoteBibliography"/>
        <w:ind w:left="720" w:hanging="720"/>
      </w:pPr>
      <w:r w:rsidRPr="00080B83">
        <w:t>49.</w:t>
      </w:r>
      <w:r w:rsidRPr="00080B83">
        <w:tab/>
        <w:t xml:space="preserve">Vu, D.; Groenewald, M.; De Vries, M.; Gehrmann, T.; Stielow, B.; Eberhardt, U.; Al-Hatmi, A.; Groenewald, J.Z.; Cardinali, G.; Houbraken, J. Large-scale generation and </w:t>
      </w:r>
      <w:r w:rsidRPr="00080B83">
        <w:lastRenderedPageBreak/>
        <w:t xml:space="preserve">analysis of filamentous fungal DNA barcodes boosts coverage for kingdom fungi and reveals thresholds for fungal species and higher taxon delimitation. </w:t>
      </w:r>
      <w:r w:rsidRPr="00080B83">
        <w:rPr>
          <w:i/>
        </w:rPr>
        <w:t xml:space="preserve">Studies in mycology </w:t>
      </w:r>
      <w:r w:rsidRPr="00080B83">
        <w:rPr>
          <w:b/>
        </w:rPr>
        <w:t>2019</w:t>
      </w:r>
      <w:r w:rsidRPr="00080B83">
        <w:t xml:space="preserve">, </w:t>
      </w:r>
      <w:r w:rsidRPr="00080B83">
        <w:rPr>
          <w:i/>
        </w:rPr>
        <w:t>92</w:t>
      </w:r>
      <w:r w:rsidRPr="00080B83">
        <w:t>, 135–154.</w:t>
      </w:r>
    </w:p>
    <w:p w14:paraId="3DBCD865" w14:textId="77777777" w:rsidR="00080B83" w:rsidRPr="00080B83" w:rsidRDefault="00080B83" w:rsidP="00080B83">
      <w:pPr>
        <w:pStyle w:val="EndNoteBibliography"/>
        <w:ind w:left="720" w:hanging="720"/>
      </w:pPr>
      <w:r w:rsidRPr="00080B83">
        <w:t>50.</w:t>
      </w:r>
      <w:r w:rsidRPr="00080B83">
        <w:tab/>
        <w:t xml:space="preserve">Spišaková, V.; Hejtmánek, L.; Hynšt, J. Nextflow in bioinformatics: Executors performance comparison using genomics data. </w:t>
      </w:r>
      <w:r w:rsidRPr="00080B83">
        <w:rPr>
          <w:i/>
        </w:rPr>
        <w:t xml:space="preserve">Future Generation Computer Systems </w:t>
      </w:r>
      <w:r w:rsidRPr="00080B83">
        <w:rPr>
          <w:b/>
        </w:rPr>
        <w:t>2023</w:t>
      </w:r>
      <w:r w:rsidRPr="00080B83">
        <w:t xml:space="preserve">, </w:t>
      </w:r>
      <w:r w:rsidRPr="00080B83">
        <w:rPr>
          <w:i/>
        </w:rPr>
        <w:t>142</w:t>
      </w:r>
      <w:r w:rsidRPr="00080B83">
        <w:t>, 328–339.</w:t>
      </w:r>
    </w:p>
    <w:p w14:paraId="29B62877" w14:textId="77777777" w:rsidR="00080B83" w:rsidRPr="00080B83" w:rsidRDefault="00080B83" w:rsidP="00080B83">
      <w:pPr>
        <w:pStyle w:val="EndNoteBibliography"/>
        <w:ind w:left="720" w:hanging="720"/>
      </w:pPr>
      <w:r w:rsidRPr="00080B83">
        <w:t>51.</w:t>
      </w:r>
      <w:r w:rsidRPr="00080B83">
        <w:tab/>
        <w:t xml:space="preserve">Roberts, M.; Hayes, W.; Hunt, B.R.; Mount, S.M.; Yorke, J.A. Reducing storage requirements for biological sequence comparison. </w:t>
      </w:r>
      <w:r w:rsidRPr="00080B83">
        <w:rPr>
          <w:i/>
        </w:rPr>
        <w:t xml:space="preserve">Bioinformatics </w:t>
      </w:r>
      <w:r w:rsidRPr="00080B83">
        <w:rPr>
          <w:b/>
        </w:rPr>
        <w:t>2004</w:t>
      </w:r>
      <w:r w:rsidRPr="00080B83">
        <w:t xml:space="preserve">, </w:t>
      </w:r>
      <w:r w:rsidRPr="00080B83">
        <w:rPr>
          <w:i/>
        </w:rPr>
        <w:t>20</w:t>
      </w:r>
      <w:r w:rsidRPr="00080B83">
        <w:t>, 3363–3369.</w:t>
      </w:r>
    </w:p>
    <w:p w14:paraId="2D3B3A6D" w14:textId="77777777" w:rsidR="00080B83" w:rsidRPr="00080B83" w:rsidRDefault="00080B83" w:rsidP="00080B83">
      <w:pPr>
        <w:pStyle w:val="EndNoteBibliography"/>
        <w:ind w:left="720" w:hanging="720"/>
      </w:pPr>
      <w:r w:rsidRPr="00080B83">
        <w:t>52.</w:t>
      </w:r>
      <w:r w:rsidRPr="00080B83">
        <w:tab/>
        <w:t xml:space="preserve">Keck, F.; Couton, M.; Altermatt, F. Navigating the seven challenges of taxonomic reference databases in metabarcoding analyses. </w:t>
      </w:r>
      <w:r w:rsidRPr="00080B83">
        <w:rPr>
          <w:i/>
        </w:rPr>
        <w:t xml:space="preserve">Molecular Ecology Resources </w:t>
      </w:r>
      <w:r w:rsidRPr="00080B83">
        <w:rPr>
          <w:b/>
        </w:rPr>
        <w:t>2023</w:t>
      </w:r>
      <w:r w:rsidRPr="00080B83">
        <w:t xml:space="preserve">, </w:t>
      </w:r>
      <w:r w:rsidRPr="00080B83">
        <w:rPr>
          <w:i/>
        </w:rPr>
        <w:t>23</w:t>
      </w:r>
      <w:r w:rsidRPr="00080B83">
        <w:t>, 742–755.</w:t>
      </w:r>
    </w:p>
    <w:p w14:paraId="261908E0" w14:textId="77777777" w:rsidR="00080B83" w:rsidRPr="00080B83" w:rsidRDefault="00080B83" w:rsidP="00080B83">
      <w:pPr>
        <w:pStyle w:val="EndNoteBibliography"/>
        <w:ind w:left="720" w:hanging="720"/>
      </w:pPr>
      <w:r w:rsidRPr="00080B83">
        <w:t>53.</w:t>
      </w:r>
      <w:r w:rsidRPr="00080B83">
        <w:tab/>
        <w:t xml:space="preserve">Cline, L.C.; Song, Z.; Al-Ghalith, G.A.; Knights, D.; Kennedy, P.G. Moving beyond de novo clustering in fungal community ecology. </w:t>
      </w:r>
      <w:r w:rsidRPr="00080B83">
        <w:rPr>
          <w:i/>
        </w:rPr>
        <w:t xml:space="preserve">New Phytologist </w:t>
      </w:r>
      <w:r w:rsidRPr="00080B83">
        <w:rPr>
          <w:b/>
        </w:rPr>
        <w:t>2017</w:t>
      </w:r>
      <w:r w:rsidRPr="00080B83">
        <w:t xml:space="preserve">, </w:t>
      </w:r>
      <w:r w:rsidRPr="00080B83">
        <w:rPr>
          <w:i/>
        </w:rPr>
        <w:t>216</w:t>
      </w:r>
      <w:r w:rsidRPr="00080B83">
        <w:t>, 629–634.</w:t>
      </w:r>
    </w:p>
    <w:p w14:paraId="55107850" w14:textId="77777777" w:rsidR="00080B83" w:rsidRPr="00080B83" w:rsidRDefault="00080B83" w:rsidP="00080B83">
      <w:pPr>
        <w:pStyle w:val="EndNoteBibliography"/>
        <w:ind w:left="720" w:hanging="720"/>
      </w:pPr>
      <w:r w:rsidRPr="00080B83">
        <w:t>54.</w:t>
      </w:r>
      <w:r w:rsidRPr="00080B83">
        <w:tab/>
        <w:t xml:space="preserve">Martorelli, I.; Helwerda, L.S.; Kerkvliet, J.; Gomes, S.I.; Nuytinck, J.; van der Werff, C.R.; Ramackers, G.J.; Gultyaev, A.P.; Merckx, V.S.; Verbeek, F.J. Fungal metabarcoding data integration framework for the MycoDiversity DataBase (MDDB). </w:t>
      </w:r>
      <w:r w:rsidRPr="00080B83">
        <w:rPr>
          <w:i/>
        </w:rPr>
        <w:t xml:space="preserve">Journal of integrative bioinformatics </w:t>
      </w:r>
      <w:r w:rsidRPr="00080B83">
        <w:rPr>
          <w:b/>
        </w:rPr>
        <w:t>2020</w:t>
      </w:r>
      <w:r w:rsidRPr="00080B83">
        <w:t xml:space="preserve">, </w:t>
      </w:r>
      <w:r w:rsidRPr="00080B83">
        <w:rPr>
          <w:i/>
        </w:rPr>
        <w:t>17</w:t>
      </w:r>
      <w:r w:rsidRPr="00080B83">
        <w:t>, 20190046.</w:t>
      </w:r>
    </w:p>
    <w:p w14:paraId="3D8E4986" w14:textId="77777777" w:rsidR="00080B83" w:rsidRPr="00080B83" w:rsidRDefault="00080B83" w:rsidP="00080B83">
      <w:pPr>
        <w:pStyle w:val="EndNoteBibliography"/>
        <w:ind w:left="720" w:hanging="720"/>
      </w:pPr>
      <w:r w:rsidRPr="00080B83">
        <w:t>55.</w:t>
      </w:r>
      <w:r w:rsidRPr="00080B83">
        <w:tab/>
        <w:t xml:space="preserve">Mugnai, F.; Costantini, F.; Chenuil, A.; Leduc, M.; Ortega, J.M.G.; Meglécz, E. Be positive: customized reference databases and new, local barcodes balance false taxonomic assignments in metabarcoding studies. </w:t>
      </w:r>
      <w:r w:rsidRPr="00080B83">
        <w:rPr>
          <w:i/>
        </w:rPr>
        <w:t xml:space="preserve">PeerJ </w:t>
      </w:r>
      <w:r w:rsidRPr="00080B83">
        <w:rPr>
          <w:b/>
        </w:rPr>
        <w:t>2023</w:t>
      </w:r>
      <w:r w:rsidRPr="00080B83">
        <w:t xml:space="preserve">, </w:t>
      </w:r>
      <w:r w:rsidRPr="00080B83">
        <w:rPr>
          <w:i/>
        </w:rPr>
        <w:t>11</w:t>
      </w:r>
      <w:r w:rsidRPr="00080B83">
        <w:t>, e14616.</w:t>
      </w:r>
    </w:p>
    <w:p w14:paraId="5BBDB3A7" w14:textId="77777777" w:rsidR="00080B83" w:rsidRPr="00080B83" w:rsidRDefault="00080B83" w:rsidP="00080B83">
      <w:pPr>
        <w:pStyle w:val="EndNoteBibliography"/>
        <w:ind w:left="720" w:hanging="720"/>
      </w:pPr>
      <w:r w:rsidRPr="00080B83">
        <w:t>56.</w:t>
      </w:r>
      <w:r w:rsidRPr="00080B83">
        <w:tab/>
        <w:t xml:space="preserve">Wang, H.; Wu, S.H.; Zhang, K.; Chen, K.-H.; Vilgalys, R.; Liao, H.-L. Multiple hypervariable markers improve mycobiome classification in metatranscriptome and metagenome data. </w:t>
      </w:r>
      <w:r w:rsidRPr="00080B83">
        <w:rPr>
          <w:i/>
        </w:rPr>
        <w:t xml:space="preserve">Communications Biology </w:t>
      </w:r>
      <w:r w:rsidRPr="00080B83">
        <w:rPr>
          <w:b/>
        </w:rPr>
        <w:t>2026</w:t>
      </w:r>
      <w:r w:rsidRPr="00080B83">
        <w:t>.</w:t>
      </w:r>
    </w:p>
    <w:p w14:paraId="3CA51095" w14:textId="77777777" w:rsidR="00080B83" w:rsidRPr="00080B83" w:rsidRDefault="00080B83" w:rsidP="00080B83">
      <w:pPr>
        <w:pStyle w:val="EndNoteBibliography"/>
        <w:ind w:left="720" w:hanging="720"/>
      </w:pPr>
      <w:r w:rsidRPr="00080B83">
        <w:t>57.</w:t>
      </w:r>
      <w:r w:rsidRPr="00080B83">
        <w:tab/>
        <w:t xml:space="preserve">Schloss, P.D. Identifying and overcoming threats to reproducibility, replicability, robustness, and generalizability in microbiome research. </w:t>
      </w:r>
      <w:r w:rsidRPr="00080B83">
        <w:rPr>
          <w:i/>
        </w:rPr>
        <w:t xml:space="preserve">MBio </w:t>
      </w:r>
      <w:r w:rsidRPr="00080B83">
        <w:rPr>
          <w:b/>
        </w:rPr>
        <w:t>2018</w:t>
      </w:r>
      <w:r w:rsidRPr="00080B83">
        <w:t xml:space="preserve">, </w:t>
      </w:r>
      <w:r w:rsidRPr="00080B83">
        <w:rPr>
          <w:i/>
        </w:rPr>
        <w:t>9</w:t>
      </w:r>
      <w:r w:rsidRPr="00080B83">
        <w:t>, 10.1128/mbio. 00525–00518.</w:t>
      </w:r>
    </w:p>
    <w:p w14:paraId="4FE75E01" w14:textId="77777777" w:rsidR="00080B83" w:rsidRPr="00080B83" w:rsidRDefault="00080B83" w:rsidP="00080B83">
      <w:pPr>
        <w:pStyle w:val="EndNoteBibliography"/>
        <w:ind w:left="720" w:hanging="720"/>
      </w:pPr>
      <w:r w:rsidRPr="00080B83">
        <w:t>58.</w:t>
      </w:r>
      <w:r w:rsidRPr="00080B83">
        <w:tab/>
        <w:t xml:space="preserve">Feau, N.; Laughton, I.; Dicaire, A.; Ramsfield, T.; Tanguay, P.; Tanney, J.B. Fungal Community Profiling and Pathogen Detection in Conifer Seed Lots: Benchmarking Oxford Nanopore DNA Metabarcoding Against Conventional Methods. </w:t>
      </w:r>
      <w:r w:rsidRPr="00080B83">
        <w:rPr>
          <w:i/>
        </w:rPr>
        <w:t xml:space="preserve">PhytoFrontiers™ </w:t>
      </w:r>
      <w:r w:rsidRPr="00080B83">
        <w:rPr>
          <w:b/>
        </w:rPr>
        <w:t>2025</w:t>
      </w:r>
      <w:r w:rsidRPr="00080B83">
        <w:t xml:space="preserve">, </w:t>
      </w:r>
      <w:r w:rsidRPr="00080B83">
        <w:rPr>
          <w:i/>
        </w:rPr>
        <w:t>5</w:t>
      </w:r>
      <w:r w:rsidRPr="00080B83">
        <w:t>, 582–595.</w:t>
      </w:r>
    </w:p>
    <w:p w14:paraId="7646A1C4" w14:textId="77777777" w:rsidR="00080B83" w:rsidRPr="00080B83" w:rsidRDefault="00080B83" w:rsidP="00080B83">
      <w:pPr>
        <w:pStyle w:val="EndNoteBibliography"/>
        <w:ind w:left="720" w:hanging="720"/>
      </w:pPr>
      <w:r w:rsidRPr="00080B83">
        <w:t>59.</w:t>
      </w:r>
      <w:r w:rsidRPr="00080B83">
        <w:tab/>
        <w:t xml:space="preserve">Liu, S.; Rodriguez, J.S.; Munteanu, V.; Ronkowski, C.; Sharma, N.K.; Alser, M.; Andreace, F.; Blekhman, R.; Błaszczyk, D.; Chikhi, R. Analysis of metagenomic data. </w:t>
      </w:r>
      <w:r w:rsidRPr="00080B83">
        <w:rPr>
          <w:i/>
        </w:rPr>
        <w:t xml:space="preserve">Nature Reviews Methods Primers </w:t>
      </w:r>
      <w:r w:rsidRPr="00080B83">
        <w:rPr>
          <w:b/>
        </w:rPr>
        <w:t>2025</w:t>
      </w:r>
      <w:r w:rsidRPr="00080B83">
        <w:t xml:space="preserve">, </w:t>
      </w:r>
      <w:r w:rsidRPr="00080B83">
        <w:rPr>
          <w:i/>
        </w:rPr>
        <w:t>5</w:t>
      </w:r>
      <w:r w:rsidRPr="00080B83">
        <w:t>, 5.</w:t>
      </w:r>
    </w:p>
    <w:p w14:paraId="7CA4A657" w14:textId="0DEA72E6" w:rsidR="006A2195" w:rsidRDefault="00C2278B" w:rsidP="00C2278B">
      <w:pPr>
        <w:rPr>
          <w:rFonts w:ascii="Times New Roman" w:hAnsi="Times New Roman" w:cs="Times New Roman"/>
          <w:color w:val="333333"/>
          <w:lang w:val="en-GB"/>
        </w:rPr>
      </w:pPr>
      <w:r>
        <w:rPr>
          <w:rFonts w:ascii="Times New Roman" w:hAnsi="Times New Roman" w:cs="Times New Roman"/>
          <w:color w:val="333333"/>
          <w:lang w:val="en-GB"/>
        </w:rPr>
        <w:fldChar w:fldCharType="end"/>
      </w:r>
    </w:p>
    <w:sectPr w:rsidR="006A2195">
      <w:headerReference w:type="default" r:id="rId15"/>
      <w:footerReference w:type="default" r:id="rId16"/>
      <w:pgSz w:w="11906" w:h="16838"/>
      <w:pgMar w:top="1440" w:right="1440" w:bottom="1440" w:left="144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93B483A" w14:textId="77777777" w:rsidR="00AF26D0" w:rsidRDefault="00AF26D0">
      <w:r>
        <w:separator/>
      </w:r>
    </w:p>
  </w:endnote>
  <w:endnote w:type="continuationSeparator" w:id="0">
    <w:p w14:paraId="7D77E5BD" w14:textId="77777777" w:rsidR="00AF26D0" w:rsidRDefault="00AF26D0">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EE1DE81" w14:textId="77777777" w:rsidR="006A2195" w:rsidRDefault="00FF5A73">
    <w:pPr>
      <w:jc w:val="center"/>
    </w:pPr>
    <w:r>
      <w:rPr>
        <w:color w:val="666666"/>
        <w:sz w:val="18"/>
        <w:szCs w:val="18"/>
      </w:rPr>
      <w:t xml:space="preserve">Draft for Nature Methods | </w:t>
    </w:r>
    <w:r>
      <w:rPr>
        <w:color w:val="666666"/>
        <w:sz w:val="18"/>
        <w:szCs w:val="18"/>
      </w:rPr>
      <w:fldChar w:fldCharType="begin"/>
    </w:r>
    <w:r>
      <w:rPr>
        <w:color w:val="666666"/>
        <w:sz w:val="18"/>
        <w:szCs w:val="18"/>
      </w:rPr>
      <w:instrText>PAGE</w:instrText>
    </w:r>
    <w:r>
      <w:rPr>
        <w:color w:val="666666"/>
        <w:sz w:val="18"/>
        <w:szCs w:val="18"/>
      </w:rPr>
      <w:fldChar w:fldCharType="separate"/>
    </w:r>
    <w:r w:rsidR="00A0751A">
      <w:rPr>
        <w:noProof/>
        <w:color w:val="666666"/>
        <w:sz w:val="18"/>
        <w:szCs w:val="18"/>
      </w:rPr>
      <w:t>1</w:t>
    </w:r>
    <w:r>
      <w:rPr>
        <w:color w:val="666666"/>
        <w:sz w:val="18"/>
        <w:szCs w:val="18"/>
      </w:rPr>
      <w:fldChar w:fldCharType="end"/>
    </w:r>
    <w:r>
      <w:rPr>
        <w:color w:val="666666"/>
        <w:sz w:val="18"/>
        <w:szCs w:val="18"/>
      </w:rPr>
      <w:t xml:space="preserve"> / </w:t>
    </w:r>
    <w:r>
      <w:rPr>
        <w:color w:val="666666"/>
        <w:sz w:val="18"/>
        <w:szCs w:val="18"/>
      </w:rPr>
      <w:fldChar w:fldCharType="begin"/>
    </w:r>
    <w:r>
      <w:rPr>
        <w:color w:val="666666"/>
        <w:sz w:val="18"/>
        <w:szCs w:val="18"/>
      </w:rPr>
      <w:instrText>NUMPAGES</w:instrText>
    </w:r>
    <w:r>
      <w:rPr>
        <w:color w:val="666666"/>
        <w:sz w:val="18"/>
        <w:szCs w:val="18"/>
      </w:rPr>
      <w:fldChar w:fldCharType="separate"/>
    </w:r>
    <w:r w:rsidR="00A0751A">
      <w:rPr>
        <w:noProof/>
        <w:color w:val="666666"/>
        <w:sz w:val="18"/>
        <w:szCs w:val="18"/>
      </w:rPr>
      <w:t>2</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7A119A5" w14:textId="77777777" w:rsidR="00AF26D0" w:rsidRDefault="00AF26D0">
      <w:r>
        <w:separator/>
      </w:r>
    </w:p>
  </w:footnote>
  <w:footnote w:type="continuationSeparator" w:id="0">
    <w:p w14:paraId="3B30E4E5" w14:textId="77777777" w:rsidR="00AF26D0" w:rsidRDefault="00AF26D0">
      <w:r>
        <w:continuationSeparator/>
      </w:r>
    </w:p>
  </w:footnote>
  <w:footnote w:id="1">
    <w:p w14:paraId="4D369570" w14:textId="77777777" w:rsidR="006A2195" w:rsidRPr="00296230" w:rsidRDefault="00FF5A73">
      <w:pPr>
        <w:rPr>
          <w:lang w:val="en-GB"/>
        </w:rPr>
      </w:pPr>
      <w:r>
        <w:rPr>
          <w:rStyle w:val="Rimandonotaapidipagina"/>
        </w:rPr>
        <w:footnoteRef/>
      </w:r>
      <w:r w:rsidRPr="00296230">
        <w:rPr>
          <w:sz w:val="18"/>
          <w:szCs w:val="18"/>
          <w:lang w:val="en-GB"/>
        </w:rPr>
        <w:t>EPI2ME wf-16s: Oxford Nanopore Technologies, https://github.com/epi2me-labs/wf-16s</w:t>
      </w:r>
    </w:p>
  </w:footnote>
  <w:footnote w:id="2">
    <w:p w14:paraId="420FB60A" w14:textId="77777777" w:rsidR="006A2195" w:rsidRPr="00296230" w:rsidRDefault="00FF5A73">
      <w:pPr>
        <w:rPr>
          <w:lang w:val="en-GB"/>
        </w:rPr>
      </w:pPr>
      <w:r>
        <w:rPr>
          <w:rStyle w:val="Rimandonotaapidipagina"/>
        </w:rPr>
        <w:footnoteRef/>
      </w:r>
      <w:r w:rsidRPr="00296230">
        <w:rPr>
          <w:sz w:val="18"/>
          <w:szCs w:val="18"/>
          <w:lang w:val="en-GB"/>
        </w:rPr>
        <w:t>LOREON source code and documentation: https://github.com/iscka/loreon</w:t>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D9CE4EE" w14:textId="77777777" w:rsidR="006A2195" w:rsidRDefault="00FF5A73">
    <w:pPr>
      <w:pBdr>
        <w:bottom w:val="single" w:sz="6" w:space="1" w:color="1F3864"/>
      </w:pBdr>
    </w:pPr>
    <w:r>
      <w:rPr>
        <w:i/>
        <w:iCs/>
        <w:color w:val="666666"/>
        <w:sz w:val="18"/>
        <w:szCs w:val="18"/>
      </w:rPr>
      <w:t>Scarponi et al. | LOREON: Accessible ONT Metabarcoding Pipeline</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EFC11A3"/>
    <w:multiLevelType w:val="hybridMultilevel"/>
    <w:tmpl w:val="81169E94"/>
    <w:lvl w:ilvl="0" w:tplc="3BE2A868">
      <w:start w:val="1"/>
      <w:numFmt w:val="bullet"/>
      <w:lvlText w:val="●"/>
      <w:lvlJc w:val="left"/>
      <w:pPr>
        <w:ind w:left="720" w:hanging="360"/>
      </w:pPr>
    </w:lvl>
    <w:lvl w:ilvl="1" w:tplc="4EA48262">
      <w:start w:val="1"/>
      <w:numFmt w:val="bullet"/>
      <w:lvlText w:val="○"/>
      <w:lvlJc w:val="left"/>
      <w:pPr>
        <w:ind w:left="1440" w:hanging="360"/>
      </w:pPr>
    </w:lvl>
    <w:lvl w:ilvl="2" w:tplc="4C0CD92E">
      <w:start w:val="1"/>
      <w:numFmt w:val="bullet"/>
      <w:lvlText w:val="■"/>
      <w:lvlJc w:val="left"/>
      <w:pPr>
        <w:ind w:left="2160" w:hanging="360"/>
      </w:pPr>
    </w:lvl>
    <w:lvl w:ilvl="3" w:tplc="3FCA79F0">
      <w:start w:val="1"/>
      <w:numFmt w:val="bullet"/>
      <w:lvlText w:val="●"/>
      <w:lvlJc w:val="left"/>
      <w:pPr>
        <w:ind w:left="2880" w:hanging="360"/>
      </w:pPr>
    </w:lvl>
    <w:lvl w:ilvl="4" w:tplc="80C21C36">
      <w:start w:val="1"/>
      <w:numFmt w:val="bullet"/>
      <w:lvlText w:val="○"/>
      <w:lvlJc w:val="left"/>
      <w:pPr>
        <w:ind w:left="3600" w:hanging="360"/>
      </w:pPr>
    </w:lvl>
    <w:lvl w:ilvl="5" w:tplc="96301AAA">
      <w:start w:val="1"/>
      <w:numFmt w:val="bullet"/>
      <w:lvlText w:val="■"/>
      <w:lvlJc w:val="left"/>
      <w:pPr>
        <w:ind w:left="4320" w:hanging="360"/>
      </w:pPr>
    </w:lvl>
    <w:lvl w:ilvl="6" w:tplc="6FC8E8B0">
      <w:start w:val="1"/>
      <w:numFmt w:val="bullet"/>
      <w:lvlText w:val="●"/>
      <w:lvlJc w:val="left"/>
      <w:pPr>
        <w:ind w:left="5040" w:hanging="360"/>
      </w:pPr>
    </w:lvl>
    <w:lvl w:ilvl="7" w:tplc="320C64D2">
      <w:start w:val="1"/>
      <w:numFmt w:val="bullet"/>
      <w:lvlText w:val="●"/>
      <w:lvlJc w:val="left"/>
      <w:pPr>
        <w:ind w:left="5760" w:hanging="360"/>
      </w:pPr>
    </w:lvl>
    <w:lvl w:ilvl="8" w:tplc="695EA82E">
      <w:start w:val="1"/>
      <w:numFmt w:val="bullet"/>
      <w:lvlText w:val="●"/>
      <w:lvlJc w:val="left"/>
      <w:pPr>
        <w:ind w:left="6480" w:hanging="360"/>
      </w:pPr>
    </w:lvl>
  </w:abstractNum>
  <w:num w:numId="1" w16cid:durableId="762654207">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defaultTabStop w:val="708"/>
  <w:hyphenationZone w:val="283"/>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docVars>
    <w:docVar w:name="EN.InstantFormat" w:val="&lt;ENInstantFormat&gt;&lt;Enabled&gt;1&lt;/Enabled&gt;&lt;ScanUnformatted&gt;1&lt;/ScanUnformatted&gt;&lt;ScanChanges&gt;1&lt;/ScanChanges&gt;&lt;Suspended&gt;0&lt;/Suspended&gt;&lt;/ENInstantFormat&gt;"/>
    <w:docVar w:name="EN.Layout" w:val="&lt;ENLayout&gt;&lt;Style&gt;MDPI&lt;/Style&gt;&lt;LeftDelim&gt;{&lt;/LeftDelim&gt;&lt;RightDelim&gt;}&lt;/RightDelim&gt;&lt;FontName&gt;Arial&lt;/FontName&gt;&lt;FontSize&gt;11&lt;/FontSize&gt;&lt;ReflistTitle&gt;&lt;/ReflistTitle&gt;&lt;StartingRefnum&gt;1&lt;/StartingRefnum&gt;&lt;FirstLineIndent&gt;0&lt;/FirstLineIndent&gt;&lt;HangingIndent&gt;720&lt;/HangingIndent&gt;&lt;LineSpacing&gt;0&lt;/LineSpacing&gt;&lt;SpaceAfter&gt;0&lt;/SpaceAfter&gt;&lt;HyperlinksEnabled&gt;0&lt;/HyperlinksEnabled&gt;&lt;HyperlinksVisible&gt;0&lt;/HyperlinksVisible&gt;&lt;EnableBibliographyCategories&gt;0&lt;/EnableBibliographyCategories&gt;&lt;/ENLayout&gt;"/>
    <w:docVar w:name="EN.Libraries" w:val="&lt;Libraries&gt;&lt;item db-id=&quot;a5ewd5adyz0t5pes20q5xvarvd2d0vvvt5zf&quot;&gt;Loreon&lt;record-ids&gt;&lt;item&gt;1&lt;/item&gt;&lt;item&gt;2&lt;/item&gt;&lt;item&gt;3&lt;/item&gt;&lt;item&gt;4&lt;/item&gt;&lt;item&gt;5&lt;/item&gt;&lt;item&gt;6&lt;/item&gt;&lt;item&gt;7&lt;/item&gt;&lt;item&gt;8&lt;/item&gt;&lt;item&gt;9&lt;/item&gt;&lt;item&gt;10&lt;/item&gt;&lt;item&gt;11&lt;/item&gt;&lt;item&gt;13&lt;/item&gt;&lt;item&gt;14&lt;/item&gt;&lt;item&gt;15&lt;/item&gt;&lt;item&gt;16&lt;/item&gt;&lt;item&gt;17&lt;/item&gt;&lt;item&gt;18&lt;/item&gt;&lt;item&gt;19&lt;/item&gt;&lt;item&gt;20&lt;/item&gt;&lt;item&gt;21&lt;/item&gt;&lt;item&gt;22&lt;/item&gt;&lt;item&gt;23&lt;/item&gt;&lt;item&gt;24&lt;/item&gt;&lt;item&gt;25&lt;/item&gt;&lt;item&gt;26&lt;/item&gt;&lt;item&gt;27&lt;/item&gt;&lt;item&gt;29&lt;/item&gt;&lt;item&gt;30&lt;/item&gt;&lt;item&gt;32&lt;/item&gt;&lt;item&gt;33&lt;/item&gt;&lt;item&gt;34&lt;/item&gt;&lt;item&gt;35&lt;/item&gt;&lt;item&gt;36&lt;/item&gt;&lt;item&gt;37&lt;/item&gt;&lt;item&gt;38&lt;/item&gt;&lt;item&gt;39&lt;/item&gt;&lt;item&gt;40&lt;/item&gt;&lt;item&gt;41&lt;/item&gt;&lt;item&gt;43&lt;/item&gt;&lt;item&gt;44&lt;/item&gt;&lt;item&gt;45&lt;/item&gt;&lt;item&gt;46&lt;/item&gt;&lt;item&gt;47&lt;/item&gt;&lt;item&gt;48&lt;/item&gt;&lt;item&gt;50&lt;/item&gt;&lt;item&gt;52&lt;/item&gt;&lt;item&gt;53&lt;/item&gt;&lt;item&gt;54&lt;/item&gt;&lt;item&gt;55&lt;/item&gt;&lt;item&gt;56&lt;/item&gt;&lt;item&gt;57&lt;/item&gt;&lt;item&gt;58&lt;/item&gt;&lt;item&gt;59&lt;/item&gt;&lt;item&gt;61&lt;/item&gt;&lt;item&gt;62&lt;/item&gt;&lt;item&gt;63&lt;/item&gt;&lt;item&gt;64&lt;/item&gt;&lt;item&gt;66&lt;/item&gt;&lt;item&gt;67&lt;/item&gt;&lt;/record-ids&gt;&lt;/item&gt;&lt;/Libraries&gt;"/>
  </w:docVars>
  <w:rsids>
    <w:rsidRoot w:val="006A2195"/>
    <w:rsid w:val="00003D4D"/>
    <w:rsid w:val="00036EDF"/>
    <w:rsid w:val="000536A0"/>
    <w:rsid w:val="00080B83"/>
    <w:rsid w:val="00091832"/>
    <w:rsid w:val="00093867"/>
    <w:rsid w:val="000B6B74"/>
    <w:rsid w:val="000C22BA"/>
    <w:rsid w:val="000C4A2D"/>
    <w:rsid w:val="000E3B49"/>
    <w:rsid w:val="000F3659"/>
    <w:rsid w:val="000F420E"/>
    <w:rsid w:val="000F49C4"/>
    <w:rsid w:val="00105220"/>
    <w:rsid w:val="001101E5"/>
    <w:rsid w:val="00141730"/>
    <w:rsid w:val="001678DD"/>
    <w:rsid w:val="00185210"/>
    <w:rsid w:val="00186B5A"/>
    <w:rsid w:val="00186D4F"/>
    <w:rsid w:val="001A668F"/>
    <w:rsid w:val="001B0FBE"/>
    <w:rsid w:val="001B5BC1"/>
    <w:rsid w:val="001C447D"/>
    <w:rsid w:val="001E1AA0"/>
    <w:rsid w:val="00206A57"/>
    <w:rsid w:val="002135AB"/>
    <w:rsid w:val="00225F00"/>
    <w:rsid w:val="0022707E"/>
    <w:rsid w:val="0025096E"/>
    <w:rsid w:val="002608CC"/>
    <w:rsid w:val="00271E24"/>
    <w:rsid w:val="00273221"/>
    <w:rsid w:val="00273EC7"/>
    <w:rsid w:val="0027714F"/>
    <w:rsid w:val="0029595B"/>
    <w:rsid w:val="00296230"/>
    <w:rsid w:val="0029656C"/>
    <w:rsid w:val="002C7586"/>
    <w:rsid w:val="002D581F"/>
    <w:rsid w:val="002E3D68"/>
    <w:rsid w:val="002F6F88"/>
    <w:rsid w:val="00317F2E"/>
    <w:rsid w:val="003323F6"/>
    <w:rsid w:val="00342490"/>
    <w:rsid w:val="00342EC6"/>
    <w:rsid w:val="00360467"/>
    <w:rsid w:val="00365D3D"/>
    <w:rsid w:val="003730FC"/>
    <w:rsid w:val="003806B3"/>
    <w:rsid w:val="0039022B"/>
    <w:rsid w:val="00397FAB"/>
    <w:rsid w:val="003C1327"/>
    <w:rsid w:val="003D5E58"/>
    <w:rsid w:val="003E2CE5"/>
    <w:rsid w:val="003E3DCB"/>
    <w:rsid w:val="003E4D06"/>
    <w:rsid w:val="003F1DBC"/>
    <w:rsid w:val="004059C3"/>
    <w:rsid w:val="004119F3"/>
    <w:rsid w:val="00411AEF"/>
    <w:rsid w:val="00435114"/>
    <w:rsid w:val="00441299"/>
    <w:rsid w:val="00443768"/>
    <w:rsid w:val="00443AA3"/>
    <w:rsid w:val="00445441"/>
    <w:rsid w:val="0045226A"/>
    <w:rsid w:val="00454721"/>
    <w:rsid w:val="004552FE"/>
    <w:rsid w:val="00455875"/>
    <w:rsid w:val="004A0FDF"/>
    <w:rsid w:val="004A5D3B"/>
    <w:rsid w:val="004C03CE"/>
    <w:rsid w:val="004C47EF"/>
    <w:rsid w:val="004D256D"/>
    <w:rsid w:val="004D313C"/>
    <w:rsid w:val="00526C1A"/>
    <w:rsid w:val="0053723C"/>
    <w:rsid w:val="005458F2"/>
    <w:rsid w:val="00560AD1"/>
    <w:rsid w:val="00572706"/>
    <w:rsid w:val="00576770"/>
    <w:rsid w:val="00580C83"/>
    <w:rsid w:val="005D54E1"/>
    <w:rsid w:val="005F25E0"/>
    <w:rsid w:val="005F523E"/>
    <w:rsid w:val="00602277"/>
    <w:rsid w:val="00615E24"/>
    <w:rsid w:val="00635E8D"/>
    <w:rsid w:val="00642CF9"/>
    <w:rsid w:val="006456F4"/>
    <w:rsid w:val="00652CC5"/>
    <w:rsid w:val="00652E14"/>
    <w:rsid w:val="00655869"/>
    <w:rsid w:val="00655894"/>
    <w:rsid w:val="00670F9C"/>
    <w:rsid w:val="0067198C"/>
    <w:rsid w:val="00673A7E"/>
    <w:rsid w:val="00687DFB"/>
    <w:rsid w:val="00692321"/>
    <w:rsid w:val="006936DC"/>
    <w:rsid w:val="006939F9"/>
    <w:rsid w:val="00697ACD"/>
    <w:rsid w:val="006A2195"/>
    <w:rsid w:val="006A2A44"/>
    <w:rsid w:val="006B467F"/>
    <w:rsid w:val="006B4F13"/>
    <w:rsid w:val="006C20FF"/>
    <w:rsid w:val="006D3368"/>
    <w:rsid w:val="006E7108"/>
    <w:rsid w:val="006F3ABF"/>
    <w:rsid w:val="00702D29"/>
    <w:rsid w:val="00711537"/>
    <w:rsid w:val="00714E9B"/>
    <w:rsid w:val="007257D0"/>
    <w:rsid w:val="007368E0"/>
    <w:rsid w:val="00745D7C"/>
    <w:rsid w:val="00754832"/>
    <w:rsid w:val="00774039"/>
    <w:rsid w:val="00774ED0"/>
    <w:rsid w:val="007769B2"/>
    <w:rsid w:val="007B7F30"/>
    <w:rsid w:val="007C33CA"/>
    <w:rsid w:val="007C7700"/>
    <w:rsid w:val="007D30CA"/>
    <w:rsid w:val="007D6084"/>
    <w:rsid w:val="007E3EA4"/>
    <w:rsid w:val="007F41AA"/>
    <w:rsid w:val="00802E49"/>
    <w:rsid w:val="00805588"/>
    <w:rsid w:val="00817D6E"/>
    <w:rsid w:val="00820663"/>
    <w:rsid w:val="0082520D"/>
    <w:rsid w:val="00845641"/>
    <w:rsid w:val="0085681B"/>
    <w:rsid w:val="008640EB"/>
    <w:rsid w:val="008642C7"/>
    <w:rsid w:val="0086464B"/>
    <w:rsid w:val="00864961"/>
    <w:rsid w:val="00871CB8"/>
    <w:rsid w:val="00877261"/>
    <w:rsid w:val="00897267"/>
    <w:rsid w:val="008A2F14"/>
    <w:rsid w:val="008A464B"/>
    <w:rsid w:val="008A6E34"/>
    <w:rsid w:val="008C39E2"/>
    <w:rsid w:val="008C3EE7"/>
    <w:rsid w:val="008C74D7"/>
    <w:rsid w:val="008D1BE0"/>
    <w:rsid w:val="008E4D13"/>
    <w:rsid w:val="008F28C8"/>
    <w:rsid w:val="0090099A"/>
    <w:rsid w:val="0090609B"/>
    <w:rsid w:val="00906EA4"/>
    <w:rsid w:val="009071F6"/>
    <w:rsid w:val="0090764A"/>
    <w:rsid w:val="0091785A"/>
    <w:rsid w:val="00946275"/>
    <w:rsid w:val="00952E76"/>
    <w:rsid w:val="00972F79"/>
    <w:rsid w:val="00973F17"/>
    <w:rsid w:val="00983B1B"/>
    <w:rsid w:val="009B45AC"/>
    <w:rsid w:val="009B4B2E"/>
    <w:rsid w:val="009B704B"/>
    <w:rsid w:val="009C23A0"/>
    <w:rsid w:val="009C5D95"/>
    <w:rsid w:val="009D2CCC"/>
    <w:rsid w:val="009D355C"/>
    <w:rsid w:val="009D487D"/>
    <w:rsid w:val="009F6368"/>
    <w:rsid w:val="00A05184"/>
    <w:rsid w:val="00A0751A"/>
    <w:rsid w:val="00A10968"/>
    <w:rsid w:val="00A15E40"/>
    <w:rsid w:val="00A20375"/>
    <w:rsid w:val="00A32EF5"/>
    <w:rsid w:val="00A4687D"/>
    <w:rsid w:val="00A62699"/>
    <w:rsid w:val="00A64126"/>
    <w:rsid w:val="00A64DC8"/>
    <w:rsid w:val="00A67532"/>
    <w:rsid w:val="00A739EE"/>
    <w:rsid w:val="00A8297C"/>
    <w:rsid w:val="00AB0C80"/>
    <w:rsid w:val="00AB26F0"/>
    <w:rsid w:val="00AB78C9"/>
    <w:rsid w:val="00AD11B4"/>
    <w:rsid w:val="00AE52D9"/>
    <w:rsid w:val="00AF26D0"/>
    <w:rsid w:val="00B20E3E"/>
    <w:rsid w:val="00B26F96"/>
    <w:rsid w:val="00B32CBD"/>
    <w:rsid w:val="00B36138"/>
    <w:rsid w:val="00B36A2F"/>
    <w:rsid w:val="00B40D7C"/>
    <w:rsid w:val="00B424AD"/>
    <w:rsid w:val="00B42B54"/>
    <w:rsid w:val="00B475C8"/>
    <w:rsid w:val="00B51181"/>
    <w:rsid w:val="00B67195"/>
    <w:rsid w:val="00B679DA"/>
    <w:rsid w:val="00B803AA"/>
    <w:rsid w:val="00BA3E01"/>
    <w:rsid w:val="00BB10F6"/>
    <w:rsid w:val="00BC3121"/>
    <w:rsid w:val="00BD0DD9"/>
    <w:rsid w:val="00C00927"/>
    <w:rsid w:val="00C01B12"/>
    <w:rsid w:val="00C03190"/>
    <w:rsid w:val="00C15487"/>
    <w:rsid w:val="00C17B5C"/>
    <w:rsid w:val="00C219DF"/>
    <w:rsid w:val="00C2278B"/>
    <w:rsid w:val="00C313C4"/>
    <w:rsid w:val="00C36D9B"/>
    <w:rsid w:val="00C372B2"/>
    <w:rsid w:val="00C37FF1"/>
    <w:rsid w:val="00C45A3C"/>
    <w:rsid w:val="00C6114E"/>
    <w:rsid w:val="00C74C7E"/>
    <w:rsid w:val="00C81C3F"/>
    <w:rsid w:val="00C8282A"/>
    <w:rsid w:val="00C83254"/>
    <w:rsid w:val="00C832F0"/>
    <w:rsid w:val="00CA255E"/>
    <w:rsid w:val="00CA4286"/>
    <w:rsid w:val="00CC067A"/>
    <w:rsid w:val="00CC2067"/>
    <w:rsid w:val="00CC20EF"/>
    <w:rsid w:val="00CC6430"/>
    <w:rsid w:val="00CD4EE1"/>
    <w:rsid w:val="00CD6BD1"/>
    <w:rsid w:val="00CE29E3"/>
    <w:rsid w:val="00CE3BB7"/>
    <w:rsid w:val="00CF7E5D"/>
    <w:rsid w:val="00D00E83"/>
    <w:rsid w:val="00D02837"/>
    <w:rsid w:val="00D0386B"/>
    <w:rsid w:val="00D148FB"/>
    <w:rsid w:val="00D21F67"/>
    <w:rsid w:val="00D34011"/>
    <w:rsid w:val="00D44178"/>
    <w:rsid w:val="00D452AE"/>
    <w:rsid w:val="00D51CBF"/>
    <w:rsid w:val="00D527CD"/>
    <w:rsid w:val="00D56514"/>
    <w:rsid w:val="00D6370A"/>
    <w:rsid w:val="00D65229"/>
    <w:rsid w:val="00D668FC"/>
    <w:rsid w:val="00D67EBC"/>
    <w:rsid w:val="00D71494"/>
    <w:rsid w:val="00D74EF0"/>
    <w:rsid w:val="00D92445"/>
    <w:rsid w:val="00DA4BC2"/>
    <w:rsid w:val="00DA680B"/>
    <w:rsid w:val="00DD50B7"/>
    <w:rsid w:val="00E0503A"/>
    <w:rsid w:val="00E06AC7"/>
    <w:rsid w:val="00E24022"/>
    <w:rsid w:val="00E24FB6"/>
    <w:rsid w:val="00E55CAE"/>
    <w:rsid w:val="00E57BBD"/>
    <w:rsid w:val="00E6180B"/>
    <w:rsid w:val="00E6583E"/>
    <w:rsid w:val="00E73563"/>
    <w:rsid w:val="00E816B5"/>
    <w:rsid w:val="00E9659A"/>
    <w:rsid w:val="00EC0E13"/>
    <w:rsid w:val="00EC4DC1"/>
    <w:rsid w:val="00ED159C"/>
    <w:rsid w:val="00ED571C"/>
    <w:rsid w:val="00EF6AAC"/>
    <w:rsid w:val="00F17DDF"/>
    <w:rsid w:val="00F24EE0"/>
    <w:rsid w:val="00F26F87"/>
    <w:rsid w:val="00F427C1"/>
    <w:rsid w:val="00F45C88"/>
    <w:rsid w:val="00F5257D"/>
    <w:rsid w:val="00F5469D"/>
    <w:rsid w:val="00F60BB5"/>
    <w:rsid w:val="00F72320"/>
    <w:rsid w:val="00F740A0"/>
    <w:rsid w:val="00F743EC"/>
    <w:rsid w:val="00F81EB6"/>
    <w:rsid w:val="00F93C1B"/>
    <w:rsid w:val="00FA3D7B"/>
    <w:rsid w:val="00FC2499"/>
    <w:rsid w:val="00FC524B"/>
    <w:rsid w:val="00FF5A73"/>
  </w:rsids>
  <m:mathPr>
    <m:mathFont m:val="Cambria Math"/>
    <m:brkBin m:val="before"/>
    <m:brkBinSub m:val="--"/>
    <m:smallFrac m:val="0"/>
    <m:dispDef/>
    <m:lMargin m:val="0"/>
    <m:rMargin m:val="0"/>
    <m:defJc m:val="centerGroup"/>
    <m:wrapIndent m:val="1440"/>
    <m:intLim m:val="subSup"/>
    <m:naryLim m:val="undOvr"/>
  </m:mathPr>
  <w:themeFontLang w:val="it-I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BDA20D1"/>
  <w15:docId w15:val="{E1511E1E-3A0E-8C4F-A328-D5560A60E94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it-IT" w:eastAsia="it-I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e">
    <w:name w:val="Normal"/>
    <w:qFormat/>
  </w:style>
  <w:style w:type="paragraph" w:styleId="Titolo1">
    <w:name w:val="heading 1"/>
    <w:uiPriority w:val="9"/>
    <w:qFormat/>
    <w:pPr>
      <w:spacing w:before="360" w:after="180"/>
      <w:outlineLvl w:val="0"/>
    </w:pPr>
    <w:rPr>
      <w:b/>
      <w:bCs/>
      <w:color w:val="1F3864"/>
      <w:sz w:val="28"/>
      <w:szCs w:val="28"/>
    </w:rPr>
  </w:style>
  <w:style w:type="paragraph" w:styleId="Titolo2">
    <w:name w:val="heading 2"/>
    <w:uiPriority w:val="9"/>
    <w:unhideWhenUsed/>
    <w:qFormat/>
    <w:pPr>
      <w:spacing w:before="240" w:after="120"/>
      <w:outlineLvl w:val="1"/>
    </w:pPr>
    <w:rPr>
      <w:b/>
      <w:bCs/>
      <w:color w:val="2E5090"/>
      <w:sz w:val="24"/>
      <w:szCs w:val="24"/>
    </w:rPr>
  </w:style>
  <w:style w:type="paragraph" w:styleId="Titolo3">
    <w:name w:val="heading 3"/>
    <w:uiPriority w:val="9"/>
    <w:semiHidden/>
    <w:unhideWhenUsed/>
    <w:qFormat/>
    <w:pPr>
      <w:spacing w:before="180" w:after="80"/>
      <w:outlineLvl w:val="2"/>
    </w:pPr>
    <w:rPr>
      <w:b/>
      <w:bCs/>
      <w:i/>
      <w:iCs/>
      <w:color w:val="2E5090"/>
    </w:rPr>
  </w:style>
  <w:style w:type="paragraph" w:styleId="Titolo4">
    <w:name w:val="heading 4"/>
    <w:uiPriority w:val="9"/>
    <w:semiHidden/>
    <w:unhideWhenUsed/>
    <w:qFormat/>
    <w:pPr>
      <w:outlineLvl w:val="3"/>
    </w:pPr>
    <w:rPr>
      <w:i/>
      <w:iCs/>
      <w:color w:val="2E74B5"/>
    </w:rPr>
  </w:style>
  <w:style w:type="paragraph" w:styleId="Titolo5">
    <w:name w:val="heading 5"/>
    <w:uiPriority w:val="9"/>
    <w:semiHidden/>
    <w:unhideWhenUsed/>
    <w:qFormat/>
    <w:pPr>
      <w:outlineLvl w:val="4"/>
    </w:pPr>
    <w:rPr>
      <w:color w:val="2E74B5"/>
    </w:rPr>
  </w:style>
  <w:style w:type="paragraph" w:styleId="Titolo6">
    <w:name w:val="heading 6"/>
    <w:uiPriority w:val="9"/>
    <w:semiHidden/>
    <w:unhideWhenUsed/>
    <w:qFormat/>
    <w:pPr>
      <w:outlineLvl w:val="5"/>
    </w:pPr>
    <w:rPr>
      <w:color w:val="1F4D78"/>
    </w:rPr>
  </w:style>
  <w:style w:type="character" w:default="1" w:styleId="Carpredefinitoparagrafo">
    <w:name w:val="Default Paragraph Font"/>
    <w:uiPriority w:val="1"/>
    <w:unhideWhenUsed/>
  </w:style>
  <w:style w:type="table" w:default="1" w:styleId="Tabellanormale">
    <w:name w:val="Normal Table"/>
    <w:uiPriority w:val="99"/>
    <w:semiHidden/>
    <w:unhideWhenUsed/>
    <w:tblPr>
      <w:tblInd w:w="0" w:type="dxa"/>
      <w:tblCellMar>
        <w:top w:w="0" w:type="dxa"/>
        <w:left w:w="108" w:type="dxa"/>
        <w:bottom w:w="0" w:type="dxa"/>
        <w:right w:w="108" w:type="dxa"/>
      </w:tblCellMar>
    </w:tblPr>
  </w:style>
  <w:style w:type="numbering" w:default="1" w:styleId="Nessunelenco">
    <w:name w:val="No List"/>
    <w:uiPriority w:val="99"/>
    <w:semiHidden/>
    <w:unhideWhenUsed/>
  </w:style>
  <w:style w:type="paragraph" w:styleId="Titolo">
    <w:name w:val="Title"/>
    <w:uiPriority w:val="10"/>
    <w:qFormat/>
    <w:rPr>
      <w:sz w:val="56"/>
      <w:szCs w:val="56"/>
    </w:rPr>
  </w:style>
  <w:style w:type="paragraph" w:customStyle="1" w:styleId="Enfasigrassetto1">
    <w:name w:val="Enfasi (grassetto)1"/>
    <w:qFormat/>
    <w:rPr>
      <w:b/>
      <w:bCs/>
    </w:rPr>
  </w:style>
  <w:style w:type="paragraph" w:styleId="Paragrafoelenco">
    <w:name w:val="List Paragraph"/>
    <w:qFormat/>
  </w:style>
  <w:style w:type="character" w:styleId="Collegamentoipertestuale">
    <w:name w:val="Hyperlink"/>
    <w:uiPriority w:val="99"/>
    <w:unhideWhenUsed/>
    <w:rPr>
      <w:color w:val="0563C1"/>
      <w:u w:val="single"/>
    </w:rPr>
  </w:style>
  <w:style w:type="character" w:styleId="Rimandonotaapidipagina">
    <w:name w:val="footnote reference"/>
    <w:uiPriority w:val="99"/>
    <w:semiHidden/>
    <w:unhideWhenUsed/>
    <w:rPr>
      <w:vertAlign w:val="superscript"/>
    </w:rPr>
  </w:style>
  <w:style w:type="paragraph" w:styleId="Testonotaapidipagina">
    <w:name w:val="footnote text"/>
    <w:link w:val="TestonotaapidipaginaCarattere"/>
    <w:uiPriority w:val="99"/>
    <w:semiHidden/>
    <w:unhideWhenUsed/>
    <w:rPr>
      <w:sz w:val="20"/>
      <w:szCs w:val="20"/>
    </w:rPr>
  </w:style>
  <w:style w:type="character" w:customStyle="1" w:styleId="TestonotaapidipaginaCarattere">
    <w:name w:val="Testo nota a piè di pagina Carattere"/>
    <w:link w:val="Testonotaapidipagina"/>
    <w:uiPriority w:val="99"/>
    <w:semiHidden/>
    <w:unhideWhenUsed/>
    <w:rPr>
      <w:sz w:val="20"/>
      <w:szCs w:val="20"/>
    </w:rPr>
  </w:style>
  <w:style w:type="character" w:styleId="Rimandonotadichiusura">
    <w:name w:val="endnote reference"/>
    <w:uiPriority w:val="99"/>
    <w:semiHidden/>
    <w:unhideWhenUsed/>
    <w:rPr>
      <w:vertAlign w:val="superscript"/>
    </w:rPr>
  </w:style>
  <w:style w:type="paragraph" w:styleId="Testonotadichiusura">
    <w:name w:val="endnote text"/>
    <w:link w:val="TestonotadichiusuraCarattere"/>
    <w:uiPriority w:val="99"/>
    <w:semiHidden/>
    <w:unhideWhenUsed/>
    <w:rPr>
      <w:sz w:val="20"/>
      <w:szCs w:val="20"/>
    </w:rPr>
  </w:style>
  <w:style w:type="character" w:customStyle="1" w:styleId="TestonotadichiusuraCarattere">
    <w:name w:val="Testo nota di chiusura Carattere"/>
    <w:link w:val="Testonotadichiusura"/>
    <w:uiPriority w:val="99"/>
    <w:semiHidden/>
    <w:unhideWhenUsed/>
    <w:rPr>
      <w:sz w:val="20"/>
      <w:szCs w:val="20"/>
    </w:rPr>
  </w:style>
  <w:style w:type="paragraph" w:styleId="Revisione">
    <w:name w:val="Revision"/>
    <w:hidden/>
    <w:uiPriority w:val="99"/>
    <w:semiHidden/>
    <w:rsid w:val="008C39E2"/>
  </w:style>
  <w:style w:type="paragraph" w:styleId="NormaleWeb">
    <w:name w:val="Normal (Web)"/>
    <w:basedOn w:val="Normale"/>
    <w:uiPriority w:val="99"/>
    <w:unhideWhenUsed/>
    <w:rsid w:val="006E7108"/>
    <w:pPr>
      <w:spacing w:before="100" w:beforeAutospacing="1" w:after="100" w:afterAutospacing="1"/>
    </w:pPr>
    <w:rPr>
      <w:rFonts w:ascii="Times New Roman" w:eastAsia="Times New Roman" w:hAnsi="Times New Roman" w:cs="Times New Roman"/>
      <w:sz w:val="24"/>
      <w:szCs w:val="24"/>
    </w:rPr>
  </w:style>
  <w:style w:type="paragraph" w:styleId="Intestazione">
    <w:name w:val="header"/>
    <w:basedOn w:val="Normale"/>
    <w:link w:val="IntestazioneCarattere"/>
    <w:uiPriority w:val="99"/>
    <w:unhideWhenUsed/>
    <w:rsid w:val="003F1DBC"/>
    <w:pPr>
      <w:tabs>
        <w:tab w:val="center" w:pos="4819"/>
        <w:tab w:val="right" w:pos="9638"/>
      </w:tabs>
    </w:pPr>
  </w:style>
  <w:style w:type="character" w:customStyle="1" w:styleId="IntestazioneCarattere">
    <w:name w:val="Intestazione Carattere"/>
    <w:basedOn w:val="Carpredefinitoparagrafo"/>
    <w:link w:val="Intestazione"/>
    <w:uiPriority w:val="99"/>
    <w:rsid w:val="003F1DBC"/>
  </w:style>
  <w:style w:type="paragraph" w:styleId="Pidipagina">
    <w:name w:val="footer"/>
    <w:basedOn w:val="Normale"/>
    <w:link w:val="PidipaginaCarattere"/>
    <w:uiPriority w:val="99"/>
    <w:unhideWhenUsed/>
    <w:rsid w:val="003F1DBC"/>
    <w:pPr>
      <w:tabs>
        <w:tab w:val="center" w:pos="4819"/>
        <w:tab w:val="right" w:pos="9638"/>
      </w:tabs>
    </w:pPr>
  </w:style>
  <w:style w:type="character" w:customStyle="1" w:styleId="PidipaginaCarattere">
    <w:name w:val="Piè di pagina Carattere"/>
    <w:basedOn w:val="Carpredefinitoparagrafo"/>
    <w:link w:val="Pidipagina"/>
    <w:uiPriority w:val="99"/>
    <w:rsid w:val="003F1DBC"/>
  </w:style>
  <w:style w:type="paragraph" w:customStyle="1" w:styleId="EndNoteBibliographyTitle">
    <w:name w:val="EndNote Bibliography Title"/>
    <w:basedOn w:val="Normale"/>
    <w:link w:val="EndNoteBibliographyTitleCarattere"/>
    <w:rsid w:val="00C2278B"/>
    <w:pPr>
      <w:jc w:val="center"/>
    </w:pPr>
    <w:rPr>
      <w:noProof/>
    </w:rPr>
  </w:style>
  <w:style w:type="character" w:customStyle="1" w:styleId="EndNoteBibliographyTitleCarattere">
    <w:name w:val="EndNote Bibliography Title Carattere"/>
    <w:basedOn w:val="Carpredefinitoparagrafo"/>
    <w:link w:val="EndNoteBibliographyTitle"/>
    <w:rsid w:val="00C2278B"/>
    <w:rPr>
      <w:noProof/>
    </w:rPr>
  </w:style>
  <w:style w:type="paragraph" w:customStyle="1" w:styleId="EndNoteBibliography">
    <w:name w:val="EndNote Bibliography"/>
    <w:basedOn w:val="Normale"/>
    <w:link w:val="EndNoteBibliographyCarattere"/>
    <w:rsid w:val="00C2278B"/>
    <w:pPr>
      <w:jc w:val="both"/>
    </w:pPr>
    <w:rPr>
      <w:noProof/>
    </w:rPr>
  </w:style>
  <w:style w:type="character" w:customStyle="1" w:styleId="EndNoteBibliographyCarattere">
    <w:name w:val="EndNote Bibliography Carattere"/>
    <w:basedOn w:val="Carpredefinitoparagrafo"/>
    <w:link w:val="EndNoteBibliography"/>
    <w:rsid w:val="00C2278B"/>
    <w:rPr>
      <w:noProof/>
    </w:rPr>
  </w:style>
  <w:style w:type="character" w:styleId="Menzionenonrisolta">
    <w:name w:val="Unresolved Mention"/>
    <w:basedOn w:val="Carpredefinitoparagrafo"/>
    <w:uiPriority w:val="99"/>
    <w:semiHidden/>
    <w:unhideWhenUsed/>
    <w:rsid w:val="00D9244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13" Type="http://schemas.openxmlformats.org/officeDocument/2006/relationships/image" Target="media/image6.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image" Target="media/image5.png"/><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1.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header" Target="header1.xml"/><Relationship Id="rId10" Type="http://schemas.openxmlformats.org/officeDocument/2006/relationships/image" Target="media/image3.pn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png"/></Relationships>
</file>

<file path=word/theme/theme1.xml><?xml version="1.0" encoding="utf-8"?>
<a:theme xmlns:a="http://schemas.openxmlformats.org/drawingml/2006/main" name="Tema di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AE2C5EF-D571-4597-8170-17AE9B111853}">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5900</TotalTime>
  <Pages>24</Pages>
  <Words>12986</Words>
  <Characters>96492</Characters>
  <Application>Microsoft Office Word</Application>
  <DocSecurity>0</DocSecurity>
  <Lines>2053</Lines>
  <Paragraphs>1023</Paragraphs>
  <ScaleCrop>false</ScaleCrop>
  <HeadingPairs>
    <vt:vector size="2" baseType="variant">
      <vt:variant>
        <vt:lpstr>Titolo</vt:lpstr>
      </vt:variant>
      <vt:variant>
        <vt:i4>1</vt:i4>
      </vt:variant>
    </vt:vector>
  </HeadingPairs>
  <TitlesOfParts>
    <vt:vector size="1" baseType="lpstr">
      <vt:lpstr/>
    </vt:vector>
  </TitlesOfParts>
  <Company/>
  <LinksUpToDate>false</LinksUpToDate>
  <CharactersWithSpaces>108455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Angela Conti</cp:lastModifiedBy>
  <cp:revision>210</cp:revision>
  <dcterms:created xsi:type="dcterms:W3CDTF">2026-04-23T14:52:00Z</dcterms:created>
  <dcterms:modified xsi:type="dcterms:W3CDTF">2026-07-13T16:05:00Z</dcterms:modified>
</cp:coreProperties>
</file>