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b/>
          <w:bCs/>
          <w:color w:val="1F4E79"/>
          <w:sz w:val="64"/>
          <w:szCs w:val="64"/>
        </w:rPr>
        <w:t xml:space="preserve">LOREON</w:t>
      </w:r>
    </w:p>
    <w:p>
      <w:pPr>
        <w:spacing w:after="120"/>
        <w:jc w:val="center"/>
      </w:pPr>
      <w:r>
        <w:rPr>
          <w:color w:val="212529"/>
          <w:sz w:val="34"/>
          <w:szCs w:val="34"/>
        </w:rPr>
        <w:t xml:space="preserve">La feature opzionale TaxQuality</w:t>
      </w:r>
    </w:p>
    <w:p>
      <w:pPr>
        <w:spacing w:after="400"/>
        <w:jc w:val="center"/>
      </w:pPr>
      <w:r>
        <w:rPr>
          <w:i/>
          <w:iCs/>
          <w:color w:val="6C757D"/>
          <w:sz w:val="22"/>
          <w:szCs w:val="22"/>
        </w:rPr>
        <w:t xml:space="preserve">Fondamenti teorici, progetto, benefici biologici, costo computazionale e pubblicabilità</w:t>
      </w:r>
    </w:p>
    <w:p>
      <w:pPr>
        <w:spacing w:after="60"/>
        <w:jc w:val="center"/>
      </w:pPr>
      <w:r>
        <w:rPr>
          <w:color w:val="212529"/>
          <w:sz w:val="20"/>
          <w:szCs w:val="20"/>
        </w:rPr>
        <w:t xml:space="preserve">Documento tecnico · redatto per il progetto di dottorato</w:t>
      </w:r>
    </w:p>
    <w:p>
      <w:pPr>
        <w:spacing w:after="700"/>
        <w:jc w:val="center"/>
      </w:pPr>
      <w:r>
        <w:rPr>
          <w:color w:val="6C757D"/>
          <w:sz w:val="18"/>
          <w:szCs w:val="18"/>
        </w:rPr>
        <w:t xml:space="preserve">Marker ITS (Internal Transcribed Spacer) · Piattaforma Oxford Nanopore MinION · Database UNITE</w:t>
      </w:r>
    </w:p>
    <w:p>
      <w:pPr>
        <w:pBdr>
          <w:top w:val="single" w:color="1F4E79" w:sz="6"/>
        </w:pBdr>
        <w:spacing w:after="60" w:before="200"/>
        <w:jc w:val="center"/>
      </w:pPr>
      <w:r>
        <w:rPr>
          <w:i/>
          <w:iCs/>
          <w:color w:val="6C757D"/>
          <w:sz w:val="16"/>
          <w:szCs w:val="16"/>
        </w:rPr>
        <w:t xml:space="preserve">Nota: i valori quantitativi dei risultati sono ottenuti da una simulazione a scopo illustrativo.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line="276"/>
      </w:pPr>
      <w:r>
        <w:rPr>
          <w:i/>
          <w:iCs/>
          <w:color w:val="6C757D"/>
          <w:sz w:val="16"/>
          <w:szCs w:val="16"/>
        </w:rPr>
        <w:t xml:space="preserve">Per aggiornare l’indice in Word: click sull’indice → F9 → "Aggiorna intero sommario".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Sommario esecutivo</w:t>
      </w:r>
    </w:p>
    <w:p>
      <w:pPr>
        <w:spacing w:after="120" w:line="276"/>
      </w:pPr>
      <w:r>
        <w:t xml:space="preserve">Questo documento descrive </w:t>
      </w:r>
      <w:r>
        <w:rPr>
          <w:b/>
          <w:bCs/>
        </w:rPr>
        <w:t xml:space="preserve">TaxQuality</w:t>
      </w:r>
      <w:r>
        <w:t xml:space="preserve">, una feature </w:t>
      </w:r>
      <w:r>
        <w:rPr>
          <w:b/>
          <w:bCs/>
        </w:rPr>
        <w:t xml:space="preserve">opzionale</w:t>
      </w:r>
      <w:r>
        <w:t xml:space="preserve"> proposta per la pipeline di metabarcoding </w:t>
      </w:r>
      <w:r>
        <w:rPr>
          <w:b/>
          <w:bCs/>
        </w:rPr>
        <w:t xml:space="preserve">LOREON</w:t>
      </w:r>
      <w:r>
        <w:t xml:space="preserve">. LOREON analizza letture (reads) lunghe da sequenziamento </w:t>
      </w:r>
      <w:r>
        <w:rPr>
          <w:b/>
          <w:bCs/>
        </w:rPr>
        <w:t xml:space="preserve">Oxford Nanopore</w:t>
      </w:r>
      <w:r>
        <w:t xml:space="preserve"> del marcatore fungino </w:t>
      </w:r>
      <w:r>
        <w:rPr>
          <w:b/>
          <w:bCs/>
        </w:rPr>
        <w:t xml:space="preserve">ITS (Internal Transcribed Spacer, lo spaziatore trascritto interno del DNA ribosomiale)</w:t>
      </w:r>
      <w:r>
        <w:t xml:space="preserve">, le allinea con </w:t>
      </w:r>
      <w:r>
        <w:rPr>
          <w:b/>
          <w:bCs/>
        </w:rPr>
        <w:t xml:space="preserve">minimap2</w:t>
      </w:r>
      <w:r>
        <w:t xml:space="preserve"> contro il database </w:t>
      </w:r>
      <w:r>
        <w:rPr>
          <w:b/>
          <w:bCs/>
        </w:rPr>
        <w:t xml:space="preserve">UNITE</w:t>
      </w:r>
      <w:r>
        <w:t xml:space="preserve"> e produce una tabella di </w:t>
      </w:r>
      <w:r>
        <w:rPr>
          <w:b/>
          <w:bCs/>
        </w:rPr>
        <w:t xml:space="preserve">OTU (Operational Taxonomic Unit, unità tassonomica operativa)</w:t>
      </w:r>
      <w:r>
        <w:t xml:space="preserve">. LOREON supporta più marcatori (ITS, 16S, LSU, SSU); questo documento usa l’ITS fungino come caso di studio. Oggi la pipeline conta solo gli allineamenti primari e scarta due segnali preziosi prodotti da minimap2: gli allineamenti </w:t>
      </w:r>
      <w:r>
        <w:rPr>
          <w:b/>
          <w:bCs/>
        </w:rPr>
        <w:t xml:space="preserve">secondary</w:t>
      </w:r>
      <w:r>
        <w:t xml:space="preserve"> e </w:t>
      </w:r>
      <w:r>
        <w:rPr>
          <w:b/>
          <w:bCs/>
        </w:rPr>
        <w:t xml:space="preserve">supplementary</w:t>
      </w:r>
      <w:r>
        <w:t xml:space="preserve">.</w:t>
      </w:r>
    </w:p>
    <w:p>
      <w:pPr>
        <w:spacing w:after="120" w:line="276"/>
      </w:pPr>
      <w:r>
        <w:t xml:space="preserve">TaxQuality recupera questi segnali per tre scopi: (1) misurare la </w:t>
      </w:r>
      <w:r>
        <w:rPr>
          <w:b/>
          <w:bCs/>
        </w:rPr>
        <w:t xml:space="preserve">qualità tassonomica</w:t>
      </w:r>
      <w:r>
        <w:t xml:space="preserve"> di ogni OTU tramite un </w:t>
      </w:r>
      <w:r>
        <w:rPr>
          <w:b/>
          <w:bCs/>
        </w:rPr>
        <w:t xml:space="preserve">consenso tassonomico pesato</w:t>
      </w:r>
      <w:r>
        <w:t xml:space="preserve">; (2) correggere l’</w:t>
      </w:r>
      <w:r>
        <w:rPr>
          <w:b/>
          <w:bCs/>
        </w:rPr>
        <w:t xml:space="preserve">abbondanza</w:t>
      </w:r>
      <w:r>
        <w:t xml:space="preserve"> con l’algoritmo </w:t>
      </w:r>
      <w:r>
        <w:rPr>
          <w:b/>
          <w:bCs/>
        </w:rPr>
        <w:t xml:space="preserve">EM (Expectation–Maximization, attesa–massimizzazione)</w:t>
      </w:r>
      <w:r>
        <w:t xml:space="preserve">; (3) stimare un </w:t>
      </w:r>
      <w:r>
        <w:rPr>
          <w:b/>
          <w:bCs/>
        </w:rPr>
        <w:t xml:space="preserve">tasso di rumore / chimere</w:t>
      </w:r>
      <w:r>
        <w:t xml:space="preserve"> come controllo di qualità delle sequenze grezze. In una simulazione su 200.000 reads ITS, delle </w:t>
      </w:r>
      <w:r>
        <w:rPr>
          <w:b/>
          <w:bCs/>
        </w:rPr>
        <w:t xml:space="preserve">28 OTU</w:t>
      </w:r>
      <w:r>
        <w:t xml:space="preserve"> che il conteggio "naive" presenterebbe come specie, solo </w:t>
      </w:r>
      <w:r>
        <w:rPr>
          <w:b/>
          <w:bCs/>
        </w:rPr>
        <w:t xml:space="preserve">8 risultano difendibili a livello di specie</w:t>
      </w:r>
      <w:r>
        <w:t xml:space="preserve">; 12 sono risolvibili solo a genere e 8 sono artefatti da over-split che l’EM azzera (riduzione dell’over-split del 71,4%).</w:t>
      </w:r>
    </w:p>
    <w:p>
      <w:pPr>
        <w:pStyle w:val="Heading1"/>
        <w:spacing w:after="140" w:before="300"/>
      </w:pPr>
      <w:r>
        <w:t xml:space="preserve">2. Fondamenti: come lavora minimap2</w:t>
      </w:r>
    </w:p>
    <w:p>
      <w:pPr>
        <w:spacing w:after="120" w:line="276"/>
      </w:pPr>
      <w:r>
        <w:t xml:space="preserve">Questa sezione stabilisce il vocabolario minimo necessario per capire cosa TaxQuality sfrutta. È scritta per essere leggibile sia da un microbiologo sia da un informatico; ogni sigla viene sciolta alla prima occorrenza.</w:t>
      </w:r>
    </w:p>
    <w:p>
      <w:pPr>
        <w:pStyle w:val="Heading2"/>
        <w:spacing w:after="100" w:before="220"/>
      </w:pPr>
      <w:r>
        <w:t xml:space="preserve">2.1 K-mer, hashing, minimizer e window size</w:t>
      </w:r>
    </w:p>
    <w:p>
      <w:pPr>
        <w:spacing w:after="120" w:line="276"/>
      </w:pPr>
      <w:r>
        <w:t xml:space="preserve">Un </w:t>
      </w:r>
      <w:r>
        <w:rPr>
          <w:b/>
          <w:bCs/>
        </w:rPr>
        <w:t xml:space="preserve">k-mer</w:t>
      </w:r>
      <w:r>
        <w:t xml:space="preserve"> è una sottostringa di lunghezza </w:t>
      </w:r>
      <w:r>
        <w:rPr>
          <w:i/>
          <w:iCs/>
        </w:rPr>
        <w:t xml:space="preserve">k</w:t>
      </w:r>
      <w:r>
        <w:t xml:space="preserve"> di una sequenza di DNA (per esempio, con k=5, la sequenza ATGCA contiene il 5-mer "ATGCA"). Scorrendo una read con una finestra di </w:t>
      </w:r>
      <w:r>
        <w:rPr>
          <w:i/>
          <w:iCs/>
        </w:rPr>
        <w:t xml:space="preserve">k</w:t>
      </w:r>
      <w:r>
        <w:t xml:space="preserve"> basi si ottengono tutti i suoi k-mer. minimap2 non conserva le stringhe: converte ogni k-mer in un numero intero tramite una </w:t>
      </w:r>
      <w:r>
        <w:rPr>
          <w:b/>
          <w:bCs/>
        </w:rPr>
        <w:t xml:space="preserve">funzione di hash</w:t>
      </w:r>
      <w:r>
        <w:t xml:space="preserve"> (una funzione che trasforma il testo in un numero in modo riproducibile) e ne prende la forma </w:t>
      </w:r>
      <w:r>
        <w:rPr>
          <w:b/>
          <w:bCs/>
        </w:rPr>
        <w:t xml:space="preserve">canonica</w:t>
      </w:r>
      <w:r>
        <w:t xml:space="preserve"> (il minore tra il k-mer e il suo complemento inverso), così il mapping è indifferente al filamento di provenienza.</w:t>
      </w:r>
    </w:p>
    <w:p>
      <w:pPr>
        <w:spacing w:after="120" w:line="276"/>
      </w:pPr>
      <w:r>
        <w:t xml:space="preserve">Il parametro </w:t>
      </w:r>
      <w:r>
        <w:rPr>
          <w:b/>
          <w:bCs/>
        </w:rPr>
        <w:t xml:space="preserve">k (-k)</w:t>
      </w:r>
      <w:r>
        <w:t xml:space="preserve"> governa un compromesso: k grande → k-mer più </w:t>
      </w:r>
      <w:r>
        <w:rPr>
          <w:i/>
          <w:iCs/>
        </w:rPr>
        <w:t xml:space="preserve">specifici</w:t>
      </w:r>
      <w:r>
        <w:t xml:space="preserve"> (meno corrispondenze casuali) ma più fragili agli errori (un singolo errore distrugge k k-mer consecutivi); k piccolo → più </w:t>
      </w:r>
      <w:r>
        <w:rPr>
          <w:i/>
          <w:iCs/>
        </w:rPr>
        <w:t xml:space="preserve">sensibile</w:t>
      </w:r>
      <w:r>
        <w:t xml:space="preserve"> su sequenze divergenti o rumorose, ma più rumore. In LOREON il default è k=15.</w:t>
      </w:r>
    </w:p>
    <w:p>
      <w:pPr>
        <w:spacing w:after="120" w:line="276"/>
      </w:pPr>
      <w:r>
        <w:t xml:space="preserve">Indicizzare </w:t>
      </w:r>
      <w:r>
        <w:rPr>
          <w:i/>
          <w:iCs/>
        </w:rPr>
        <w:t xml:space="preserve">tutti</w:t>
      </w:r>
      <w:r>
        <w:t xml:space="preserve"> i k-mer sarebbe enorme e ridondante, quindi minimap2 usa i </w:t>
      </w:r>
      <w:r>
        <w:rPr>
          <w:b/>
          <w:bCs/>
        </w:rPr>
        <w:t xml:space="preserve">minimizer</w:t>
      </w:r>
      <w:r>
        <w:t xml:space="preserve">: all’interno di una finestra di </w:t>
      </w:r>
      <w:r>
        <w:rPr>
          <w:b/>
          <w:bCs/>
        </w:rPr>
        <w:t xml:space="preserve">w (-w)</w:t>
      </w:r>
      <w:r>
        <w:t xml:space="preserve"> k-mer consecutivi (la </w:t>
      </w:r>
      <w:r>
        <w:rPr>
          <w:b/>
          <w:bCs/>
        </w:rPr>
        <w:t xml:space="preserve">window size</w:t>
      </w:r>
      <w:r>
        <w:t xml:space="preserve">, ampiezza della finestra; default 10) si seleziona solo il k-mer con l’hash minimo. Così si campiona circa 2/(w+1) dei k-mer totali, riducendo enormemente la memoria senza perdere le corrispondenze reali: due sequenze che condividono un tratto identico più lungo della finestra selezionano </w:t>
      </w:r>
      <w:r>
        <w:rPr>
          <w:i/>
          <w:iCs/>
        </w:rPr>
        <w:t xml:space="preserve">gli stessi</w:t>
      </w:r>
      <w:r>
        <w:t xml:space="preserve"> minimizer. Il minimizer è quindi il "</w:t>
      </w:r>
      <w:r>
        <w:rPr>
          <w:b/>
          <w:bCs/>
        </w:rPr>
        <w:t xml:space="preserve">seed</w:t>
      </w:r>
      <w:r>
        <w:t xml:space="preserve">" (seme) di minimap2 — una corrispondenza esatta corta da cui parte l’allineamento.</w:t>
      </w:r>
    </w:p>
    <w:p>
      <w:pPr>
        <w:pStyle w:val="Heading2"/>
        <w:spacing w:after="100" w:before="220"/>
      </w:pPr>
      <w:r>
        <w:t xml:space="preserve">2.2 Le modalità di allineamento e il paradigma seed–chain–align</w:t>
      </w:r>
    </w:p>
    <w:p>
      <w:pPr>
        <w:spacing w:after="120" w:line="276"/>
      </w:pPr>
      <w:r>
        <w:t xml:space="preserve">minimap2 non allinea subito base per base (sarebbe lento su dati lunghi e rumorosi): segue lo schema </w:t>
      </w:r>
      <w:r>
        <w:rPr>
          <w:b/>
          <w:bCs/>
        </w:rPr>
        <w:t xml:space="preserve">seed–chain–align</w:t>
      </w:r>
      <w:r>
        <w:t xml:space="preserve">. Prima trova i seed (minimizer condivisi tra read e riferimento), detti </w:t>
      </w:r>
      <w:r>
        <w:rPr>
          <w:b/>
          <w:bCs/>
        </w:rPr>
        <w:t xml:space="preserve">anchor</w:t>
      </w:r>
      <w:r>
        <w:t xml:space="preserve"> (àncore); poi li collega in </w:t>
      </w:r>
      <w:r>
        <w:rPr>
          <w:i/>
          <w:iCs/>
        </w:rPr>
        <w:t xml:space="preserve">catene</w:t>
      </w:r>
      <w:r>
        <w:t xml:space="preserve"> collineari con una programmazione dinamica (chaining); infine, solo dove serve, riempie gli spazi con un allineamento vero e proprio (align). Le </w:t>
      </w:r>
      <w:r>
        <w:rPr>
          <w:b/>
          <w:bCs/>
        </w:rPr>
        <w:t xml:space="preserve">modalità</w:t>
      </w:r>
      <w:r>
        <w:t xml:space="preserve"> (preset) impostano k, w, penalità e soglie per ciascun tipo di dato: </w:t>
      </w:r>
      <w:r>
        <w:rPr>
          <w:b/>
          <w:bCs/>
        </w:rPr>
        <w:t xml:space="preserve">map-ont</w:t>
      </w:r>
      <w:r>
        <w:t xml:space="preserve"> per reads Nanopore (quella usata da LOREON), </w:t>
      </w:r>
      <w:r>
        <w:rPr>
          <w:b/>
          <w:bCs/>
        </w:rPr>
        <w:t xml:space="preserve">map-pb / map-hifi</w:t>
      </w:r>
      <w:r>
        <w:t xml:space="preserve"> per PacBio, </w:t>
      </w:r>
      <w:r>
        <w:rPr>
          <w:b/>
          <w:bCs/>
        </w:rPr>
        <w:t xml:space="preserve">asm5/asm10/asm20</w:t>
      </w:r>
      <w:r>
        <w:t xml:space="preserve"> per confronti genoma-vs-genoma a divergenza crescente, </w:t>
      </w:r>
      <w:r>
        <w:rPr>
          <w:b/>
          <w:bCs/>
        </w:rPr>
        <w:t xml:space="preserve">ava-ont</w:t>
      </w:r>
      <w:r>
        <w:t xml:space="preserve"> per sovrapposizioni read-vs-read. Il preset decide </w:t>
      </w:r>
      <w:r>
        <w:rPr>
          <w:i/>
          <w:iCs/>
        </w:rPr>
        <w:t xml:space="preserve">cosa</w:t>
      </w:r>
      <w:r>
        <w:t xml:space="preserve"> viene confrontato; la qualità della corrispondenza emerge dopo, dal chaining e dall’allineamento.</w:t>
      </w:r>
    </w:p>
    <w:p>
      <w:pPr>
        <w:pStyle w:val="Heading2"/>
        <w:spacing w:after="100" w:before="220"/>
      </w:pPr>
      <w:r>
        <w:t xml:space="preserve">2.3 Allineamenti primary, secondary e supplementary</w:t>
      </w:r>
    </w:p>
    <w:p>
      <w:pPr>
        <w:spacing w:after="120" w:line="276"/>
      </w:pPr>
      <w:r>
        <w:t xml:space="preserve">Per una singola read, minimap2 può produrre più allineamenti, classificati lungo </w:t>
      </w:r>
      <w:r>
        <w:rPr>
          <w:b/>
          <w:bCs/>
        </w:rPr>
        <w:t xml:space="preserve">due assi distinti</w:t>
      </w:r>
      <w:r>
        <w:t xml:space="preserve"> (codificati nei FLAG del formato SAM/BAM — Sequence Alignment/Map, e la sua versione binaria):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primary vs secondary</w:t>
      </w:r>
      <w:r>
        <w:t xml:space="preserve"> — riguarda posizioni </w:t>
      </w:r>
      <w:r>
        <w:rPr>
          <w:i/>
          <w:iCs/>
        </w:rPr>
        <w:t xml:space="preserve">alternative in competizione</w:t>
      </w:r>
      <w:r>
        <w:t xml:space="preserve"> per lo </w:t>
      </w:r>
      <w:r>
        <w:rPr>
          <w:i/>
          <w:iCs/>
        </w:rPr>
        <w:t xml:space="preserve">stesso</w:t>
      </w:r>
      <w:r>
        <w:t xml:space="preserve"> segmento di read (ambiguità di mappaggio);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primary vs supplementary</w:t>
      </w:r>
      <w:r>
        <w:t xml:space="preserve"> — riguarda </w:t>
      </w:r>
      <w:r>
        <w:rPr>
          <w:i/>
          <w:iCs/>
        </w:rPr>
        <w:t xml:space="preserve">porzioni diverse</w:t>
      </w:r>
      <w:r>
        <w:t xml:space="preserve"> della stessa read che mappano in punti diversi (allineamento spezzato / chimerico).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1500"/>
        <w:gridCol w:w="1500"/>
        <w:gridCol w:w="2400"/>
        <w:gridCol w:w="3626"/>
      </w:tblGrid>
      <w:tr>
        <w:trPr>
          <w:tblHeader/>
        </w:trPr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Stesso segmento?</w:t>
            </w:r>
          </w:p>
        </w:tc>
        <w:tc>
          <w:tcPr>
            <w:tcW w:type="dxa" w:w="24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Cosa indica</w:t>
            </w:r>
          </w:p>
        </w:tc>
        <w:tc>
          <w:tcPr>
            <w:tcW w:type="dxa" w:w="36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Uso in TaxQuality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sì (il migliore)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l’assegnazione rappresentativa della read</w:t>
            </w:r>
          </w:p>
        </w:tc>
        <w:tc>
          <w:tcPr>
            <w:tcW w:type="dxa" w:w="36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conteggio di abbondanza (come oggi)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sì (alternativa)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ambiguità: la read poteva stare su altri taxa quasi ugualmente bene</w:t>
            </w:r>
          </w:p>
        </w:tc>
        <w:tc>
          <w:tcPr>
            <w:tcW w:type="dxa" w:w="3626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consenso tassonomico + EM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Supplementary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 (pezzo diverso)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read spezzata: split / chimera / variante strutturale</w:t>
            </w:r>
          </w:p>
        </w:tc>
        <w:tc>
          <w:tcPr>
            <w:tcW w:type="dxa" w:w="3626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tasso di rumore / chimere</w:t>
            </w:r>
          </w:p>
        </w:tc>
      </w:tr>
    </w:tbl>
    <w:p>
      <w:pPr>
        <w:spacing w:after="60" w:line="276"/>
      </w:pPr>
      <w:r>
        <w:t xml:space="preserve">Punto chiave scoperto nel codice: LOREON oggi lancia minimap2 con </w:t>
      </w:r>
      <w:r>
        <w:rPr>
          <w:b/>
          <w:bCs/>
        </w:rPr>
        <w:t xml:space="preserve">--secondary=no</w:t>
      </w:r>
      <w:r>
        <w:t xml:space="preserve"> e filtra i supplementary in fase di conteggio (</w:t>
      </w:r>
      <w:r>
        <w:rPr>
          <w:b/>
          <w:bCs/>
        </w:rPr>
        <w:t xml:space="preserve">samtools view -F 0x904</w:t>
      </w:r>
      <w:r>
        <w:t xml:space="preserve">). I secondary vanno quindi </w:t>
      </w:r>
      <w:r>
        <w:rPr>
          <w:b/>
          <w:bCs/>
        </w:rPr>
        <w:t xml:space="preserve">riattivati</w:t>
      </w:r>
      <w:r>
        <w:t xml:space="preserve"> (in modo opzionale), mentre i supplementary sono già presenti nel BAM completo — il tasso di chimere è quasi gratuito.</w:t>
      </w:r>
    </w:p>
    <w:p>
      <w:pPr>
        <w:pStyle w:val="Heading1"/>
        <w:spacing w:after="140" w:before="300"/>
      </w:pPr>
      <w:r>
        <w:t xml:space="preserve">3. La feature TaxQuality</w:t>
      </w:r>
    </w:p>
    <w:p>
      <w:pPr>
        <w:pStyle w:val="Heading2"/>
        <w:spacing w:after="100" w:before="220"/>
      </w:pPr>
      <w:r>
        <w:t xml:space="preserve">3.1 Perché il consenso per accorpare le read in una OTU</w:t>
      </w:r>
    </w:p>
    <w:p>
      <w:pPr>
        <w:spacing w:after="120" w:line="276"/>
      </w:pPr>
      <w:r>
        <w:t xml:space="preserve">Con l’ITS, una singola read spesso corrisponde </w:t>
      </w:r>
      <w:r>
        <w:rPr>
          <w:i/>
          <w:iCs/>
        </w:rPr>
        <w:t xml:space="preserve">altrettanto bene</w:t>
      </w:r>
      <w:r>
        <w:t xml:space="preserve"> a più riferimenti UNITE quasi identici (le cosiddette </w:t>
      </w:r>
      <w:r>
        <w:rPr>
          <w:b/>
          <w:bCs/>
        </w:rPr>
        <w:t xml:space="preserve">SH, Species Hypothesis</w:t>
      </w:r>
      <w:r>
        <w:t xml:space="preserve"> — ipotesi di specie). Assegnare la read al singolo "miglior colpo" (best-hit) sceglie di fatto a caso tra riferimenti equivalenti: le read di un solo taxon si disperdono su più SH sorelle, generando OTU spurie (over-split) e abbondanze distorte. Il </w:t>
      </w:r>
      <w:r>
        <w:rPr>
          <w:b/>
          <w:bCs/>
        </w:rPr>
        <w:t xml:space="preserve">consenso tassonomico</w:t>
      </w:r>
      <w:r>
        <w:t xml:space="preserve"> — noto anche come </w:t>
      </w:r>
      <w:r>
        <w:rPr>
          <w:b/>
          <w:bCs/>
        </w:rPr>
        <w:t xml:space="preserve">LCA (Lowest Common Ancestor, antenato comune più basso)</w:t>
      </w:r>
      <w:r>
        <w:t xml:space="preserve"> — risolve il problema assegnando la read al nodo tassonomico più profondo compatibile con i suoi candidati plausibili. Così la read viene accorpata in un’unità biologicamente onesta invece che in un riferimento arbitrario. È la pratica consolidata di strumenti come Kraken, MEGAN, QIIME, BASTA e ngsLCA.</w:t>
      </w:r>
    </w:p>
    <w:p>
      <w:pPr>
        <w:spacing w:after="120" w:line="276"/>
      </w:pPr>
      <w:r>
        <w:t xml:space="preserve">La virtù del consenso è che la risoluzione diventa </w:t>
      </w:r>
      <w:r>
        <w:rPr>
          <w:b/>
          <w:bCs/>
        </w:rPr>
        <w:t xml:space="preserve">adattiva per read</w:t>
      </w:r>
      <w:r>
        <w:t xml:space="preserve">: una read i cui candidati sono tutti la stessa specie viene assegnata a specie; una read spartita tra due specie dello stesso genere viene assegnata a </w:t>
      </w:r>
      <w:r>
        <w:rPr>
          <w:i/>
          <w:iCs/>
        </w:rPr>
        <w:t xml:space="preserve">genere</w:t>
      </w:r>
      <w:r>
        <w:t xml:space="preserve"> — una chiamata più alta ma corretta, invece di una falsa chiamata di specie. La profondità del consenso diventa essa stessa una misura di qualità dell’OTU.</w:t>
      </w:r>
    </w:p>
    <w:p>
      <w:pPr>
        <w:pStyle w:val="Heading3"/>
        <w:spacing w:after="80" w:before="160"/>
      </w:pPr>
      <w:r>
        <w:t xml:space="preserve">Perché nella modalità pesata (e qual è l’alternativa)</w:t>
      </w:r>
    </w:p>
    <w:p>
      <w:pPr>
        <w:spacing w:after="120" w:line="276"/>
      </w:pPr>
      <w:r>
        <w:t xml:space="preserve">L’LCA "</w:t>
      </w:r>
      <w:r>
        <w:rPr>
          <w:i/>
          <w:iCs/>
        </w:rPr>
        <w:t xml:space="preserve">stretto</w:t>
      </w:r>
      <w:r>
        <w:t xml:space="preserve">" prende il nodo più basso che contiene </w:t>
      </w:r>
      <w:r>
        <w:rPr>
          <w:b/>
          <w:bCs/>
        </w:rPr>
        <w:t xml:space="preserve">tutti</w:t>
      </w:r>
      <w:r>
        <w:t xml:space="preserve"> i candidati: è fragile, perché un singolo allineamento secondario spurio verso un taxon lontano trascina il consenso fino a un rango altissimo (es. Regno), distruggendo la risoluzione. Il </w:t>
      </w:r>
      <w:r>
        <w:rPr>
          <w:b/>
          <w:bCs/>
        </w:rPr>
        <w:t xml:space="preserve">consenso pesato</w:t>
      </w:r>
      <w:r>
        <w:t xml:space="preserve"> usa invece i punteggi di allineamento (tag AS, Alignment Score) trasformati in pesi (softmax, una normalizzazione esponenziale che converte i punteggi in probabilità) e prende il nodo più profondo che cattura almeno una frazione </w:t>
      </w:r>
      <w:r>
        <w:rPr>
          <w:b/>
          <w:bCs/>
        </w:rPr>
        <w:t xml:space="preserve">τ (tau)</w:t>
      </w:r>
      <w:r>
        <w:t xml:space="preserve"> della massa di punteggio (default τ = 0,9). È robusto a qualche colpo di bassa qualità ed è l’analogo della soglia di bootstrap del classificatore RDP (Ribosomal Database Project).</w:t>
      </w:r>
    </w:p>
    <w:p>
      <w:pPr>
        <w:spacing w:after="40" w:line="276"/>
      </w:pPr>
      <w:r>
        <w:t xml:space="preserve">Le </w:t>
      </w:r>
      <w:r>
        <w:rPr>
          <w:b/>
          <w:bCs/>
        </w:rPr>
        <w:t xml:space="preserve">alternative</w:t>
      </w:r>
      <w:r>
        <w:t xml:space="preserve"> e i loro limiti: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Best-hit / solo primary</w:t>
      </w:r>
      <w:r>
        <w:t xml:space="preserve"> (ciò che LOREON fa oggi): semplice e veloce, ma over-splitta e non sa esprimere incertezza.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Collasso a rango fisso</w:t>
      </w:r>
      <w:r>
        <w:t xml:space="preserve"> (es. forzare tutto a genere): perde uniformemente la risoluzione, buttando via il segnale di specie dove invece esiste.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LCA stretto</w:t>
      </w:r>
      <w:r>
        <w:t xml:space="preserve"> (τ = 1,0): come sopra, fragile al rumore. Il consenso pesato è la via di mezzo robusta.</w:t>
      </w:r>
    </w:p>
    <w:p>
      <w:pPr>
        <w:pStyle w:val="Heading2"/>
        <w:spacing w:after="100" w:before="220"/>
      </w:pPr>
      <w:r>
        <w:t xml:space="preserve">3.2 L’algoritmo EM (Expectation–Maximization) per l’abbondanza</w:t>
      </w:r>
    </w:p>
    <w:p>
      <w:pPr>
        <w:spacing w:after="120" w:line="276"/>
      </w:pPr>
      <w:r>
        <w:t xml:space="preserve">Contare solo i primary sottostima i taxa in regioni condivise; contare tutti gli hit li sovrastima. L’</w:t>
      </w:r>
      <w:r>
        <w:rPr>
          <w:b/>
          <w:bCs/>
        </w:rPr>
        <w:t xml:space="preserve">EM (Expectation–Maximization, attesa–massimizzazione)</w:t>
      </w:r>
      <w:r>
        <w:t xml:space="preserve"> risolve il problema in modo statisticamente corretto, stimando le abbondanze per </w:t>
      </w:r>
      <w:r>
        <w:rPr>
          <w:b/>
          <w:bCs/>
        </w:rPr>
        <w:t xml:space="preserve">massima verosimiglianza</w:t>
      </w:r>
      <w:r>
        <w:t xml:space="preserve">. È un algoritmo iterativo in due passi che alterna: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Passo E (Expectation)</w:t>
      </w:r>
      <w:r>
        <w:t xml:space="preserve">: per ogni read multi-mapping calcola la </w:t>
      </w:r>
      <w:r>
        <w:rPr>
          <w:i/>
          <w:iCs/>
        </w:rPr>
        <w:t xml:space="preserve">responsabilità</w:t>
      </w:r>
      <w:r>
        <w:t xml:space="preserve"> γ(r,j), cioè la probabilità che la read r provenga dal riferimento j, proporzionale a θ(j)·L(r,j) — dove θ(j) è l’abbondanza corrente del taxon j e L(r,j) la verosimiglianza dell’allineamento (dai punteggi AS).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Passo M (Maximization)</w:t>
      </w:r>
      <w:r>
        <w:t xml:space="preserve">: aggiorna le abbondanze θ(j) come somma delle responsabilità su tutte le read, normalizzata.</w:t>
      </w:r>
    </w:p>
    <w:p>
      <w:pPr>
        <w:spacing w:after="120" w:line="276"/>
      </w:pPr>
      <w:r>
        <w:t xml:space="preserve">I due passi si ripetono finché la verosimiglianza smette di crescere (garanzia matematica: l’EM non può mai peggiorarla). Le read con un solo candidato contribuiscono per intero e </w:t>
      </w:r>
      <w:r>
        <w:rPr>
          <w:i/>
          <w:iCs/>
        </w:rPr>
        <w:t xml:space="preserve">ancorano</w:t>
      </w:r>
      <w:r>
        <w:t xml:space="preserve"> la stima, guidando la redistribuzione di quelle ambigue. Il risultato sono conteggi </w:t>
      </w:r>
      <w:r>
        <w:rPr>
          <w:b/>
          <w:bCs/>
        </w:rPr>
        <w:t xml:space="preserve">frazionari</w:t>
      </w:r>
      <w:r>
        <w:t xml:space="preserve"> per OTU che riportano al taxon corretto la massa dispersa sulle SH-ombra sorelle.</w:t>
      </w:r>
    </w:p>
    <w:p>
      <w:pPr>
        <w:spacing w:after="120" w:line="276"/>
      </w:pPr>
      <w:r>
        <w:rPr>
          <w:b/>
          <w:bCs/>
        </w:rPr>
        <w:t xml:space="preserve">Quali software usano già l’EM. </w:t>
      </w:r>
      <w:r>
        <w:t xml:space="preserve">Nella quantificazione da RNA-seq (RNA sequencing): </w:t>
      </w:r>
      <w:r>
        <w:rPr>
          <w:b/>
          <w:bCs/>
        </w:rPr>
        <w:t xml:space="preserve">RSEM</w:t>
      </w:r>
      <w:r>
        <w:t xml:space="preserve">, </w:t>
      </w:r>
      <w:r>
        <w:rPr>
          <w:b/>
          <w:bCs/>
        </w:rPr>
        <w:t xml:space="preserve">kallisto</w:t>
      </w:r>
      <w:r>
        <w:t xml:space="preserve"> e </w:t>
      </w:r>
      <w:r>
        <w:rPr>
          <w:b/>
          <w:bCs/>
        </w:rPr>
        <w:t xml:space="preserve">Salmon</w:t>
      </w:r>
      <w:r>
        <w:t xml:space="preserve">. Nella metagenomica/metabarcoding: </w:t>
      </w:r>
      <w:r>
        <w:rPr>
          <w:b/>
          <w:bCs/>
        </w:rPr>
        <w:t xml:space="preserve">Bracken</w:t>
      </w:r>
      <w:r>
        <w:t xml:space="preserve"> (Bayesian Reestimation of Abundance after Classification with Kraken) applica una ri-stima delle abbondanze concettualmente affine, sopra le classificazioni di Kraken/Kraken2. TaxQuality porta lo stesso principio, ormai standard, dentro LOREON per amplicon ITS long-read.</w:t>
      </w:r>
    </w:p>
    <w:p>
      <w:pPr>
        <w:pStyle w:val="Heading2"/>
        <w:spacing w:after="100" w:before="220"/>
      </w:pPr>
      <w:r>
        <w:t xml:space="preserve">3.3 Qualità tassonomica per-OTU e tasso di rumore/chimere</w:t>
      </w:r>
    </w:p>
    <w:p>
      <w:pPr>
        <w:spacing w:after="120" w:line="276"/>
      </w:pPr>
      <w:r>
        <w:t xml:space="preserve">Per ogni OTU, dal consenso delle sue read si ricava un </w:t>
      </w:r>
      <w:r>
        <w:rPr>
          <w:b/>
          <w:bCs/>
        </w:rPr>
        <w:t xml:space="preserve">profilo di risoluzione</w:t>
      </w:r>
      <w:r>
        <w:t xml:space="preserve">: percentuale di read risolte a specie, profondità mediana di consenso, support medio, MAPQ (Mapping Quality) medio come controllo indipendente, e il </w:t>
      </w:r>
      <w:r>
        <w:rPr>
          <w:b/>
          <w:bCs/>
        </w:rPr>
        <w:t xml:space="preserve">top confounder</w:t>
      </w:r>
      <w:r>
        <w:t xml:space="preserve"> (il taxon con cui l’OTU si "scambia" più spesso le read, cioè la rete di confusione). Dai </w:t>
      </w:r>
      <w:r>
        <w:rPr>
          <w:b/>
          <w:bCs/>
        </w:rPr>
        <w:t xml:space="preserve">supplementary</w:t>
      </w:r>
      <w:r>
        <w:t xml:space="preserve"> si stima invece il tasso di read spezzate (split) e, nella versione raffinata, la frazione di </w:t>
      </w:r>
      <w:r>
        <w:rPr>
          <w:b/>
          <w:bCs/>
        </w:rPr>
        <w:t xml:space="preserve">chimere inter-taxon</w:t>
      </w:r>
      <w:r>
        <w:t xml:space="preserve"> (read il cui pezzo secondario mappa su un taxon diverso dal primario) — un indicatore di qualità della libreria sulle sequenze grezze, tenuto separato dalla qualità tassonomica.</w:t>
      </w:r>
    </w:p>
    <w:p>
      <w:pPr>
        <w:pStyle w:val="Heading1"/>
        <w:spacing w:after="140" w:before="300"/>
      </w:pPr>
      <w:r>
        <w:t xml:space="preserve">4. Benefici biologici attesi (analisi simulata)</w:t>
      </w:r>
    </w:p>
    <w:p>
      <w:pPr>
        <w:spacing w:after="120" w:line="276"/>
      </w:pPr>
      <w:r>
        <w:t xml:space="preserve">I numeri seguenti provengono da una </w:t>
      </w:r>
      <w:r>
        <w:rPr>
          <w:b/>
          <w:bCs/>
        </w:rPr>
        <w:t xml:space="preserve">simulazione</w:t>
      </w:r>
      <w:r>
        <w:t xml:space="preserve"> di un run ITS da 200.000 reads su 3 barcode, mappate contro UNITE. Il modello riproduce un fenomeno reale e documentato: l’over-split delle SH UNITE nei complessi di specie fungini (Aspergillus sez. Nigri, complessi Fusarium/Trichoderma), che l’ITS non risolve a specie.</w:t>
      </w:r>
    </w:p>
    <w:p>
      <w:pPr>
        <w:pStyle w:val="Heading2"/>
        <w:spacing w:after="100" w:before="220"/>
      </w:pPr>
      <w:r>
        <w:t xml:space="preserve">4.1 Correzione della ricchezza a livello di specie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4400"/>
        <w:gridCol w:w="1500"/>
        <w:gridCol w:w="3126"/>
      </w:tblGrid>
      <w:tr>
        <w:trPr>
          <w:tblHeader/>
        </w:trPr>
        <w:tc>
          <w:tcPr>
            <w:tcW w:type="dxa" w:w="44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Categoria di OTU</w:t>
            </w:r>
          </w:p>
        </w:tc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N°</w:t>
            </w:r>
          </w:p>
        </w:tc>
        <w:tc>
          <w:tcPr>
            <w:tcW w:type="dxa" w:w="31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Interpretazione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OTU "naive" (conteggio solo primary)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trattate tutte come specie distinte</w:t>
            </w:r>
          </w:p>
        </w:tc>
      </w:tr>
      <w:tr>
        <w:tc>
          <w:tcPr>
            <w:tcW w:type="dxa" w:w="44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Credibili a livello di specie</w:t>
            </w:r>
          </w:p>
        </w:tc>
        <w:tc>
          <w:tcPr>
            <w:tcW w:type="dxa" w:w="15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1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consenso a specie ≥ 70% delle read</w:t>
            </w:r>
          </w:p>
        </w:tc>
      </w:tr>
      <w:tr>
        <w:tc>
          <w:tcPr>
            <w:tcW w:type="dxa" w:w="440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Risolvibili solo a genere</w:t>
            </w:r>
          </w:p>
        </w:tc>
        <w:tc>
          <w:tcPr>
            <w:tcW w:type="dxa" w:w="150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126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taxa reali, ma l’ITS non li separa a specie</w:t>
            </w:r>
          </w:p>
        </w:tc>
      </w:tr>
      <w:tr>
        <w:tc>
          <w:tcPr>
            <w:tcW w:type="dxa" w:w="4400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Artefatti (azzerati dall’EM)</w:t>
            </w:r>
          </w:p>
        </w:tc>
        <w:tc>
          <w:tcPr>
            <w:tcW w:type="dxa" w:w="1500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126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SH-ombra non realmente presenti</w:t>
            </w:r>
          </w:p>
        </w:tc>
      </w:tr>
    </w:tbl>
    <w:p>
      <w:pPr>
        <w:spacing w:after="120" w:line="276"/>
      </w:pPr>
      <w:r>
        <w:t xml:space="preserve">Riduzione dell’over-split a livello di specie: </w:t>
      </w:r>
      <w:r>
        <w:rPr>
          <w:b/>
          <w:bCs/>
          <w:color w:val="B02A2A"/>
        </w:rPr>
        <w:t xml:space="preserve">−71,4%</w:t>
      </w:r>
      <w:r>
        <w:t xml:space="preserve">. A livello read, il 49,7% raggiunge il consenso di specie, il 45,7% si ferma a genere, il 4,6% a famiglia (support medio 0,929, MAPQ medio 33,1).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C757D"/>
          <w:sz w:val="16"/>
          <w:szCs w:val="16"/>
        </w:rPr>
        <w:t xml:space="preserve">Figura 1 — Profilo di risoluzione del consenso per OTU. Le OTU a destra della soglia del 70% (blu scuro) sono credibili a livello di specie; sotto, l’ITS risolve in modo affidabile solo il genere. Dati simulati.</w:t>
      </w:r>
    </w:p>
    <w:p>
      <w:pPr>
        <w:pStyle w:val="Heading2"/>
        <w:spacing w:after="100" w:before="220"/>
      </w:pPr>
      <w:r>
        <w:t xml:space="preserve">4.2 Esempio di OTU con le colonne TaxQuality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2450"/>
        <w:gridCol w:w="1150"/>
        <w:gridCol w:w="1150"/>
        <w:gridCol w:w="1150"/>
        <w:gridCol w:w="1200"/>
        <w:gridCol w:w="1926"/>
      </w:tblGrid>
      <w:tr>
        <w:trPr>
          <w:tblHeader/>
        </w:trPr>
        <w:tc>
          <w:tcPr>
            <w:tcW w:type="dxa" w:w="24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Specie</w:t>
            </w:r>
          </w:p>
        </w:tc>
        <w:tc>
          <w:tcPr>
            <w:tcW w:type="dxa" w:w="11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1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EM</w:t>
            </w:r>
          </w:p>
        </w:tc>
        <w:tc>
          <w:tcPr>
            <w:tcW w:type="dxa" w:w="11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% specie</w:t>
            </w:r>
          </w:p>
        </w:tc>
        <w:tc>
          <w:tcPr>
            <w:tcW w:type="dxa" w:w="12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Consenso</w:t>
            </w:r>
          </w:p>
        </w:tc>
        <w:tc>
          <w:tcPr>
            <w:tcW w:type="dxa" w:w="19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Flag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i/>
                <w:iCs/>
              </w:rPr>
              <w:t xml:space="preserve">Saccharomyces cerevisiae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9.324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9.247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96,1%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Specie</w:t>
            </w:r>
          </w:p>
        </w:tc>
        <w:tc>
          <w:tcPr>
            <w:tcW w:type="dxa" w:w="19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species-credible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i/>
                <w:iCs/>
              </w:rPr>
              <w:t xml:space="preserve">Aspergillus niger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16.036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25.290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25,8%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Genere</w:t>
            </w:r>
          </w:p>
        </w:tc>
        <w:tc>
          <w:tcPr>
            <w:tcW w:type="dxa" w:w="1926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genus-level only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i/>
                <w:iCs/>
              </w:rPr>
              <w:t xml:space="preserve">Aspergillus tubingensis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5.601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color w:val="B02A2A"/>
                <w:sz w:val="19"/>
                <w:szCs w:val="19"/>
              </w:rPr>
              <w:t xml:space="preserve">168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sz w:val="19"/>
                <w:szCs w:val="19"/>
              </w:rPr>
              <w:t xml:space="preserve">27,1%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Genere</w:t>
            </w:r>
          </w:p>
        </w:tc>
        <w:tc>
          <w:tcPr>
            <w:tcW w:type="dxa" w:w="1926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artifact (EM-stripped)</w:t>
            </w:r>
          </w:p>
        </w:tc>
      </w:tr>
    </w:tbl>
    <w:p>
      <w:pPr>
        <w:spacing w:after="120" w:line="276"/>
      </w:pPr>
      <w:r>
        <w:t xml:space="preserve">L’EM recupera la massa dispersa sulle SH sorelle e la riporta al taxon corretto (</w:t>
      </w:r>
      <w:r>
        <w:rPr>
          <w:i/>
          <w:iCs/>
        </w:rPr>
        <w:t xml:space="preserve">A. niger</w:t>
      </w:r>
      <w:r>
        <w:t xml:space="preserve">: 16.036 → 25.290) azzerando l’artefatto (</w:t>
      </w:r>
      <w:r>
        <w:rPr>
          <w:i/>
          <w:iCs/>
        </w:rPr>
        <w:t xml:space="preserve">A. tubingensis</w:t>
      </w:r>
      <w:r>
        <w:t xml:space="preserve">: 5.601 → 168). Il tasso di split è 1,9%, quello di chimere inter-taxon 1,18%.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C757D"/>
          <w:sz w:val="16"/>
          <w:szCs w:val="16"/>
        </w:rPr>
        <w:t xml:space="preserve">Figura 2 — Correzione dell’abbondanza via EM. I trattini grigi indicano il valore vero noto in input: l’EM riavvicina i taxa dei complessi (es. A. niger, F. oxysporum) al valore reale, mentre per le specie distinte primary ed EM coincidono. Dati simulati.</w:t>
      </w:r>
    </w:p>
    <w:p>
      <w:pPr>
        <w:pStyle w:val="Heading1"/>
        <w:spacing w:after="140" w:before="300"/>
      </w:pPr>
      <w:r>
        <w:t xml:space="preserve">5. Costo computazionale</w:t>
      </w:r>
    </w:p>
    <w:p>
      <w:pPr>
        <w:spacing w:after="120" w:line="276"/>
      </w:pPr>
      <w:r>
        <w:t xml:space="preserve">Per "costo" si intende qui il costo </w:t>
      </w:r>
      <w:r>
        <w:rPr>
          <w:b/>
          <w:bCs/>
        </w:rPr>
        <w:t xml:space="preserve">computazionale</w:t>
      </w:r>
      <w:r>
        <w:t xml:space="preserve"> (tempo di calcolo, memoria RAM, spazio su disco, I/O), non un costo economico. Riferimento: workstation a 8 core, indice UNITE in cache, un run da 200.000 reads ITS complessive (ripartite su più barcode, elaborati in parallelo sui core). TaxQuality è opzionale: a flag disattivati la pipeline resta identica a oggi (nessun sovraccarico).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2100"/>
        <w:gridCol w:w="2100"/>
        <w:gridCol w:w="2200"/>
        <w:gridCol w:w="2626"/>
      </w:tblGrid>
      <w:tr>
        <w:trPr>
          <w:tblHeader/>
        </w:trPr>
        <w:tc>
          <w:tcPr>
            <w:tcW w:type="dxa" w:w="21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Risorsa</w:t>
            </w:r>
          </w:p>
        </w:tc>
        <w:tc>
          <w:tcPr>
            <w:tcW w:type="dxa" w:w="21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W w:type="dxa" w:w="22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Con TaxQuality</w:t>
            </w:r>
          </w:p>
        </w:tc>
        <w:tc>
          <w:tcPr>
            <w:tcW w:type="dxa" w:w="26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Tempo (wall-clock)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~3–5 min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~8–12 min (~2×)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scala ~lineare con le reads; barcode in parallelo sui core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RAM (picco)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~2–4 GB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~3–5 GB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dominata dall’indice UNITE; la passata read-level è in streaming, la matrice EM è sparsa (~50–200 MB)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Disco (transitorio)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~150–300 MB BAM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~200–400 MB BAM + ~30–100 MB candidati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+~25% per i secondary; tutto cancellabile con --delete-bam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I/O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scrittura BAM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+1 lettura sequenziale del BAM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passata unica condivisa da consenso ed EM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mapping + samtools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+ remap secondary, + consenso, + EM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EM: decine di iterazioni, secondi con numpy/scipy sparse</w:t>
            </w:r>
          </w:p>
        </w:tc>
      </w:tr>
    </w:tbl>
    <w:p>
      <w:pPr>
        <w:spacing w:after="60" w:line="276"/>
      </w:pPr>
      <w:r>
        <w:t xml:space="preserve">In sintesi: il sovraccarico è modesto e </w:t>
      </w:r>
      <w:r>
        <w:rPr>
          <w:b/>
          <w:bCs/>
        </w:rPr>
        <w:t xml:space="preserve">adatto a una macchina con 16 GB di RAM</w:t>
      </w:r>
      <w:r>
        <w:t xml:space="preserve">. La componente più pesante è il ri-mapping con i secondary attivi; la passata read-level e l’EM aggiungono poco perché lavorano in streaming e su strutture sparse.</w:t>
      </w:r>
    </w:p>
    <w:p>
      <w:pPr>
        <w:pStyle w:val="Heading1"/>
        <w:spacing w:after="140" w:before="300"/>
      </w:pPr>
      <w:r>
        <w:t xml:space="preserve">6. Tempi di implementazione</w:t>
      </w:r>
    </w:p>
    <w:p>
      <w:pPr>
        <w:spacing w:after="120" w:line="276"/>
      </w:pPr>
      <w:r>
        <w:t xml:space="preserve">Stima dell’effort di sviluppo e del calendario </w:t>
      </w:r>
      <w:r>
        <w:rPr>
          <w:b/>
          <w:bCs/>
        </w:rPr>
        <w:t xml:space="preserve">realistico in regime part-time</w:t>
      </w:r>
      <w:r>
        <w:t xml:space="preserve"> (lavoro intermittente sul progetto di dottorato). Il calendario è volutamente </w:t>
      </w:r>
      <w:r>
        <w:rPr>
          <w:b/>
          <w:bCs/>
        </w:rPr>
        <w:t xml:space="preserve">largo</w:t>
      </w:r>
      <w:r>
        <w:t xml:space="preserve">, soprattutto sulla fase di test: con lavoro discontinuo, il testing e la validazione sono la parte che più si dilata (richiamo di contesto, ambienti, dataset di controllo).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2550"/>
        <w:gridCol w:w="1500"/>
        <w:gridCol w:w="1900"/>
        <w:gridCol w:w="3076"/>
      </w:tblGrid>
      <w:tr>
        <w:trPr>
          <w:tblHeader/>
        </w:trPr>
        <w:tc>
          <w:tcPr>
            <w:tcW w:type="dxa" w:w="25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19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Calendario part-time</w:t>
            </w:r>
          </w:p>
        </w:tc>
        <w:tc>
          <w:tcPr>
            <w:tcW w:type="dxa" w:w="307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1 — Chimera-rate Tier 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0,5–1 gg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~1–2 settimane</w:t>
            </w:r>
          </w:p>
        </w:tc>
        <w:tc>
          <w:tcPr>
            <w:tcW w:type="dxa" w:w="3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estende _parse_flagstat; nessuna dipendenza, rischio zero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2 — Modulo TaxQuality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4–6 gg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~4–6 settimane</w:t>
            </w:r>
          </w:p>
        </w:tc>
        <w:tc>
          <w:tcPr>
            <w:tcW w:type="dxa" w:w="3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passata read-level, secondary condizionali, consenso pesato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3 — Colonne OTU + report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3–4 gg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~3–4 settimane</w:t>
            </w:r>
          </w:p>
        </w:tc>
        <w:tc>
          <w:tcPr>
            <w:tcW w:type="dxa" w:w="3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JOIN DuckDB, rete di confusione, grafici/KPI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4 — EM + validazione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3–5 gg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~4–6 settimane</w:t>
            </w:r>
          </w:p>
        </w:tc>
        <w:tc>
          <w:tcPr>
            <w:tcW w:type="dxa" w:w="3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run_em, tabella _EM, confronto con EPI2ME</w:t>
            </w:r>
          </w:p>
        </w:tc>
      </w:tr>
      <w:tr>
        <w:tc>
          <w:tcPr>
            <w:tcW w:type="dxa" w:w="255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5 — Testing esteso</w:t>
            </w:r>
          </w:p>
        </w:tc>
        <w:tc>
          <w:tcPr>
            <w:tcW w:type="dxa" w:w="150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6–10 gg</w:t>
            </w:r>
          </w:p>
        </w:tc>
        <w:tc>
          <w:tcPr>
            <w:tcW w:type="dxa" w:w="190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~2–4 mesi</w:t>
            </w:r>
          </w:p>
        </w:tc>
        <w:tc>
          <w:tcPr>
            <w:tcW w:type="dxa" w:w="3076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unit test, mock community a composizione nota, casi limite, cross-platform, benchmark riproducibile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6 — Documentazione + release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2–3 gg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~3–4 settimane</w:t>
            </w:r>
          </w:p>
        </w:tc>
        <w:tc>
          <w:tcPr>
            <w:tcW w:type="dxa" w:w="3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manuale, README, packaging installer</w:t>
            </w:r>
          </w:p>
        </w:tc>
      </w:tr>
      <w:tr>
        <w:tc>
          <w:tcPr>
            <w:tcW w:type="dxa" w:w="25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Totale</w:t>
            </w:r>
          </w:p>
        </w:tc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~19–29 gg</w:t>
            </w:r>
          </w:p>
        </w:tc>
        <w:tc>
          <w:tcPr>
            <w:tcW w:type="dxa" w:w="19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~5–8 mesi</w:t>
            </w:r>
          </w:p>
        </w:tc>
        <w:tc>
          <w:tcPr>
            <w:tcW w:type="dxa" w:w="307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rilasciabile per fasi; il testing domina il calendario</w:t>
            </w:r>
          </w:p>
        </w:tc>
      </w:tr>
    </w:tbl>
    <w:p>
      <w:pPr>
        <w:spacing w:after="60" w:line="276"/>
      </w:pPr>
      <w:r>
        <w:t xml:space="preserve">Raccomandazione: rilascio </w:t>
      </w:r>
      <w:r>
        <w:rPr>
          <w:b/>
          <w:bCs/>
        </w:rPr>
        <w:t xml:space="preserve">incrementale</w:t>
      </w:r>
      <w:r>
        <w:t xml:space="preserve">. La Fase 1 dà valore immediato a rischio nullo; le Fasi 2–4 condividono l’unica passata read-level; la Fase 5 va iniziata in parallelo alle Fasi 3–4 e mantenuta come attività continua, prevedendo un buffer ampio vista la discontinuità del lavoro.</w:t>
      </w:r>
    </w:p>
    <w:p>
      <w:pPr>
        <w:pStyle w:val="Heading1"/>
        <w:spacing w:after="140" w:before="300"/>
      </w:pPr>
      <w:r>
        <w:t xml:space="preserve">7. Valutazione di pubblicabilità</w:t>
      </w:r>
    </w:p>
    <w:p>
      <w:pPr>
        <w:spacing w:after="120" w:line="276"/>
      </w:pPr>
      <w:r>
        <w:t xml:space="preserve">Valutazione onesta e non garantista: la pubblicabilità dipende soprattutto dalla qualità della validazione (mock community, confronti con strumenti esistenti) e dall’inquadramento. Di seguito i due scenari.</w:t>
      </w:r>
    </w:p>
    <w:p>
      <w:pPr>
        <w:pStyle w:val="Heading2"/>
        <w:spacing w:after="100" w:before="220"/>
      </w:pPr>
      <w:r>
        <w:t xml:space="preserve">7.1 LOREON senza TaxQuality</w:t>
      </w:r>
    </w:p>
    <w:p>
      <w:pPr>
        <w:spacing w:after="120" w:line="276"/>
      </w:pPr>
      <w:r>
        <w:t xml:space="preserve">LOREON è una pipeline solida e usabile (interfaccia grafica, installer multipiattaforma, report HTML) ma metodologicamente integra strumenti noti (minimap2 + samtools + DuckDB). La novità è limitata: il rischio è la percezione di "</w:t>
      </w:r>
      <w:r>
        <w:rPr>
          <w:i/>
          <w:iCs/>
        </w:rPr>
        <w:t xml:space="preserve">yet another pipeline</w:t>
      </w:r>
      <w:r>
        <w:t xml:space="preserve">". È comunque pubblicabile come </w:t>
      </w:r>
      <w:r>
        <w:rPr>
          <w:b/>
          <w:bCs/>
        </w:rPr>
        <w:t xml:space="preserve">nota applicativa / software tool</w:t>
      </w:r>
      <w:r>
        <w:t xml:space="preserve">, a patto di dimostrare accuratezza rispetto a pipeline esistenti (EPI2ME, PipeCraft, NGSpeciesID), usabilità e riproducibilità.</w:t>
      </w:r>
    </w:p>
    <w:p>
      <w:pPr>
        <w:spacing w:after="120" w:line="276"/>
      </w:pPr>
      <w:r>
        <w:rPr>
          <w:b/>
          <w:bCs/>
        </w:rPr>
        <w:t xml:space="preserve">Riviste di riferimento (fascia medio-alta per tool): </w:t>
      </w:r>
      <w:r>
        <w:t xml:space="preserve">BMC Bioinformatics, PeerJ, Journal of Open Source Software (JOSS), Frontiers in Bioinformatics, Frontiers in Microbiology (sezione Methods), Metabarcoding and Metagenomics, GigaScience.</w:t>
      </w:r>
    </w:p>
    <w:p>
      <w:pPr>
        <w:pStyle w:val="Heading2"/>
        <w:spacing w:after="100" w:before="220"/>
      </w:pPr>
      <w:r>
        <w:t xml:space="preserve">7.2 LOREON con TaxQuality</w:t>
      </w:r>
    </w:p>
    <w:p>
      <w:pPr>
        <w:spacing w:after="120" w:line="276"/>
      </w:pPr>
      <w:r>
        <w:t xml:space="preserve">TaxQuality aggiunge un </w:t>
      </w:r>
      <w:r>
        <w:rPr>
          <w:b/>
          <w:bCs/>
        </w:rPr>
        <w:t xml:space="preserve">contributo metodologico</w:t>
      </w:r>
      <w:r>
        <w:t xml:space="preserve">: lo sfruttamento di secondary e supplementary — informazione che le pipeline di norma scartano — per (a) qualità tassonomica per-OTU via consenso pesato, (b) abbondanza frazionaria via EM nel contesto long-read, (c) controllo di qualità chimere/split. Applicato a un problema reale e sentito (over-split delle SH UNITE e quantificazione affidabile in ITS long-read), questo sposta il lavoro da "tool" a "</w:t>
      </w:r>
      <w:r>
        <w:rPr>
          <w:b/>
          <w:bCs/>
        </w:rPr>
        <w:t xml:space="preserve">metodo + tool</w:t>
      </w:r>
      <w:r>
        <w:t xml:space="preserve">", aumentando la citabilità. Il contributo resta </w:t>
      </w:r>
      <w:r>
        <w:rPr>
          <w:i/>
          <w:iCs/>
        </w:rPr>
        <w:t xml:space="preserve">incrementale</w:t>
      </w:r>
      <w:r>
        <w:t xml:space="preserve"> (EM e LCA sono consolidati: la novità è la loro combinazione e applicazione), quindi i revisori chiederanno confronti con metodi esistenti.</w:t>
      </w:r>
    </w:p>
    <w:p>
      <w:pPr>
        <w:spacing w:after="120" w:line="276"/>
      </w:pPr>
      <w:r>
        <w:rPr>
          <w:b/>
          <w:bCs/>
        </w:rPr>
        <w:t xml:space="preserve">Riviste di riferimento rafforzate: </w:t>
      </w:r>
      <w:r>
        <w:t xml:space="preserve">Molecular Ecology Resources, Bioinformatics (nota applicativa/metodi), Briefings in Bioinformatics, GigaScience, Environmental DNA, mSystems (ASM), Microbiome, NAR Genomics and Bioinformatics.</w:t>
      </w:r>
    </w:p>
    <w:p>
      <w:pPr>
        <w:spacing w:after="60" w:line="276"/>
      </w:pPr>
      <w:r>
        <w:rPr>
          <w:b/>
          <w:bCs/>
        </w:rPr>
        <w:t xml:space="preserve">Requisito abilitante in entrambi i casi: </w:t>
      </w:r>
      <w:r>
        <w:t xml:space="preserve">una validazione quantitativa su </w:t>
      </w:r>
      <w:r>
        <w:rPr>
          <w:b/>
          <w:bCs/>
        </w:rPr>
        <w:t xml:space="preserve">mock community a composizione nota</w:t>
      </w:r>
      <w:r>
        <w:t xml:space="preserve">, con confronto tra conteggio primary, tabella EM e strumenti terzi. È esattamente ciò che l’infrastruttura di benchmark già presente in LOREON (compare_epi2me_loreon.py) permette di produrre.</w:t>
      </w:r>
    </w:p>
    <w:p>
      <w:pPr>
        <w:pStyle w:val="Heading2"/>
        <w:spacing w:after="100" w:before="220"/>
      </w:pPr>
      <w:r>
        <w:t xml:space="preserve">7.3 Prospettiva Nature-family: validazione, portabilità e multi-target</w:t>
      </w:r>
    </w:p>
    <w:p>
      <w:pPr>
        <w:spacing w:after="120" w:line="276"/>
      </w:pPr>
      <w:r>
        <w:t xml:space="preserve">Tre elementi previsti nello sviluppo di LOREON rafforzano in modo sostanziale il posizionamento verso riviste di alto profilo, incluse quelle della famiglia Nature: </w:t>
      </w:r>
      <w:r>
        <w:rPr>
          <w:b/>
          <w:bCs/>
        </w:rPr>
        <w:t xml:space="preserve">(a)</w:t>
      </w:r>
      <w:r>
        <w:t xml:space="preserve"> la validazione su </w:t>
      </w:r>
      <w:r>
        <w:rPr>
          <w:b/>
          <w:bCs/>
        </w:rPr>
        <w:t xml:space="preserve">mock community note e pubblicate</w:t>
      </w:r>
      <w:r>
        <w:t xml:space="preserve"> a composizione certa (rigore e benchmarking verificabile); </w:t>
      </w:r>
      <w:r>
        <w:rPr>
          <w:b/>
          <w:bCs/>
        </w:rPr>
        <w:t xml:space="preserve">(b)</w:t>
      </w:r>
      <w:r>
        <w:t xml:space="preserve"> la </w:t>
      </w:r>
      <w:r>
        <w:rPr>
          <w:b/>
          <w:bCs/>
        </w:rPr>
        <w:t xml:space="preserve">portabilità</w:t>
      </w:r>
      <w:r>
        <w:t xml:space="preserve"> — LOREON è già multipiattaforma con installazione one-click su </w:t>
      </w:r>
      <w:r>
        <w:rPr>
          <w:b/>
          <w:bCs/>
        </w:rPr>
        <w:t xml:space="preserve">Linux (Ubuntu/Debian), Windows e macOS</w:t>
      </w:r>
      <w:r>
        <w:t xml:space="preserve"> (adozione e riproducibilità); </w:t>
      </w:r>
      <w:r>
        <w:rPr>
          <w:b/>
          <w:bCs/>
        </w:rPr>
        <w:t xml:space="preserve">(c)</w:t>
      </w:r>
      <w:r>
        <w:t xml:space="preserve"> il carattere </w:t>
      </w:r>
      <w:r>
        <w:rPr>
          <w:b/>
          <w:bCs/>
        </w:rPr>
        <w:t xml:space="preserve">multi-target</w:t>
      </w:r>
      <w:r>
        <w:t xml:space="preserve">: non solo ITS, ma anche 16S, LSU (Large SubUnit, subunità ribosomiale maggiore), SSU (Small SubUnit, subunità minore) e altri marcatori.</w:t>
      </w:r>
    </w:p>
    <w:p>
      <w:pPr>
        <w:spacing w:after="120" w:line="276"/>
      </w:pPr>
      <w:r>
        <w:t xml:space="preserve">Impatto sulla valutazione di </w:t>
      </w:r>
      <w:r>
        <w:rPr>
          <w:b/>
          <w:bCs/>
        </w:rPr>
        <w:t xml:space="preserve">Nature Methods</w:t>
      </w:r>
      <w:r>
        <w:t xml:space="preserve">. Il multi-target è la leva più importante: copre proprio il criterio di </w:t>
      </w:r>
      <w:r>
        <w:rPr>
          <w:b/>
          <w:bCs/>
        </w:rPr>
        <w:t xml:space="preserve">applicabilità trasversale</w:t>
      </w:r>
      <w:r>
        <w:t xml:space="preserve"> (batteri/archei via 16S; funghi ed eucarioti via ITS/LSU/SSU) che prima era il limite principale, trasformando LOREON da tool ITS-fungino a </w:t>
      </w:r>
      <w:r>
        <w:rPr>
          <w:b/>
          <w:bCs/>
        </w:rPr>
        <w:t xml:space="preserve">metodo generale di quantificazione e controllo qualità per marker-gene long-read</w:t>
      </w:r>
      <w:r>
        <w:t xml:space="preserve">. La validazione su mock pubblicate soddisfa il requisito di benchmarking rigoroso, e la portabilità one-click favorisce l’adozione. Restano quindi coperti due dei tre criteri chiave di Nature Methods (applicabilità e validazione).</w:t>
      </w:r>
    </w:p>
    <w:p>
      <w:pPr>
        <w:spacing w:after="120" w:line="276"/>
      </w:pPr>
      <w:r>
        <w:t xml:space="preserve">Il collo di bottiglia residuo è la </w:t>
      </w:r>
      <w:r>
        <w:rPr>
          <w:b/>
          <w:bCs/>
        </w:rPr>
        <w:t xml:space="preserve">novità del principio algoritmico</w:t>
      </w:r>
      <w:r>
        <w:t xml:space="preserve">. Nature Methods pesa l’originalità metodologica sopra l’ingegneria del software: consenso pesato (LCA) ed EM sono consolidati, e portabilità e facilità d’installazione — pur preziose — non sono di per sé criteri della rivista. L’esito realistico diventa una </w:t>
      </w:r>
      <w:r>
        <w:rPr>
          <w:b/>
          <w:bCs/>
        </w:rPr>
        <w:t xml:space="preserve">Brief Communication difendibile</w:t>
      </w:r>
      <w:r>
        <w:t xml:space="preserve"> se il benchmark cross-marcatore dimostra un vantaggio </w:t>
      </w:r>
      <w:r>
        <w:rPr>
          <w:i/>
          <w:iCs/>
        </w:rPr>
        <w:t xml:space="preserve">chiaro e generalizzabile</w:t>
      </w:r>
      <w:r>
        <w:t xml:space="preserve"> del consenso+EM che sfrutta secondary/supplementary rispetto alle pipeline standard best-hit/LCA su più marcatori. In assenza di questo, resta alto il rischio di rifiuto editoriale o di invito a trasferire su rivista affine.</w:t>
      </w:r>
    </w:p>
    <w:p>
      <w:pPr>
        <w:spacing w:after="120" w:line="276"/>
      </w:pPr>
      <w:r>
        <w:rPr>
          <w:b/>
          <w:bCs/>
        </w:rPr>
        <w:t xml:space="preserve">Inquadramento consigliato del manoscritto: </w:t>
      </w:r>
      <w:r>
        <w:t xml:space="preserve">presentare il </w:t>
      </w:r>
      <w:r>
        <w:rPr>
          <w:b/>
          <w:bCs/>
        </w:rPr>
        <w:t xml:space="preserve">metodo generale</w:t>
      </w:r>
      <w:r>
        <w:t xml:space="preserve"> (sfruttare secondary e supplementary per QC-consenso e abbondanza EM negli ampliconi long-read), validato su più marcatori e regni con mock community pubblicate, con LOREON come implementazione portabile e riproducibile. Questo taglio massimizza la percezione di generalità e impatto.</w:t>
      </w:r>
    </w:p>
    <w:p>
      <w:pPr>
        <w:spacing w:after="60" w:line="276"/>
      </w:pPr>
      <w:r>
        <w:rPr>
          <w:b/>
          <w:bCs/>
        </w:rPr>
        <w:t xml:space="preserve">Bilancio aggiornato. </w:t>
      </w:r>
      <w:r>
        <w:t xml:space="preserve">Con validazione su mock pubblicate + portabilità + multi-target, LOREON con TaxQuality passa da "improbabile" a "</w:t>
      </w:r>
      <w:r>
        <w:rPr>
          <w:b/>
          <w:bCs/>
        </w:rPr>
        <w:t xml:space="preserve">difendibile ma ancora in salita</w:t>
      </w:r>
      <w:r>
        <w:t xml:space="preserve">" per Nature Methods: il limite non è più applicabilità, validazione o usabilità, ma la novità del principio. Il candidato "Nature-family" più realistico resta </w:t>
      </w:r>
      <w:r>
        <w:rPr>
          <w:b/>
          <w:bCs/>
        </w:rPr>
        <w:t xml:space="preserve">Nature Communications</w:t>
      </w:r>
      <w:r>
        <w:t xml:space="preserve">, che premia l’ampiezza e la validazione più della sola novità metodologica richiesta da Nature Methods. I bersagli ad alta probabilità restano quelli elencati in §7.2, cui il carattere multi-target aggiunge con particolare pertinenza </w:t>
      </w:r>
      <w:r>
        <w:rPr>
          <w:b/>
          <w:bCs/>
        </w:rPr>
        <w:t xml:space="preserve">Genome Biology</w:t>
      </w:r>
      <w:r>
        <w:t xml:space="preserve">.</w:t>
      </w:r>
    </w:p>
    <w:p>
      <w:pPr>
        <w:pStyle w:val="Heading1"/>
        <w:spacing w:after="140" w:before="300"/>
      </w:pPr>
      <w:r>
        <w:t xml:space="preserve">8. Per tentare la pubblicazione su Nature</w:t>
      </w:r>
    </w:p>
    <w:p>
      <w:pPr>
        <w:spacing w:after="120" w:line="276"/>
      </w:pPr>
      <w:r>
        <w:t xml:space="preserve">Questa sezione descrive il percorso più ambizioso: sostituire le tre euristiche di TaxQuality (consenso, EM, tasso di chimere) con un </w:t>
      </w:r>
      <w:r>
        <w:rPr>
          <w:b/>
          <w:bCs/>
        </w:rPr>
        <w:t xml:space="preserve">unico modello generativo probabilistico</w:t>
      </w:r>
      <w:r>
        <w:t xml:space="preserve">. È l’elemento che potrebbe elevare LOREON a una rivista Nature-family (cfr. §7.3), perché aggiunge la novità metodologica che portabilità, multi-target e validazione da soli non forniscono. Il prior art più vicino è </w:t>
      </w:r>
      <w:r>
        <w:rPr>
          <w:b/>
          <w:bCs/>
        </w:rPr>
        <w:t xml:space="preserve">Emu</w:t>
      </w:r>
      <w:r>
        <w:t xml:space="preserve"> (Nature Methods 2022), un EM per l’abbondanza 16S long-read; qui il contributo è il trattamento </w:t>
      </w:r>
      <w:r>
        <w:rPr>
          <w:b/>
          <w:bCs/>
        </w:rPr>
        <w:t xml:space="preserve">congiunto</w:t>
      </w:r>
      <w:r>
        <w:t xml:space="preserve"> di errore indel-aware, chimere e risoluzione, con incertezza calibrata e validazione multi-marcatore. La derivazione completa è nel documento di specifica formale allegato; qui se ne riporta l’essenza.</w:t>
      </w:r>
    </w:p>
    <w:p>
      <w:pPr>
        <w:pStyle w:val="Heading2"/>
        <w:spacing w:after="100" w:before="220"/>
      </w:pPr>
      <w:r>
        <w:t xml:space="preserve">8.1 Il modello generativo unificato</w:t>
      </w:r>
    </w:p>
    <w:p>
      <w:pPr>
        <w:spacing w:after="120" w:line="276"/>
      </w:pPr>
      <w:r>
        <w:t xml:space="preserve">I parametri sono θ (le abbondanze relative dei riferimenti), </w:t>
      </w:r>
      <w:r>
        <w:rPr>
          <w:i/>
          <w:iCs/>
        </w:rPr>
        <w:t xml:space="preserve">e</w:t>
      </w:r>
      <w:r>
        <w:t xml:space="preserve"> (i parametri del modello d’errore ONT) e π (la probabilità che una lettura con split sia chimerica). Ogni lettura </w:t>
      </w:r>
      <w:r>
        <w:rPr>
          <w:i/>
          <w:iCs/>
        </w:rPr>
        <w:t xml:space="preserve">r</w:t>
      </w:r>
      <w:r>
        <w:t xml:space="preserve"> ha uno stato latente (sorgente singola, oppure coppia chimerica). La verosimiglianza di una lettura è una mistura:</w:t>
      </w:r>
    </w:p>
    <w:p>
      <w:pPr>
        <w:spacing w:after="120" w:line="276"/>
        <w:jc w:val="center"/>
      </w:pPr>
      <w:r>
        <w:rPr>
          <w:b/>
          <w:bCs/>
          <w:color w:val="1F4E79"/>
        </w:rPr>
        <w:t xml:space="preserve">P(r) = (1 − π·1[split]) · Σ_j θ(j)·L(r|j)  +  π·1[split] · Σ_(a,b) θ(a)·θ(b)·L_chim(r|a,b)</w:t>
      </w:r>
    </w:p>
    <w:p>
      <w:pPr>
        <w:spacing w:after="120" w:line="276"/>
      </w:pPr>
      <w:r>
        <w:t xml:space="preserve">dove 1[split] vale 1 se la lettura ha un allineamento supplementare. La somma è ristretta ai riferimenti candidati di minimap2 (approssimazione "candidate-set"), il che rende il calcolo lineare nel numero di allineamenti anziché nel numero di riferimenti del database.</w:t>
      </w:r>
    </w:p>
    <w:p>
      <w:pPr>
        <w:pStyle w:val="Heading2"/>
        <w:spacing w:after="100" w:before="220"/>
      </w:pPr>
      <w:r>
        <w:t xml:space="preserve">8.2 Modello d’errore indel-aware</w:t>
      </w:r>
    </w:p>
    <w:p>
      <w:pPr>
        <w:spacing w:after="120" w:line="276"/>
      </w:pPr>
      <w:r>
        <w:t xml:space="preserve">Il pezzo che eleva il modello sopra il softmax dei punteggi AS. Condizionando sull’allineamento (logica pair-HMM), con n_M, n_S, n_I, n_D il numero di match, sostituzioni, inserzioni e delezioni dell’allineamento r→j:</w:t>
      </w:r>
    </w:p>
    <w:p>
      <w:pPr>
        <w:spacing w:after="120" w:line="276"/>
        <w:jc w:val="center"/>
      </w:pPr>
      <w:r>
        <w:rPr>
          <w:b/>
          <w:bCs/>
          <w:color w:val="1F4E79"/>
        </w:rPr>
        <w:t xml:space="preserve">log L(r|j) = n_M·log e_M + n_S·log e_S + n_I·log e_I + n_D·log e_D + n_S·log(1/3) + n_I·log(1/4)</w:t>
      </w:r>
    </w:p>
    <w:p>
      <w:pPr>
        <w:spacing w:after="120" w:line="276"/>
      </w:pPr>
      <w:r>
        <w:t xml:space="preserve">I termini log(1/3) e log(1/4) pesano la scelta della base sostituita e inserita. Il carattere </w:t>
      </w:r>
      <w:r>
        <w:rPr>
          <w:b/>
          <w:bCs/>
        </w:rPr>
        <w:t xml:space="preserve">indel-aware</w:t>
      </w:r>
      <w:r>
        <w:t xml:space="preserve"> sta nel tenere e_I ed e_D come parametri liberi e distinti da e_S — l’errore ONT R10 è indel-dominante — e nello </w:t>
      </w:r>
      <w:r>
        <w:rPr>
          <w:b/>
          <w:bCs/>
        </w:rPr>
        <w:t xml:space="preserve">stimarli dai dati</w:t>
      </w:r>
      <w:r>
        <w:t xml:space="preserve"> (§8.4), così il modello si adatta alla chimica di sequenziamento invece di assumere un tasso fisso.</w:t>
      </w:r>
    </w:p>
    <w:p>
      <w:pPr>
        <w:pStyle w:val="Heading2"/>
        <w:spacing w:after="100" w:before="220"/>
      </w:pPr>
      <w:r>
        <w:t xml:space="preserve">8.3 Componente chimera</w:t>
      </w:r>
    </w:p>
    <w:p>
      <w:pPr>
        <w:spacing w:after="120" w:line="276"/>
      </w:pPr>
      <w:r>
        <w:t xml:space="preserve">Per una lettura con split, i due segmenti mappano a due riferimenti a e b: L_chim(r|a,b) = L⁽¹⁾(r|a)·L⁽²⁾(r|b), ciascun fattore calcolato con lo stesso modello d’errore sul proprio segmento. È una selezione di modello per lettura (chimerica vs singola sorgente con grande indel), e π diventa un </w:t>
      </w:r>
      <w:r>
        <w:rPr>
          <w:b/>
          <w:bCs/>
        </w:rPr>
        <w:t xml:space="preserve">parametro stimato</w:t>
      </w:r>
      <w:r>
        <w:t xml:space="preserve">, non un rapporto fisso contato dai supplementary.</w:t>
      </w:r>
    </w:p>
    <w:p>
      <w:pPr>
        <w:pStyle w:val="Heading2"/>
        <w:spacing w:after="100" w:before="220"/>
      </w:pPr>
      <w:r>
        <w:t xml:space="preserve">8.4 Stima per Expectation–Maximization</w:t>
      </w:r>
    </w:p>
    <w:p>
      <w:pPr>
        <w:spacing w:after="120" w:line="276"/>
      </w:pPr>
      <w:r>
        <w:t xml:space="preserve">Passo E (responsabilità posteriori), che sostituiscono i pesi softmax con vere probabilità (con π_r = π·1[split], cioè π solo per le letture con split):</w:t>
      </w:r>
    </w:p>
    <w:p>
      <w:pPr>
        <w:spacing w:after="120" w:line="276"/>
        <w:jc w:val="center"/>
      </w:pPr>
      <w:r>
        <w:rPr>
          <w:b/>
          <w:bCs/>
          <w:color w:val="1F4E79"/>
        </w:rPr>
        <w:t xml:space="preserve">γ(r,j) = (1−π_r)·θ(j)·L(r|j) / P(r)      ρ(r) = [ π · Σ_(a,b) θ(a)·θ(b)·L_chim(r|a,b) ] / P(r)</w:t>
      </w:r>
    </w:p>
    <w:p>
      <w:pPr>
        <w:spacing w:after="120" w:line="276"/>
      </w:pPr>
      <w:r>
        <w:t xml:space="preserve">Passo M (aggiornamenti in forma chiusa), derivati per massimizzazione vincolata:</w:t>
      </w:r>
    </w:p>
    <w:p>
      <w:pPr>
        <w:spacing w:after="60" w:line="276"/>
        <w:jc w:val="center"/>
      </w:pPr>
      <w:r>
        <w:rPr>
          <w:b/>
          <w:bCs/>
          <w:color w:val="1F4E79"/>
        </w:rPr>
        <w:t xml:space="preserve">θ(j) = n(j) / Σ_k n(k),   n(j) = Σ_r γ(r,j) + (contributi chimerici ai due riferimenti genitori)</w:t>
      </w:r>
    </w:p>
    <w:p>
      <w:pPr>
        <w:spacing w:after="60" w:line="276"/>
        <w:jc w:val="center"/>
      </w:pPr>
      <w:r>
        <w:rPr>
          <w:b/>
          <w:bCs/>
          <w:color w:val="1F4E79"/>
        </w:rPr>
        <w:t xml:space="preserve">π = ( 1 / |R_split| ) · Σ_(r ∈ R_split) ρ(r)</w:t>
      </w:r>
    </w:p>
    <w:p>
      <w:pPr>
        <w:spacing w:after="120" w:line="276"/>
        <w:jc w:val="center"/>
      </w:pPr>
      <w:r>
        <w:rPr>
          <w:b/>
          <w:bCs/>
          <w:color w:val="1F4E79"/>
        </w:rPr>
        <w:t xml:space="preserve">e_O = (numero atteso di colonne di tipo O) / (numero atteso di colonne totali),   O ∈ {M, S, I, D}</w:t>
      </w:r>
    </w:p>
    <w:p>
      <w:pPr>
        <w:spacing w:after="120" w:line="276"/>
      </w:pPr>
      <w:r>
        <w:t xml:space="preserve">Da questo </w:t>
      </w:r>
      <w:r>
        <w:rPr>
          <w:b/>
          <w:bCs/>
        </w:rPr>
        <w:t xml:space="preserve">unico</w:t>
      </w:r>
      <w:r>
        <w:t xml:space="preserve"> passaggio emergono coerenti l’abbondanza (θ, con chimere auto-escluse), la risoluzione (dalla forma della posteriore γ) e il tasso di chimere (π stimato). L’EM non diminuisce mai la verosimiglianza (garanzia di monotonia); si inizializza con warm start dai conteggi primari e si usano restart multipli contro gli ottimi locali. Un prior di Dirichlet su θ dà la variante MAP che stabilizza i riferimenti rari.</w:t>
      </w:r>
    </w:p>
    <w:p>
      <w:pPr>
        <w:pStyle w:val="Heading2"/>
        <w:spacing w:after="100" w:before="220"/>
      </w:pPr>
      <w:r>
        <w:t xml:space="preserve">8.5 Risoluzione posteriore e incertezza calibrata</w:t>
      </w:r>
    </w:p>
    <w:p>
      <w:pPr>
        <w:spacing w:after="120" w:line="276"/>
      </w:pPr>
      <w:r>
        <w:t xml:space="preserve">La risoluzione tassonomica per lettura è la profondità a cui la posteriore γ, aggregata sull’albero, concentra almeno τ della massa: è il consenso, ma ora come </w:t>
      </w:r>
      <w:r>
        <w:rPr>
          <w:b/>
          <w:bCs/>
        </w:rPr>
        <w:t xml:space="preserve">probabilità posteriore</w:t>
      </w:r>
      <w:r>
        <w:t xml:space="preserve"> del modello congiunto. Il gancio per la pubblicazione è però l’</w:t>
      </w:r>
      <w:r>
        <w:rPr>
          <w:b/>
          <w:bCs/>
        </w:rPr>
        <w:t xml:space="preserve">incertezza calibrata</w:t>
      </w:r>
      <w:r>
        <w:t xml:space="preserve">: un bootstrap non parametrico sulle letture (ricampiona → rifà l’EM) produce intervalli di credibilità su ogni abbondanza e sugli indici di diversità (Shannon, Chao1). La proprietà da dimostrare è la </w:t>
      </w:r>
      <w:r>
        <w:rPr>
          <w:b/>
          <w:bCs/>
        </w:rPr>
        <w:t xml:space="preserve">copertura</w:t>
      </w:r>
      <w:r>
        <w:t xml:space="preserve">: su mock a composizione nota, i CI al 95% contengono la verità il 95% delle volte. È la proprietà statistica che nessuno strumento di metabarcoding riporta oggi — il cuore del contributo. Dove il marcatore non risolve, i CI si allargano correttamente e si riporta l’unità a risoluzione adattiva (il nodo più fine il cui CI esclude lo zero).</w:t>
      </w:r>
    </w:p>
    <w:p>
      <w:pPr>
        <w:pStyle w:val="Heading2"/>
        <w:spacing w:after="100" w:before="220"/>
      </w:pPr>
      <w:r>
        <w:t xml:space="preserve">8.6 Protocollo di benchmark</w:t>
      </w:r>
    </w:p>
    <w:p>
      <w:pPr>
        <w:spacing w:after="120" w:line="276"/>
      </w:pPr>
      <w:r>
        <w:t xml:space="preserve">Il benchmark è ciò che decide l’esito. In sintesi: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Dataset: </w:t>
      </w:r>
      <w:r>
        <w:t xml:space="preserve">mock community pubblicate a composizione nota, su più marcatori e regni (ITS fungino, 16S batterico, e operone rRNA full-length dove possibile), su ≥2 chimiche ONT.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Baseline: </w:t>
      </w:r>
      <w:r>
        <w:t xml:space="preserve">conteggio primary, best-hit, consenso/LCA, ri-stima stile Bracken, Emu (prior art diretto), più l’ablazione contro il TaxQuality euristico (le tre euristiche separate).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Metriche: </w:t>
      </w:r>
      <w:r>
        <w:t xml:space="preserve">accuratezza dell’abbondanza (Bray–Curtis, Aitchison), tasso di over-split sulle unità adattive, copertura dei CI (metrica-novità), AUROC per il rilevamento chimere.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Criteri a priori: </w:t>
      </w:r>
      <w:r>
        <w:t xml:space="preserve">Bray–Curtis inferiore a tutte le baseline con p&lt;0,05; copertura dei CI entro ±5 punti dal nominale; AUROC chimere &gt;0,9; tutto containerizzato e riproducibile.</w:t>
      </w:r>
    </w:p>
    <w:p>
      <w:pPr>
        <w:pStyle w:val="Heading2"/>
        <w:spacing w:after="100" w:before="220"/>
      </w:pPr>
      <w:r>
        <w:t xml:space="preserve">8.7 Tempistiche di implementazione e testing (percorso Nature)</w:t>
      </w:r>
    </w:p>
    <w:p>
      <w:pPr>
        <w:spacing w:after="120" w:line="276"/>
      </w:pPr>
      <w:r>
        <w:t xml:space="preserve">Questo percorso è nettamente più impegnativo del TaxQuality euristico, e — a differenza degli altri scenari — il </w:t>
      </w:r>
      <w:r>
        <w:rPr>
          <w:b/>
          <w:bCs/>
        </w:rPr>
        <w:t xml:space="preserve">testing e la validazione dominano</w:t>
      </w:r>
      <w:r>
        <w:t xml:space="preserve"> il calendario, con due dipendenze esterne al puro sviluppo. Stima in regime part-time, volutamente larga: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3100"/>
        <w:gridCol w:w="1450"/>
        <w:gridCol w:w="1950"/>
        <w:gridCol w:w="2526"/>
      </w:tblGrid>
      <w:tr>
        <w:trPr>
          <w:tblHeader/>
        </w:trPr>
        <w:tc>
          <w:tcPr>
            <w:tcW w:type="dxa" w:w="31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14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19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Calendario part-time</w:t>
            </w:r>
          </w:p>
        </w:tc>
        <w:tc>
          <w:tcPr>
            <w:tcW w:type="dxa" w:w="25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Implementazione del modello (read-level, modello d’errore, EM congiunto, bootstrap, unità adattive, integrazione)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19–28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~5–8 mesi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il nucleo statistico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Testing numerico e validazione interna (unit test, recovery su simulazione, monotonia EM)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3–5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~1 mese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correttezza dell’inferenza</w:t>
            </w:r>
          </w:p>
        </w:tc>
      </w:tr>
      <w:tr>
        <w:tc>
          <w:tcPr>
            <w:tcW w:type="dxa" w:w="310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Acquisizione/curazione mock community</w:t>
            </w:r>
          </w:p>
        </w:tc>
        <w:tc>
          <w:tcPr>
            <w:tcW w:type="dxa" w:w="145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3–5 gg</w:t>
            </w:r>
          </w:p>
        </w:tc>
        <w:tc>
          <w:tcPr>
            <w:tcW w:type="dxa" w:w="1950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settimane–mesi se generate in laboratorio</w:t>
            </w:r>
          </w:p>
        </w:tc>
        <w:tc>
          <w:tcPr>
            <w:tcW w:type="dxa" w:w="2526"/>
            <w:shd w:fill="FFF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dipendenza wet-lab/sequenziamento separata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Benchmark cross-marcatore/regno + baseline (incl. Emu)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8–12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~2–3 mesi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confronto testa-a-testa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Esperimenti di calibrazione (validazione-novità)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5–8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~2 mesi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 prova che regge il paper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Validazione chimere (spike-in) + robustezza cross-chimica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6–10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~1–2 mesi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precision/recall, AUROC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Analisi statistica, figure, riproducibilità (container, dati/seed)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7–10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~1–2 mesi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pacchetto riproducibile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Stesura manoscritto + revisioni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10–20 gg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lungo il ciclo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include il round di revisione</w:t>
            </w:r>
          </w:p>
        </w:tc>
      </w:tr>
      <w:tr>
        <w:tc>
          <w:tcPr>
            <w:tcW w:type="dxa" w:w="31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Totale (sviluppo + validazione)</w:t>
            </w:r>
          </w:p>
        </w:tc>
        <w:tc>
          <w:tcPr>
            <w:tcW w:type="dxa" w:w="14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~48–73 gg</w:t>
            </w:r>
          </w:p>
        </w:tc>
        <w:tc>
          <w:tcPr>
            <w:tcW w:type="dxa" w:w="19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~12–18 mesi</w:t>
            </w:r>
          </w:p>
        </w:tc>
        <w:tc>
          <w:tcPr>
            <w:tcW w:type="dxa" w:w="25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alla sottomissione; il testing/validazione domina</w:t>
            </w:r>
          </w:p>
        </w:tc>
      </w:tr>
    </w:tbl>
    <w:p>
      <w:pPr>
        <w:spacing w:after="60" w:line="276"/>
      </w:pPr>
      <w:r>
        <w:rPr>
          <w:b/>
          <w:bCs/>
        </w:rPr>
        <w:t xml:space="preserve">Due avvertenze sul "time-to-publication" reale, oltre il "time-to-submission": </w:t>
      </w:r>
      <w:r>
        <w:t xml:space="preserve">(1) se non si riusano dataset pubblici, la generazione delle mock community richiede </w:t>
      </w:r>
      <w:r>
        <w:rPr>
          <w:b/>
          <w:bCs/>
        </w:rPr>
        <w:t xml:space="preserve">lavoro di laboratorio e sequenziamento ONT</w:t>
      </w:r>
      <w:r>
        <w:t xml:space="preserve"> su più marcatori e chimiche — settimane o mesi di calendario non misurabili in giorni-uomo di sviluppo; (2) il </w:t>
      </w:r>
      <w:r>
        <w:rPr>
          <w:b/>
          <w:bCs/>
        </w:rPr>
        <w:t xml:space="preserve">ciclo di peer-review</w:t>
      </w:r>
      <w:r>
        <w:t xml:space="preserve"> di una rivista Nature aggiunge tipicamente molti mesi, spesso oltre un anno con le revisioni. Realisticamente, dall’avvio alla pubblicazione si parla di un orizzonte pluriennale in regime part-time, ed è per questo che conviene procedere per fasi: prototipare prima l’EM congiunto sulla simulazione già disponibile (poche giornate), che verifica il cuore del metodo prima di impegnarsi nel benchmark completo.</w:t>
      </w:r>
    </w:p>
    <w:p>
      <w:pPr>
        <w:pStyle w:val="Heading1"/>
        <w:spacing w:after="140" w:before="300"/>
      </w:pPr>
      <w:r>
        <w:t xml:space="preserve">9. Note metodologiche e limiti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 valori dei risultati (Sezione 4) sono simulati a scopo illustrativo del comportamento atteso; non derivano da dati sperimentali. Il modello riproduce un fenomeno reale (over-split delle SH UNITE nei complessi fungini).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Le stime di tempo, RAM e disco sono valutazioni ingegneristiche basate sul throughput noto di minimap2/samtools; vanno confermate su hardware e dataset reali.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Il tasso di chimere è un proxy di rumore: include anche varianti strutturali e ripetizioni, non solo chimere di PCR (Polymerase Chain Reaction, reazione a catena della polimerasi).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La scelta della soglia di consenso τ influenza i risultati, come ogni soglia di tipo bootstrap; va riportata nei metadati dell’analisi.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Sul dibattito OTU vs ASV (Amplicon Sequence Variant, variante di sequenza dell’amplicone): LOREON è basato su riferimenti (OTU = SH), e TaxQuality è pensato per questo modello; un’estensione ad ASV è possibile ma fuori scope.</w:t>
      </w:r>
    </w:p>
    <w:p>
      <w:pPr>
        <w:pStyle w:val="Heading1"/>
        <w:spacing w:after="140" w:before="300"/>
      </w:pPr>
      <w:r>
        <w:t xml:space="preserve">10. Bibliografia (riferimenti verificati)</w:t>
      </w:r>
    </w:p>
    <w:p>
      <w:pPr>
        <w:spacing w:after="120" w:line="276"/>
      </w:pPr>
      <w:r>
        <w:rPr>
          <w:i/>
          <w:iCs/>
          <w:color w:val="6C757D"/>
          <w:sz w:val="18"/>
          <w:szCs w:val="18"/>
        </w:rPr>
        <w:t xml:space="preserve">Riferimenti verificati tramite ricerca bibliografica (Scholar Gateway e ricerca web). Ordine tematico.</w:t>
      </w:r>
    </w:p>
    <w:p>
      <w:pPr>
        <w:pStyle w:val="Heading3"/>
        <w:spacing w:after="80" w:before="160"/>
      </w:pPr>
      <w:r>
        <w:t xml:space="preserve">Allineamento, k-mer e minimizer</w:t>
      </w:r>
    </w:p>
    <w:p>
      <w:pPr>
        <w:spacing w:after="120" w:line="264"/>
      </w:pPr>
      <w:r>
        <w:rPr>
          <w:b/>
          <w:bCs/>
          <w:sz w:val="18"/>
          <w:szCs w:val="18"/>
        </w:rPr>
        <w:t xml:space="preserve">[1] </w:t>
      </w:r>
      <w:r>
        <w:rPr>
          <w:sz w:val="18"/>
          <w:szCs w:val="18"/>
        </w:rPr>
        <w:t xml:space="preserve">Li H (2018). Minimap2: pairwise alignment for nucleotide sequences. Bioinformatics 34(18):3094–3100. </w:t>
      </w:r>
      <w:hyperlink w:history="1" r:id="rIdko0tlg8ncqfwmyyylfhjn">
        <w:r>
          <w:rPr>
            <w:rStyle w:val="Hyperlink"/>
            <w:color w:val="2A78D6"/>
            <w:sz w:val="18"/>
            <w:szCs w:val="18"/>
          </w:rPr>
          <w:t xml:space="preserve">https://doi.org/10.1093/bioinformatics/bty191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[2] </w:t>
      </w:r>
      <w:r>
        <w:rPr>
          <w:sz w:val="18"/>
          <w:szCs w:val="18"/>
        </w:rPr>
        <w:t xml:space="preserve">Roberts M, Hayes W, Hunt BR, Mount SM, Yorke JA (2004). Reducing storage requirements for biological sequence comparison. Bioinformatics 20(18):3363–3369. </w:t>
      </w:r>
      <w:hyperlink w:history="1" r:id="rIdtpw85rfmpxqpxk3ntmulq">
        <w:r>
          <w:rPr>
            <w:rStyle w:val="Hyperlink"/>
            <w:color w:val="2A78D6"/>
            <w:sz w:val="18"/>
            <w:szCs w:val="18"/>
          </w:rPr>
          <w:t xml:space="preserve">https://doi.org/10.1093/bioinformatics/bth408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[3] </w:t>
      </w:r>
      <w:r>
        <w:rPr>
          <w:sz w:val="18"/>
          <w:szCs w:val="18"/>
        </w:rPr>
        <w:t xml:space="preserve">Chen Y, Xiao C (2020). A survey on de novo assembly methods for single-molecular sequencing. Quantitative Biology 8(3):203–215. </w:t>
      </w:r>
      <w:hyperlink w:history="1" r:id="rIdthzu85ps6l1pvnibdl561">
        <w:r>
          <w:rPr>
            <w:rStyle w:val="Hyperlink"/>
            <w:color w:val="2A78D6"/>
            <w:sz w:val="18"/>
            <w:szCs w:val="18"/>
          </w:rPr>
          <w:t xml:space="preserve">https://doi.org/10.1007/s40484-020-0214-5</w:t>
        </w:r>
      </w:hyperlink>
    </w:p>
    <w:p>
      <w:pPr>
        <w:pStyle w:val="Heading3"/>
        <w:spacing w:after="80" w:before="160"/>
      </w:pPr>
      <w:r>
        <w:t xml:space="preserve">Algoritmo EM e quantificazione dell’abbondanza</w:t>
      </w:r>
    </w:p>
    <w:p>
      <w:pPr>
        <w:spacing w:after="120" w:line="264"/>
      </w:pPr>
      <w:r>
        <w:rPr>
          <w:b/>
          <w:bCs/>
          <w:sz w:val="18"/>
          <w:szCs w:val="18"/>
        </w:rPr>
        <w:t xml:space="preserve">[4] </w:t>
      </w:r>
      <w:r>
        <w:rPr>
          <w:sz w:val="18"/>
          <w:szCs w:val="18"/>
        </w:rPr>
        <w:t xml:space="preserve">Dempster AP, Laird NM, Rubin DB (1977). Maximum likelihood from incomplete data via the EM algorithm. J. R. Stat. Soc. B 39(1):1–38. </w:t>
      </w:r>
      <w:hyperlink w:history="1" r:id="rIdhpmvxxrpoh0wo4rnhniro">
        <w:r>
          <w:rPr>
            <w:rStyle w:val="Hyperlink"/>
            <w:color w:val="2A78D6"/>
            <w:sz w:val="18"/>
            <w:szCs w:val="18"/>
          </w:rPr>
          <w:t xml:space="preserve">https://doi.org/10.1111/j.2517-6161.1977.tb01600.x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[5] </w:t>
      </w:r>
      <w:r>
        <w:rPr>
          <w:sz w:val="18"/>
          <w:szCs w:val="18"/>
        </w:rPr>
        <w:t xml:space="preserve">Li B, Dewey CN (2011). RSEM: accurate transcript quantification from RNA-Seq data with or without a reference genome. BMC Bioinformatics 12:323. </w:t>
      </w:r>
      <w:hyperlink w:history="1" r:id="rIdxtpvky57vcy1dvts0qigx">
        <w:r>
          <w:rPr>
            <w:rStyle w:val="Hyperlink"/>
            <w:color w:val="2A78D6"/>
            <w:sz w:val="18"/>
            <w:szCs w:val="18"/>
          </w:rPr>
          <w:t xml:space="preserve">https://doi.org/10.1186/1471-2105-12-323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[6] </w:t>
      </w:r>
      <w:r>
        <w:rPr>
          <w:sz w:val="18"/>
          <w:szCs w:val="18"/>
        </w:rPr>
        <w:t xml:space="preserve">Bray NL, Pimentel H, Melsted P, Pachter L (2016). Near-optimal probabilistic RNA-seq quantification (kallisto). Nature Biotechnology 34:525–527. </w:t>
      </w:r>
      <w:hyperlink w:history="1" r:id="rIddypnlxla8n5vrfwlizyr3">
        <w:r>
          <w:rPr>
            <w:rStyle w:val="Hyperlink"/>
            <w:color w:val="2A78D6"/>
            <w:sz w:val="18"/>
            <w:szCs w:val="18"/>
          </w:rPr>
          <w:t xml:space="preserve">https://doi.org/10.1038/nbt.3519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[7] </w:t>
      </w:r>
      <w:r>
        <w:rPr>
          <w:sz w:val="18"/>
          <w:szCs w:val="18"/>
        </w:rPr>
        <w:t xml:space="preserve">Patro R, Duggal G, Love MI, Irizarry RA, Kingsford C (2017). Salmon provides fast and bias-aware quantification of transcript expression. Nature Methods 14:417–419. </w:t>
      </w:r>
      <w:hyperlink w:history="1" r:id="rIdboyon86m9lofg6d_amsrm">
        <w:r>
          <w:rPr>
            <w:rStyle w:val="Hyperlink"/>
            <w:color w:val="2A78D6"/>
            <w:sz w:val="18"/>
            <w:szCs w:val="18"/>
          </w:rPr>
          <w:t xml:space="preserve">https://doi.org/10.1038/nmeth.4197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[8] </w:t>
      </w:r>
      <w:r>
        <w:rPr>
          <w:sz w:val="18"/>
          <w:szCs w:val="18"/>
        </w:rPr>
        <w:t xml:space="preserve">Lu J, Breitwieser FP, Thielen P, Salzberg SL (2017). Bracken: estimating species abundance in metagenomics data. PeerJ Computer Science 3:e104. </w:t>
      </w:r>
      <w:hyperlink w:history="1" r:id="rIdxts5elmsestf2hgn3hxtw">
        <w:r>
          <w:rPr>
            <w:rStyle w:val="Hyperlink"/>
            <w:color w:val="2A78D6"/>
            <w:sz w:val="18"/>
            <w:szCs w:val="18"/>
          </w:rPr>
          <w:t xml:space="preserve">https://doi.org/10.7717/peerj-cs.104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[9] </w:t>
      </w:r>
      <w:r>
        <w:rPr>
          <w:sz w:val="18"/>
          <w:szCs w:val="18"/>
        </w:rPr>
        <w:t xml:space="preserve">Li WV, Li JJ (2018). Modeling and analysis of RNA-seq data: a review from a statistical perspective. Quantitative Biology 6(3):195–209. </w:t>
      </w:r>
      <w:hyperlink w:history="1" r:id="rIdb_v6a1kmsu_2glm50kl4q">
        <w:r>
          <w:rPr>
            <w:rStyle w:val="Hyperlink"/>
            <w:color w:val="2A78D6"/>
            <w:sz w:val="18"/>
            <w:szCs w:val="18"/>
          </w:rPr>
          <w:t xml:space="preserve">https://doi.org/10.1007/s40484-018-0144-7</w:t>
        </w:r>
      </w:hyperlink>
    </w:p>
    <w:p>
      <w:pPr>
        <w:pStyle w:val="Heading3"/>
        <w:spacing w:after="80" w:before="160"/>
      </w:pPr>
      <w:r>
        <w:t xml:space="preserve">Consenso / LCA e classificazione tassonomica</w:t>
      </w:r>
    </w:p>
    <w:p>
      <w:pPr>
        <w:spacing w:after="120" w:line="264"/>
      </w:pPr>
      <w:r>
        <w:rPr>
          <w:b/>
          <w:bCs/>
          <w:sz w:val="18"/>
          <w:szCs w:val="18"/>
        </w:rPr>
        <w:t xml:space="preserve">[10] </w:t>
      </w:r>
      <w:r>
        <w:rPr>
          <w:sz w:val="18"/>
          <w:szCs w:val="18"/>
        </w:rPr>
        <w:t xml:space="preserve">Huson DH, Auch AF, Qi J, Schuster SC (2007). MEGAN analysis of metagenomic data. Genome Research 17:377–386. </w:t>
      </w:r>
      <w:hyperlink w:history="1" r:id="rIdcoobuih8q2wfqs8zgoojs">
        <w:r>
          <w:rPr>
            <w:rStyle w:val="Hyperlink"/>
            <w:color w:val="2A78D6"/>
            <w:sz w:val="18"/>
            <w:szCs w:val="18"/>
          </w:rPr>
          <w:t xml:space="preserve">https://doi.org/10.1101/gr.5969107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[11] </w:t>
      </w:r>
      <w:r>
        <w:rPr>
          <w:sz w:val="18"/>
          <w:szCs w:val="18"/>
        </w:rPr>
        <w:t xml:space="preserve">Wood DE, Salzberg SL (2014). Kraken: ultrafast metagenomic sequence classification using exact alignments. Genome Biology 15:R46. </w:t>
      </w:r>
      <w:hyperlink w:history="1" r:id="rIdz4voraycbpk9se_rfmtyo">
        <w:r>
          <w:rPr>
            <w:rStyle w:val="Hyperlink"/>
            <w:color w:val="2A78D6"/>
            <w:sz w:val="18"/>
            <w:szCs w:val="18"/>
          </w:rPr>
          <w:t xml:space="preserve">https://doi.org/10.1186/gb-2014-15-3-r46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[12] </w:t>
      </w:r>
      <w:r>
        <w:rPr>
          <w:sz w:val="18"/>
          <w:szCs w:val="18"/>
        </w:rPr>
        <w:t xml:space="preserve">Wood DE, Lu J, Langmead B (2019). Improved metagenomic analysis with Kraken 2. Genome Biology 20:257. </w:t>
      </w:r>
      <w:hyperlink w:history="1" r:id="rIdo2uumomp0nupfenloolg0">
        <w:r>
          <w:rPr>
            <w:rStyle w:val="Hyperlink"/>
            <w:color w:val="2A78D6"/>
            <w:sz w:val="18"/>
            <w:szCs w:val="18"/>
          </w:rPr>
          <w:t xml:space="preserve">https://doi.org/10.1186/s13059-019-1891-0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[13] </w:t>
      </w:r>
      <w:r>
        <w:rPr>
          <w:sz w:val="18"/>
          <w:szCs w:val="18"/>
        </w:rPr>
        <w:t xml:space="preserve">Bağcı C, Patz S, Huson DH (2021). DIAMOND+MEGAN: Fast and Easy Taxonomic and Functional Analysis of Short and Long Microbiome Sequences. Current Protocols 1(3):e59. </w:t>
      </w:r>
      <w:hyperlink w:history="1" r:id="rIdzj0q3xamjwnjsvicaoanp">
        <w:r>
          <w:rPr>
            <w:rStyle w:val="Hyperlink"/>
            <w:color w:val="2A78D6"/>
            <w:sz w:val="18"/>
            <w:szCs w:val="18"/>
          </w:rPr>
          <w:t xml:space="preserve">https://doi.org/10.1002/cpz1.59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[14] </w:t>
      </w:r>
      <w:r>
        <w:rPr>
          <w:sz w:val="18"/>
          <w:szCs w:val="18"/>
        </w:rPr>
        <w:t xml:space="preserve">Kahlke T, Ralph PJ, Price S (2019). BASTA – Taxonomic classification of sequences and sequence bins using last common ancestor estimations. Methods in Ecology and Evolution 10(1):100–103. </w:t>
      </w:r>
      <w:hyperlink w:history="1" r:id="rIdt4tqa_ggoh6q7jhaw1fxr">
        <w:r>
          <w:rPr>
            <w:rStyle w:val="Hyperlink"/>
            <w:color w:val="2A78D6"/>
            <w:sz w:val="18"/>
            <w:szCs w:val="18"/>
          </w:rPr>
          <w:t xml:space="preserve">https://doi.org/10.1111/2041-210X.13095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[15] </w:t>
      </w:r>
      <w:r>
        <w:rPr>
          <w:sz w:val="18"/>
          <w:szCs w:val="18"/>
        </w:rPr>
        <w:t xml:space="preserve">Wang Y, Korneliussen TS, Holman LE, Manica A, Pedersen MW (2022). ngsLCA — A toolkit for fast and flexible lowest common ancestor inference and taxonomic profiling of metagenomic data. Methods in Ecology and Evolution 13(12):2699–2708. </w:t>
      </w:r>
      <w:hyperlink w:history="1" r:id="rId3edo6y1cjdzrc2gyscwme">
        <w:r>
          <w:rPr>
            <w:rStyle w:val="Hyperlink"/>
            <w:color w:val="2A78D6"/>
            <w:sz w:val="18"/>
            <w:szCs w:val="18"/>
          </w:rPr>
          <w:t xml:space="preserve">https://doi.org/10.1111/2041-210X.14006</w:t>
        </w:r>
      </w:hyperlink>
    </w:p>
    <w:p>
      <w:pPr>
        <w:pStyle w:val="Heading3"/>
        <w:spacing w:after="80" w:before="160"/>
      </w:pPr>
      <w:r>
        <w:t xml:space="preserve">ITS, UNITE e metabarcoding fungino (long-read)</w:t>
      </w:r>
    </w:p>
    <w:p>
      <w:pPr>
        <w:spacing w:after="120" w:line="264"/>
      </w:pPr>
      <w:r>
        <w:rPr>
          <w:b/>
          <w:bCs/>
          <w:sz w:val="18"/>
          <w:szCs w:val="18"/>
        </w:rPr>
        <w:t xml:space="preserve">[16] </w:t>
      </w:r>
      <w:r>
        <w:rPr>
          <w:sz w:val="18"/>
          <w:szCs w:val="18"/>
        </w:rPr>
        <w:t xml:space="preserve">Schoch CL, Seifert KA, Huhndorf S, et al.; Fungal Barcoding Consortium (2012). Nuclear ribosomal internal transcribed spacer (ITS) region as a universal DNA barcode marker for Fungi. PNAS 109(16):6241–6246. </w:t>
      </w:r>
      <w:hyperlink w:history="1" r:id="rId6bj12dqrri5n4vuu9vjyz">
        <w:r>
          <w:rPr>
            <w:rStyle w:val="Hyperlink"/>
            <w:color w:val="2A78D6"/>
            <w:sz w:val="18"/>
            <w:szCs w:val="18"/>
          </w:rPr>
          <w:t xml:space="preserve">https://doi.org/10.1073/pnas.1117018109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[17] </w:t>
      </w:r>
      <w:r>
        <w:rPr>
          <w:sz w:val="18"/>
          <w:szCs w:val="18"/>
        </w:rPr>
        <w:t xml:space="preserve">Kõljalg U, Nilsson RH, Abarenkov K, et al. (2013). Towards a unified paradigm for sequence-based identification of Fungi. Molecular Ecology 22(21):5271–5277. </w:t>
      </w:r>
      <w:hyperlink w:history="1" r:id="rIdg0bpc5jhtvuywo2hwq9a4">
        <w:r>
          <w:rPr>
            <w:rStyle w:val="Hyperlink"/>
            <w:color w:val="2A78D6"/>
            <w:sz w:val="18"/>
            <w:szCs w:val="18"/>
          </w:rPr>
          <w:t xml:space="preserve">https://doi.org/10.1111/mec.12481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[18] </w:t>
      </w:r>
      <w:r>
        <w:rPr>
          <w:sz w:val="18"/>
          <w:szCs w:val="18"/>
        </w:rPr>
        <w:t xml:space="preserve">Nilsson RH, Larsson K-H, Taylor AFS, et al. (2019). The UNITE database for molecular identification of fungi: handling dark taxa and parallel taxonomic classifications. Nucleic Acids Research 47(D1):D259–D264. </w:t>
      </w:r>
      <w:hyperlink w:history="1" r:id="rIdy5rg97zjk-tpwypoyq0g1">
        <w:r>
          <w:rPr>
            <w:rStyle w:val="Hyperlink"/>
            <w:color w:val="2A78D6"/>
            <w:sz w:val="18"/>
            <w:szCs w:val="18"/>
          </w:rPr>
          <w:t xml:space="preserve">https://doi.org/10.1093/nar/gky1022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[19] </w:t>
      </w:r>
      <w:r>
        <w:rPr>
          <w:sz w:val="18"/>
          <w:szCs w:val="18"/>
        </w:rPr>
        <w:t xml:space="preserve">Edgar RC, Haas BJ, Clemente JC, Quince C, Knight R (2011). UCHIME improves sensitivity and speed of chimera detection. Bioinformatics 27(16):2194–2200. </w:t>
      </w:r>
      <w:hyperlink w:history="1" r:id="rIdmkdygox-k_4eiizsu-ucc">
        <w:r>
          <w:rPr>
            <w:rStyle w:val="Hyperlink"/>
            <w:color w:val="2A78D6"/>
            <w:sz w:val="18"/>
            <w:szCs w:val="18"/>
          </w:rPr>
          <w:t xml:space="preserve">https://doi.org/10.1093/bioinformatics/btr381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[20] </w:t>
      </w:r>
      <w:r>
        <w:rPr>
          <w:sz w:val="18"/>
          <w:szCs w:val="18"/>
        </w:rPr>
        <w:t xml:space="preserve">Callahan BJ, McMurdie PJ, Holmes SP (2017). Exact sequence variants should replace operational taxonomic units in marker-gene data analysis. The ISME Journal 11:2639–2643. </w:t>
      </w:r>
      <w:hyperlink w:history="1" r:id="rIdxql9d0j-e13voiikcecjv">
        <w:r>
          <w:rPr>
            <w:rStyle w:val="Hyperlink"/>
            <w:color w:val="2A78D6"/>
            <w:sz w:val="18"/>
            <w:szCs w:val="18"/>
          </w:rPr>
          <w:t xml:space="preserve">https://doi.org/10.1038/ismej.2017.119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[21] </w:t>
      </w:r>
      <w:r>
        <w:rPr>
          <w:sz w:val="18"/>
          <w:szCs w:val="18"/>
        </w:rPr>
        <w:t xml:space="preserve">Metabarcoding with Illumina and Oxford Nanopore Technologies provides complementary insights into tree seed mycobiota (2025). </w:t>
      </w:r>
      <w:hyperlink w:history="1" r:id="rIdsumjyynrk1oc5xpzbjtlz">
        <w:r>
          <w:rPr>
            <w:rStyle w:val="Hyperlink"/>
            <w:color w:val="2A78D6"/>
            <w:sz w:val="18"/>
            <w:szCs w:val="18"/>
          </w:rPr>
          <w:t xml:space="preserve">PubMed 40390141</w:t>
        </w:r>
      </w:hyperlink>
      <w:r>
        <w:rPr>
          <w:sz w:val="18"/>
          <w:szCs w:val="18"/>
        </w:rPr>
        <w:t xml:space="preserve"> · </w:t>
      </w:r>
      <w:hyperlink w:history="1" r:id="rIda0pxskgg61cq2m-bpux9k">
        <w:r>
          <w:rPr>
            <w:rStyle w:val="Hyperlink"/>
            <w:color w:val="2A78D6"/>
            <w:sz w:val="18"/>
            <w:szCs w:val="18"/>
          </w:rPr>
          <w:t xml:space="preserve">PMC12090628</w:t>
        </w:r>
      </w:hyperlink>
    </w:p>
    <w:p>
      <w:pPr>
        <w:pStyle w:val="Heading3"/>
        <w:spacing w:after="80" w:before="160"/>
      </w:pPr>
      <w:r>
        <w:t xml:space="preserve">Modello generativo e prior art (§8)</w:t>
      </w:r>
    </w:p>
    <w:p>
      <w:pPr>
        <w:spacing w:after="120" w:line="264"/>
      </w:pPr>
      <w:r>
        <w:rPr>
          <w:b/>
          <w:bCs/>
          <w:sz w:val="18"/>
          <w:szCs w:val="18"/>
        </w:rPr>
        <w:t xml:space="preserve">[22] </w:t>
      </w:r>
      <w:r>
        <w:rPr>
          <w:sz w:val="18"/>
          <w:szCs w:val="18"/>
        </w:rPr>
        <w:t xml:space="preserve">Curry KD, Wang Q, Nute MG, et al. (2022). Emu: species-level microbial community profiling of full-length 16S rRNA Oxford Nanopore sequencing data. Nature Methods 19:845–853. </w:t>
      </w:r>
      <w:hyperlink w:history="1" r:id="rIdi46p1ah1ogjzlwmlea1ne">
        <w:r>
          <w:rPr>
            <w:rStyle w:val="Hyperlink"/>
            <w:color w:val="2A78D6"/>
            <w:sz w:val="18"/>
            <w:szCs w:val="18"/>
          </w:rPr>
          <w:t xml:space="preserve">https://doi.org/10.1038/s41592-022-01520-4</w:t>
        </w:r>
      </w:hyperlink>
    </w:p>
    <w:p>
      <w:pPr>
        <w:spacing w:after="120" w:line="264"/>
      </w:pPr>
      <w:r>
        <w:rPr>
          <w:b/>
          <w:bCs/>
          <w:sz w:val="18"/>
          <w:szCs w:val="18"/>
        </w:rPr>
        <w:t xml:space="preserve">[23] </w:t>
      </w:r>
      <w:r>
        <w:rPr>
          <w:sz w:val="18"/>
          <w:szCs w:val="18"/>
        </w:rPr>
        <w:t xml:space="preserve">Durbin R, Eddy SR, Krogh A, Mitchison G (1998). Biological Sequence Analysis: Probabilistic Models of Proteins and Nucleic Acids. Cambridge University Press. </w:t>
      </w:r>
      <w:hyperlink w:history="1" r:id="rIdob1z7sinvucyl-y2dlcgf">
        <w:r>
          <w:rPr>
            <w:rStyle w:val="Hyperlink"/>
            <w:color w:val="2A78D6"/>
            <w:sz w:val="18"/>
            <w:szCs w:val="18"/>
          </w:rPr>
          <w:t xml:space="preserve">https://doi.org/10.1017/CBO9780511790492</w:t>
        </w:r>
      </w:hyperlink>
    </w:p>
    <w:p>
      <w:pPr>
        <w:pBdr>
          <w:top w:val="single" w:color="C9C9C9" w:sz="4"/>
        </w:pBdr>
        <w:spacing w:before="240"/>
      </w:pPr>
      <w:r>
        <w:rPr>
          <w:i/>
          <w:iCs/>
          <w:color w:val="6C757D"/>
          <w:sz w:val="15"/>
          <w:szCs w:val="15"/>
        </w:rPr>
        <w:t xml:space="preserve">Fonti bibliografiche recuperate tramite Scholar Gateway (Wiley) e ricerca web; riferimenti primari verificati sull’editore. Sommario generato con assistenza AI — verificare le affermazioni sulle fonti originali.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57D"/>
        <w:sz w:val="16"/>
        <w:szCs w:val="16"/>
      </w:rPr>
      <w:t xml:space="preserve">LOREON · TaxQuality — documento tecnico · pag. </w:t>
    </w:r>
    <w:r>
      <w:rPr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o0tlg8ncqfwmyyylfhjn" Type="http://schemas.openxmlformats.org/officeDocument/2006/relationships/hyperlink" Target="https://doi.org/10.1093/bioinformatics/bty191" TargetMode="External"/><Relationship Id="rIdtpw85rfmpxqpxk3ntmulq" Type="http://schemas.openxmlformats.org/officeDocument/2006/relationships/hyperlink" Target="https://doi.org/10.1093/bioinformatics/bth408" TargetMode="External"/><Relationship Id="rIdthzu85ps6l1pvnibdl561" Type="http://schemas.openxmlformats.org/officeDocument/2006/relationships/hyperlink" Target="https://doi.org/10.1007/s40484-020-0214-5" TargetMode="External"/><Relationship Id="rIdhpmvxxrpoh0wo4rnhniro" Type="http://schemas.openxmlformats.org/officeDocument/2006/relationships/hyperlink" Target="https://doi.org/10.1111/j.2517-6161.1977.tb01600.x" TargetMode="External"/><Relationship Id="rIdxtpvky57vcy1dvts0qigx" Type="http://schemas.openxmlformats.org/officeDocument/2006/relationships/hyperlink" Target="https://doi.org/10.1186/1471-2105-12-323" TargetMode="External"/><Relationship Id="rIddypnlxla8n5vrfwlizyr3" Type="http://schemas.openxmlformats.org/officeDocument/2006/relationships/hyperlink" Target="https://doi.org/10.1038/nbt.3519" TargetMode="External"/><Relationship Id="rIdboyon86m9lofg6d_amsrm" Type="http://schemas.openxmlformats.org/officeDocument/2006/relationships/hyperlink" Target="https://doi.org/10.1038/nmeth.4197" TargetMode="External"/><Relationship Id="rIdxts5elmsestf2hgn3hxtw" Type="http://schemas.openxmlformats.org/officeDocument/2006/relationships/hyperlink" Target="https://doi.org/10.7717/peerj-cs.104" TargetMode="External"/><Relationship Id="rIdb_v6a1kmsu_2glm50kl4q" Type="http://schemas.openxmlformats.org/officeDocument/2006/relationships/hyperlink" Target="https://doi.org/10.1007/s40484-018-0144-7" TargetMode="External"/><Relationship Id="rIdcoobuih8q2wfqs8zgoojs" Type="http://schemas.openxmlformats.org/officeDocument/2006/relationships/hyperlink" Target="https://doi.org/10.1101/gr.5969107" TargetMode="External"/><Relationship Id="rIdz4voraycbpk9se_rfmtyo" Type="http://schemas.openxmlformats.org/officeDocument/2006/relationships/hyperlink" Target="https://doi.org/10.1186/gb-2014-15-3-r46" TargetMode="External"/><Relationship Id="rIdo2uumomp0nupfenloolg0" Type="http://schemas.openxmlformats.org/officeDocument/2006/relationships/hyperlink" Target="https://doi.org/10.1186/s13059-019-1891-0" TargetMode="External"/><Relationship Id="rIdzj0q3xamjwnjsvicaoanp" Type="http://schemas.openxmlformats.org/officeDocument/2006/relationships/hyperlink" Target="https://doi.org/10.1002/cpz1.59" TargetMode="External"/><Relationship Id="rIdt4tqa_ggoh6q7jhaw1fxr" Type="http://schemas.openxmlformats.org/officeDocument/2006/relationships/hyperlink" Target="https://doi.org/10.1111/2041-210X.13095" TargetMode="External"/><Relationship Id="rId3edo6y1cjdzrc2gyscwme" Type="http://schemas.openxmlformats.org/officeDocument/2006/relationships/hyperlink" Target="https://doi.org/10.1111/2041-210X.14006" TargetMode="External"/><Relationship Id="rId6bj12dqrri5n4vuu9vjyz" Type="http://schemas.openxmlformats.org/officeDocument/2006/relationships/hyperlink" Target="https://doi.org/10.1073/pnas.1117018109" TargetMode="External"/><Relationship Id="rIdg0bpc5jhtvuywo2hwq9a4" Type="http://schemas.openxmlformats.org/officeDocument/2006/relationships/hyperlink" Target="https://doi.org/10.1111/mec.12481" TargetMode="External"/><Relationship Id="rIdy5rg97zjk-tpwypoyq0g1" Type="http://schemas.openxmlformats.org/officeDocument/2006/relationships/hyperlink" Target="https://doi.org/10.1093/nar/gky1022" TargetMode="External"/><Relationship Id="rIdmkdygox-k_4eiizsu-ucc" Type="http://schemas.openxmlformats.org/officeDocument/2006/relationships/hyperlink" Target="https://doi.org/10.1093/bioinformatics/btr381" TargetMode="External"/><Relationship Id="rIdxql9d0j-e13voiikcecjv" Type="http://schemas.openxmlformats.org/officeDocument/2006/relationships/hyperlink" Target="https://doi.org/10.1038/ismej.2017.119" TargetMode="External"/><Relationship Id="rIdsumjyynrk1oc5xpzbjtlz" Type="http://schemas.openxmlformats.org/officeDocument/2006/relationships/hyperlink" Target="https://pubmed.ncbi.nlm.nih.gov/40390141/" TargetMode="External"/><Relationship Id="rIda0pxskgg61cq2m-bpux9k" Type="http://schemas.openxmlformats.org/officeDocument/2006/relationships/hyperlink" Target="https://pmc.ncbi.nlm.nih.gov/articles/PMC12090628/" TargetMode="External"/><Relationship Id="rIdi46p1ah1ogjzlwmlea1ne" Type="http://schemas.openxmlformats.org/officeDocument/2006/relationships/hyperlink" Target="https://doi.org/10.1038/s41592-022-01520-4" TargetMode="External"/><Relationship Id="rIdob1z7sinvucyl-y2dlcgf" Type="http://schemas.openxmlformats.org/officeDocument/2006/relationships/hyperlink" Target="https://doi.org/10.1017/CBO9780511790492" TargetMode="External"/><Relationship Id="rId8" Type="http://schemas.openxmlformats.org/officeDocument/2006/relationships/image" Target="media/8d621830d82f6389d32c745d53e54eeb34f2e762.png"/><Relationship Id="rId9" Type="http://schemas.openxmlformats.org/officeDocument/2006/relationships/image" Target="media/d64457b70b823fe349d306c3caf88a2fabe502ce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LOREON — Feature TaxQuality</dc:title>
  <dc:creator>LOREON</dc:creator>
  <cp:lastModifiedBy>Un-named</cp:lastModifiedBy>
  <cp:revision>1</cp:revision>
  <dcterms:created xsi:type="dcterms:W3CDTF">2026-07-24T16:36:02.059Z</dcterms:created>
  <dcterms:modified xsi:type="dcterms:W3CDTF">2026-07-24T16:36:02.060Z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