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60"/>
          <w:szCs w:val="60"/>
        </w:rPr>
        <w:t xml:space="preserve">LOREON</w:t>
      </w:r>
    </w:p>
    <w:p>
      <w:pPr>
        <w:spacing w:after="120"/>
        <w:jc w:val="center"/>
      </w:pPr>
      <w:r>
        <w:rPr>
          <w:color w:val="212529"/>
          <w:sz w:val="32"/>
          <w:szCs w:val="32"/>
        </w:rPr>
        <w:t xml:space="preserve">Evoluzione del modulo TaxQuality</w:t>
      </w:r>
    </w:p>
    <w:p>
      <w:pPr>
        <w:spacing w:after="320"/>
        <w:jc w:val="center"/>
      </w:pPr>
      <w:r>
        <w:rPr>
          <w:i/>
          <w:iCs/>
          <w:color w:val="6C757D"/>
          <w:sz w:val="22"/>
          <w:szCs w:val="22"/>
        </w:rPr>
        <w:t xml:space="preserve">Dalle tre euristiche affiancate al modello generativo unificato</w:t>
      </w:r>
    </w:p>
    <w:p>
      <w:pPr>
        <w:spacing w:after="40"/>
        <w:jc w:val="center"/>
      </w:pPr>
      <w:r>
        <w:rPr>
          <w:color w:val="212529"/>
          <w:sz w:val="20"/>
          <w:szCs w:val="20"/>
        </w:rPr>
        <w:t xml:space="preserve">Report tecnico di design</w:t>
      </w:r>
    </w:p>
    <w:p>
      <w:pPr>
        <w:pBdr>
          <w:top w:val="single" w:color="1F4E79" w:sz="6"/>
        </w:pBdr>
        <w:spacing w:before="200"/>
        <w:jc w:val="center"/>
      </w:pPr>
      <w:r>
        <w:rPr>
          <w:i/>
          <w:iCs/>
          <w:color w:val="6C757D"/>
          <w:sz w:val="16"/>
          <w:szCs w:val="16"/>
        </w:rPr>
        <w:t xml:space="preserve">Proposta di ri-progettazione — non ancora implementata. Complementare al documento principale sulla feature TaxQuality.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1. Scopo e sintesi del cambiamento</w:t>
      </w:r>
    </w:p>
    <w:p>
      <w:pPr>
        <w:spacing w:after="120" w:line="276"/>
      </w:pPr>
      <w:r>
        <w:t xml:space="preserve">Questo report descrive come cambierebbe il modulo </w:t>
      </w:r>
      <w:r>
        <w:rPr>
          <w:b/>
          <w:bCs/>
        </w:rPr>
        <w:t xml:space="preserve">TaxQuality</w:t>
      </w:r>
      <w:r>
        <w:t xml:space="preserve"> se venisse ri-progettato attorno a un </w:t>
      </w:r>
      <w:r>
        <w:rPr>
          <w:b/>
          <w:bCs/>
        </w:rPr>
        <w:t xml:space="preserve">unico modello generativo probabilistico</w:t>
      </w:r>
      <w:r>
        <w:t xml:space="preserve">, invece dei tre meccanismi euristici oggi previsti (consenso pesato, EM per l’abbondanza, tasso di chimere). È la direzione discussa per elevare LOREON a un contributo metodologico da rivista di alto profilo.</w:t>
      </w:r>
    </w:p>
    <w:p>
      <w:pPr>
        <w:spacing w:after="120" w:line="276"/>
      </w:pPr>
      <w:r>
        <w:t xml:space="preserve">Il cambiamento in tre righe: le </w:t>
      </w:r>
      <w:r>
        <w:rPr>
          <w:b/>
          <w:bCs/>
        </w:rPr>
        <w:t xml:space="preserve">tre euristiche diventano una sola verosimiglianza</w:t>
      </w:r>
      <w:r>
        <w:t xml:space="preserve">; il modulo continua a produrre gli stessi tre risultati (risoluzione tassonomica, abbondanza, chimere) ma ora </w:t>
      </w:r>
      <w:r>
        <w:rPr>
          <w:b/>
          <w:bCs/>
        </w:rPr>
        <w:t xml:space="preserve">coerenti perché derivati dallo stesso modello</w:t>
      </w:r>
      <w:r>
        <w:t xml:space="preserve">; e guadagna una capacità nuova — l’</w:t>
      </w:r>
      <w:r>
        <w:rPr>
          <w:b/>
          <w:bCs/>
        </w:rPr>
        <w:t xml:space="preserve">incertezza calibrata</w:t>
      </w:r>
      <w:r>
        <w:t xml:space="preserve"> (intervalli di credibilità su abbondanze e diversità).</w:t>
      </w:r>
    </w:p>
    <w:p>
      <w:pPr>
        <w:pStyle w:val="Heading1"/>
        <w:spacing w:after="140" w:before="300"/>
      </w:pPr>
      <w:r>
        <w:t xml:space="preserve">2. Punto di partenza: TaxQuality "a tre euristiche"</w:t>
      </w:r>
    </w:p>
    <w:p>
      <w:pPr>
        <w:spacing w:after="120" w:line="276"/>
      </w:pPr>
      <w:r>
        <w:t xml:space="preserve">Il design attuale prevede tre meccanismi indipendenti, ciascuno con la propria logica, i propri parametri e i propri output, senza un modello statistico condiviso né una stima dell’incertezza: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Consenso tassonomico pesato (LCA)</w:t>
      </w:r>
      <w:r>
        <w:t xml:space="preserve"> sui secondary → risoluzione e qualità per OTU, con soglia τ fissa.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EM frazionario</w:t>
      </w:r>
      <w:r>
        <w:t xml:space="preserve"> sui pesi softmax dei secondary → correzione dell’abbondanza.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Tasso di rumore/chimere</w:t>
      </w:r>
      <w:r>
        <w:t xml:space="preserve"> dai supplementary → un rapporto calcolato per conteggio.</w:t>
      </w:r>
    </w:p>
    <w:p>
      <w:pPr>
        <w:spacing w:after="120" w:line="276"/>
      </w:pPr>
      <w:r>
        <w:t xml:space="preserve">I tre passi sono separati e non comunicano: il consenso non "sa" delle chimere, l’EM non "sa" della risoluzione, e nessuno dei tre produce barre d’errore. I punteggi di allineamento (AS) entrano come </w:t>
      </w:r>
      <w:r>
        <w:rPr>
          <w:i/>
          <w:iCs/>
        </w:rPr>
        <w:t xml:space="preserve">proxy</w:t>
      </w:r>
      <w:r>
        <w:t xml:space="preserve"> (softmax), non come vera verosimiglianza.</w:t>
      </w:r>
    </w:p>
    <w:p>
      <w:pPr>
        <w:pStyle w:val="Heading1"/>
        <w:spacing w:after="140" w:before="300"/>
      </w:pPr>
      <w:r>
        <w:t xml:space="preserve">3. Il nuovo cuore: un solo modello generativo</w:t>
      </w:r>
    </w:p>
    <w:p>
      <w:pPr>
        <w:spacing w:after="120" w:line="276"/>
      </w:pPr>
      <w:r>
        <w:t xml:space="preserve">Per un campione, i parametri sono θ (le abbondanze relative dei riferimenti), ε (i parametri del modello d’errore ONT) e π (la probabilità a priori che una read sia chimerica). Ogni read </w:t>
      </w:r>
      <w:r>
        <w:rPr>
          <w:i/>
          <w:iCs/>
        </w:rPr>
        <w:t xml:space="preserve">r</w:t>
      </w:r>
      <w:r>
        <w:t xml:space="preserve"> ha uno stato latente: la sorgente da cui proviene e se è o meno una chimera. La verosimiglianza di una read è una </w:t>
      </w:r>
      <w:r>
        <w:rPr>
          <w:b/>
          <w:bCs/>
        </w:rPr>
        <w:t xml:space="preserve">mistura</w:t>
      </w:r>
      <w:r>
        <w:t xml:space="preserve">:</w:t>
      </w:r>
    </w:p>
    <w:p>
      <w:pPr>
        <w:spacing w:after="120" w:line="276"/>
        <w:jc w:val="center"/>
      </w:pPr>
      <w:r>
        <w:rPr>
          <w:b/>
          <w:bCs/>
          <w:color w:val="1F4E79"/>
        </w:rPr>
        <w:t xml:space="preserve">P(r) = (1−π)·Σⱼ θⱼ · L(r | j)  +  π · Σₐ,b θₐ θ_b · L_chim(r | a, b)</w:t>
      </w:r>
    </w:p>
    <w:p>
      <w:pPr>
        <w:spacing w:after="120" w:line="276"/>
      </w:pPr>
      <w:r>
        <w:t xml:space="preserve">Il termine chiave è </w:t>
      </w:r>
      <w:r>
        <w:rPr>
          <w:b/>
          <w:bCs/>
        </w:rPr>
        <w:t xml:space="preserve">L(r | j)</w:t>
      </w:r>
      <w:r>
        <w:t xml:space="preserve">, la probabilità di osservare quell’allineamento data la sorgente </w:t>
      </w:r>
      <w:r>
        <w:rPr>
          <w:i/>
          <w:iCs/>
        </w:rPr>
        <w:t xml:space="preserve">j</w:t>
      </w:r>
      <w:r>
        <w:t xml:space="preserve">. Qui sta il salto: invece del softmax dei punteggi AS, si usa un vero </w:t>
      </w:r>
      <w:r>
        <w:rPr>
          <w:b/>
          <w:bCs/>
        </w:rPr>
        <w:t xml:space="preserve">modello d’errore</w:t>
      </w:r>
      <w:r>
        <w:t xml:space="preserve"> — i mismatch e gli indel sulla lunghezza allineata come processo di Poisson/Binomiale, </w:t>
      </w:r>
      <w:r>
        <w:rPr>
          <w:b/>
          <w:bCs/>
        </w:rPr>
        <w:t xml:space="preserve">separando mismatch e indel</w:t>
      </w:r>
      <w:r>
        <w:t xml:space="preserve"> perché l’errore Nanopore è indel-dominante. Modellare esplicitamente l’errore della piattaforma è già un punto di forza metodologico.</w:t>
      </w:r>
    </w:p>
    <w:p>
      <w:pPr>
        <w:spacing w:after="120" w:line="276"/>
      </w:pPr>
      <w:r>
        <w:t xml:space="preserve">Inferenza per massima verosimiglianza con EM (Expectation–Maximization). Nel passo E si calcolano le </w:t>
      </w:r>
      <w:r>
        <w:rPr>
          <w:b/>
          <w:bCs/>
        </w:rPr>
        <w:t xml:space="preserve">responsabilità</w:t>
      </w:r>
      <w:r>
        <w:t xml:space="preserve"> posteriori γ(r,j) = P(la read r viene da j, non è chimera) e ρ(r) = P(la read r è chimera); nel passo M si aggiornano θ (dalla somma delle γ), π (dalla media delle ρ) ed ε (dai mismatch attesi). Da questo </w:t>
      </w:r>
      <w:r>
        <w:rPr>
          <w:b/>
          <w:bCs/>
        </w:rPr>
        <w:t xml:space="preserve">unico</w:t>
      </w:r>
      <w:r>
        <w:t xml:space="preserve"> passaggio emergono tutti e tre i risultati, coerenti tra loro.</w:t>
      </w:r>
    </w:p>
    <w:p>
      <w:pPr>
        <w:spacing w:after="120" w:line="276"/>
      </w:pPr>
      <w:r>
        <w:rPr>
          <w:b/>
          <w:bCs/>
        </w:rPr>
        <w:t xml:space="preserve">Incertezza calibrata (il gancio per la pubblicazione): </w:t>
      </w:r>
      <w:r>
        <w:t xml:space="preserve">essendo un modello di verosimiglianza, un bootstrap non parametrico sulle read produce una distribuzione di θ e quindi </w:t>
      </w:r>
      <w:r>
        <w:rPr>
          <w:b/>
          <w:bCs/>
        </w:rPr>
        <w:t xml:space="preserve">intervalli di credibilità</w:t>
      </w:r>
      <w:r>
        <w:t xml:space="preserve"> su ogni abbondanza di OTU e sulle metriche di diversità (Shannon, Chao1). La proprietà da dimostrare è la </w:t>
      </w:r>
      <w:r>
        <w:rPr>
          <w:b/>
          <w:bCs/>
        </w:rPr>
        <w:t xml:space="preserve">copertura</w:t>
      </w:r>
      <w:r>
        <w:t xml:space="preserve">: i CI al 95% contengono la verità il 95% delle volte sulle mock community.</w:t>
      </w:r>
    </w:p>
    <w:p>
      <w:pPr>
        <w:pStyle w:val="Heading1"/>
        <w:spacing w:after="140" w:before="300"/>
      </w:pPr>
      <w:r>
        <w:t xml:space="preserve">4. Confronto componente per componente</w:t>
      </w:r>
    </w:p>
    <w:p>
      <w:pPr>
        <w:spacing w:after="120" w:line="276"/>
      </w:pPr>
      <w:r>
        <w:t xml:space="preserve">Come cambia ciascuna funzione del modulo:</w:t>
      </w:r>
    </w:p>
    <w:tbl>
      <w:tblPr>
        <w:tblW w:type="dxa" w:w="902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4"/>
          <w:insideV w:val="single" w:color="DDDDDD" w:sz="4"/>
        </w:tblBorders>
      </w:tblPr>
      <w:tblGrid>
        <w:gridCol w:w="2050"/>
        <w:gridCol w:w="3488"/>
        <w:gridCol w:w="3488"/>
      </w:tblGrid>
      <w:tr>
        <w:trPr>
          <w:tblHeader/>
        </w:trPr>
        <w:tc>
          <w:tcPr>
            <w:tcW w:type="dxa" w:w="205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Funzione</w:t>
            </w:r>
          </w:p>
        </w:tc>
        <w:tc>
          <w:tcPr>
            <w:tcW w:type="dxa" w:w="3488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Oggi (euristica separata)</w:t>
            </w:r>
          </w:p>
        </w:tc>
        <w:tc>
          <w:tcPr>
            <w:tcW w:type="dxa" w:w="3488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Domani (modello unico)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Verosimiglianza della read</w:t>
            </w:r>
          </w:p>
        </w:tc>
        <w:tc>
          <w:tcPr>
            <w:tcW w:type="dxa" w:w="3488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proxy = softmax dei punteggi AS</w:t>
            </w:r>
          </w:p>
        </w:tc>
        <w:tc>
          <w:tcPr>
            <w:tcW w:type="dxa" w:w="3488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modello d’errore ONT esplicito, mismatch + indel: L(r | j)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Risoluzione tassonomica</w:t>
            </w:r>
          </w:p>
        </w:tc>
        <w:tc>
          <w:tcPr>
            <w:tcW w:type="dxa" w:w="3488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consenso pesato con soglia τ fissa</w:t>
            </w:r>
          </w:p>
        </w:tc>
        <w:tc>
          <w:tcPr>
            <w:tcW w:type="dxa" w:w="3488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profondità della distribuzione posteriore γ(r,·): il consenso diventa una probabilità posteriore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Abbondanza</w:t>
            </w:r>
          </w:p>
        </w:tc>
        <w:tc>
          <w:tcPr>
            <w:tcW w:type="dxa" w:w="3488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EM separato sui pesi softmax</w:t>
            </w:r>
          </w:p>
        </w:tc>
        <w:tc>
          <w:tcPr>
            <w:tcW w:type="dxa" w:w="3488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θ dallo stesso EM congiunto; le chimere si auto-escludono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Chimere / rumore</w:t>
            </w:r>
          </w:p>
        </w:tc>
        <w:tc>
          <w:tcPr>
            <w:tcW w:type="dxa" w:w="3488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rapporto fisso contato dai supplementary</w:t>
            </w:r>
          </w:p>
        </w:tc>
        <w:tc>
          <w:tcPr>
            <w:tcW w:type="dxa" w:w="3488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π stimato dai dati + ρ(r) per singola read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Incertezza</w:t>
            </w:r>
          </w:p>
        </w:tc>
        <w:tc>
          <w:tcPr>
            <w:tcW w:type="dxa" w:w="3488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assente (solo stime puntuali)</w:t>
            </w:r>
          </w:p>
        </w:tc>
        <w:tc>
          <w:tcPr>
            <w:tcW w:type="dxa" w:w="3488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intervalli di credibilità calibrati (bootstrap) su abbondanza e diversità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Parametri</w:t>
            </w:r>
          </w:p>
        </w:tc>
        <w:tc>
          <w:tcPr>
            <w:tcW w:type="dxa" w:w="3488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τ, iterazioni EM, soglia chimere — separati e indipendenti</w:t>
            </w:r>
          </w:p>
        </w:tc>
        <w:tc>
          <w:tcPr>
            <w:tcW w:type="dxa" w:w="3488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θ, ε, π stimati congiuntamente dal modello</w:t>
            </w:r>
          </w:p>
        </w:tc>
      </w:tr>
      <w:tr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Risoluzione riportata</w:t>
            </w:r>
          </w:p>
        </w:tc>
        <w:tc>
          <w:tcPr>
            <w:tcW w:type="dxa" w:w="3488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flag species/genus a soglia</w:t>
            </w:r>
          </w:p>
        </w:tc>
        <w:tc>
          <w:tcPr>
            <w:tcW w:type="dxa" w:w="3488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unità a risoluzione adattiva: il livello più fine il cui CI esclude lo zero</w:t>
            </w:r>
          </w:p>
        </w:tc>
      </w:tr>
    </w:tbl>
    <w:p>
      <w:pPr>
        <w:pStyle w:val="Heading1"/>
        <w:spacing w:after="140" w:before="300"/>
      </w:pPr>
      <w:r>
        <w:t xml:space="preserve">5. Architettura del modulo rivista</w:t>
      </w:r>
    </w:p>
    <w:p>
      <w:pPr>
        <w:spacing w:after="120" w:line="276"/>
      </w:pPr>
      <w:r>
        <w:t xml:space="preserve">Il flusso resta a </w:t>
      </w:r>
      <w:r>
        <w:rPr>
          <w:b/>
          <w:bCs/>
        </w:rPr>
        <w:t xml:space="preserve">passata unica</w:t>
      </w:r>
      <w:r>
        <w:t xml:space="preserve"> sul BAM (con secondary e supplementary attivi), ma la parte statistica è centralizzata:</w:t>
      </w:r>
    </w:p>
    <w:p>
      <w:pPr>
        <w:spacing w:after="120" w:line="276"/>
        <w:jc w:val="center"/>
      </w:pPr>
      <w:r>
        <w:rPr>
          <w:b/>
          <w:bCs/>
          <w:color w:val="1F4E79"/>
          <w:sz w:val="19"/>
          <w:szCs w:val="19"/>
        </w:rPr>
        <w:t xml:space="preserve">minimap2 (secondary + supplementary) → tabella candidati per-read → L(r | j) modello d’errore → EM congiunto (θ, ε, π) → bootstrap CI → unità adattive → output</w:t>
      </w:r>
    </w:p>
    <w:p>
      <w:pPr>
        <w:spacing w:after="120" w:line="276"/>
      </w:pPr>
      <w:r>
        <w:t xml:space="preserve">Il modulo (che sostituisce i tre meccanismi separati) si articola in funzioni chiare: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build_read_candidates()</w:t>
      </w:r>
      <w:r>
        <w:t xml:space="preserve"> — dalla passata BAM, per ogni read: riferimenti candidati, lunghezza allineata, mismatch e indel (da NM/CIGAR/de), segmenti dei supplementary.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read_likelihood()</w:t>
      </w:r>
      <w:r>
        <w:t xml:space="preserve"> — il modello d’errore mismatch+indel che calcola L(r | j) e L_chim.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fit_joint_em()</w:t>
      </w:r>
      <w:r>
        <w:t xml:space="preserve"> — l’EM congiunto che stima θ, π ed ε con warm start dai conteggi primary.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bootstrap_intervals()</w:t>
      </w:r>
      <w:r>
        <w:t xml:space="preserve"> — ricampiona le read e rifà l’EM per i CI (parallelo banale).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resolve_adaptive_units()</w:t>
      </w:r>
      <w:r>
        <w:t xml:space="preserve"> — aggrega θ lungo l’albero tassonomico e riporta ogni taxon al livello più fine supportato.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emit_outputs()</w:t>
      </w:r>
      <w:r>
        <w:t xml:space="preserve"> — scrive tabella OTU, statistiche di campione e dati per il report.</w:t>
      </w:r>
    </w:p>
    <w:p>
      <w:pPr>
        <w:pStyle w:val="Heading1"/>
        <w:spacing w:after="140" w:before="300"/>
      </w:pPr>
      <w:r>
        <w:t xml:space="preserve">6. Cosa cambia negli output</w:t>
      </w:r>
    </w:p>
    <w:tbl>
      <w:tblPr>
        <w:tblW w:type="dxa" w:w="902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4"/>
          <w:insideV w:val="single" w:color="DDDDDD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626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Modifica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OTU table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abbondanza puntuale + intervallo di credibilità (basso/alto), credibilità posteriore per OTU, livello di risoluzione adattivo — al posto delle colonne euristiche a soglia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mapping_stats.json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π (tasso chimere) stimato, parametri ε del modello d’errore, metriche di diversità (Shannon, Chao1) con CI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Report HTML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barre d’errore sulle abbondanze, pannello di calibrazione/credibilità, distribuzione delle risoluzioni</w:t>
            </w:r>
          </w:p>
        </w:tc>
      </w:tr>
    </w:tbl>
    <w:p>
      <w:pPr>
        <w:pStyle w:val="Heading1"/>
        <w:spacing w:after="140" w:before="300"/>
      </w:pPr>
      <w:r>
        <w:t xml:space="preserve">7. Cosa resta invariato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minimap2 in modalità map-ont con secondary e supplementary attivi (già previsto da TaxQuality).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Modello reference-based (OTU = SH di UNITE) e passata read-level unica.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Sole dipendenze numpy/scipy: compatibile con PyInstaller, resta multipiattaforma one-click.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Carattere opzionale e non distruttivo: a flag disattivati la pipeline resta identica a oggi.</w:t>
      </w:r>
    </w:p>
    <w:p>
      <w:pPr>
        <w:pStyle w:val="Heading1"/>
        <w:spacing w:after="140" w:before="300"/>
      </w:pPr>
      <w:r>
        <w:t xml:space="preserve">8. Impatto sul costo computazionale</w:t>
      </w:r>
    </w:p>
    <w:p>
      <w:pPr>
        <w:spacing w:after="120" w:line="276"/>
      </w:pPr>
      <w:r>
        <w:t xml:space="preserve">L’EM congiunto costa quanto l’EM separato (pochi parametri in più) e il modello d’errore è leggero. Il costo aggiuntivo vero sono i </w:t>
      </w:r>
      <w:r>
        <w:rPr>
          <w:b/>
          <w:bCs/>
        </w:rPr>
        <w:t xml:space="preserve">bootstrap per i CI</w:t>
      </w:r>
      <w:r>
        <w:t xml:space="preserve">: B repliche dell’EM (B = 200–1000), ma sono </w:t>
      </w:r>
      <w:r>
        <w:rPr>
          <w:i/>
          <w:iCs/>
        </w:rPr>
        <w:t xml:space="preserve">imbarazzantemente parallele</w:t>
      </w:r>
      <w:r>
        <w:t xml:space="preserve"> sui core disponibili.</w:t>
      </w:r>
    </w:p>
    <w:tbl>
      <w:tblPr>
        <w:tblW w:type="dxa" w:w="902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4"/>
          <w:insideV w:val="single" w:color="DDDDDD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Voce</w:t>
            </w:r>
          </w:p>
        </w:tc>
        <w:tc>
          <w:tcPr>
            <w:tcW w:type="dxa" w:w="32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TaxQuality (euristiche)</w:t>
            </w:r>
          </w:p>
        </w:tc>
        <w:tc>
          <w:tcPr>
            <w:tcW w:type="dxa" w:w="3226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Modello unico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Overhead tempo (200k reads)</w:t>
            </w:r>
          </w:p>
        </w:tc>
        <w:tc>
          <w:tcPr>
            <w:tcW w:type="dxa" w:w="3200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~+4–7 min</w:t>
            </w:r>
          </w:p>
        </w:tc>
        <w:tc>
          <w:tcPr>
            <w:tcW w:type="dxa" w:w="3226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~+6–12 min (incl. 200–1000 bootstrap)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RAM</w:t>
            </w:r>
          </w:p>
        </w:tc>
        <w:tc>
          <w:tcPr>
            <w:tcW w:type="dxa" w:w="3200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~3–5 GB</w:t>
            </w:r>
          </w:p>
        </w:tc>
        <w:tc>
          <w:tcPr>
            <w:tcW w:type="dxa" w:w="3226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~3–5 GB (il bootstrap ricampiona indici, non copia i dati)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Disco</w:t>
            </w:r>
          </w:p>
        </w:tc>
        <w:tc>
          <w:tcPr>
            <w:tcW w:type="dxa" w:w="3200"/>
            <w:shd w:fill="FB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transitorio, cancellabile</w:t>
            </w:r>
          </w:p>
        </w:tc>
        <w:tc>
          <w:tcPr>
            <w:tcW w:type="dxa" w:w="3226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invariato</w:t>
            </w:r>
          </w:p>
        </w:tc>
      </w:tr>
    </w:tbl>
    <w:p>
      <w:pPr>
        <w:spacing w:after="60" w:line="276"/>
      </w:pPr>
      <w:r>
        <w:t xml:space="preserve">Resta adatto a una macchina da 16 GB; il bootstrap è regolabile (meno repliche = CI più larghi ma più veloce).</w:t>
      </w:r>
    </w:p>
    <w:p>
      <w:pPr>
        <w:pStyle w:val="Heading1"/>
        <w:spacing w:after="140" w:before="300"/>
      </w:pPr>
      <w:r>
        <w:t xml:space="preserve">9. Impatto sui tempi di implementazione</w:t>
      </w:r>
    </w:p>
    <w:p>
      <w:pPr>
        <w:spacing w:after="120" w:line="276"/>
      </w:pPr>
      <w:r>
        <w:t xml:space="preserve">Il modello unico </w:t>
      </w:r>
      <w:r>
        <w:rPr>
          <w:b/>
          <w:bCs/>
        </w:rPr>
        <w:t xml:space="preserve">sostituisce</w:t>
      </w:r>
      <w:r>
        <w:t xml:space="preserve"> i tre meccanismi (parte del lavoro si sovrappone), ma è nel complesso più impegnativo — perché è il contributo su cui poggia il paper. Stima in regime part-time, volutamente larga sul testing statistico:</w:t>
      </w:r>
    </w:p>
    <w:tbl>
      <w:tblPr>
        <w:tblW w:type="dxa" w:w="902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4"/>
          <w:insideV w:val="single" w:color="DDDDDD" w:sz="4"/>
        </w:tblBorders>
      </w:tblPr>
      <w:tblGrid>
        <w:gridCol w:w="3600"/>
        <w:gridCol w:w="1500"/>
        <w:gridCol w:w="3926"/>
      </w:tblGrid>
      <w:tr>
        <w:trPr>
          <w:tblHeader/>
        </w:trPr>
        <w:tc>
          <w:tcPr>
            <w:tcW w:type="dxa" w:w="36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Attività</w:t>
            </w:r>
          </w:p>
        </w:tc>
        <w:tc>
          <w:tcPr>
            <w:tcW w:type="dxa" w:w="15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Effort</w:t>
            </w:r>
          </w:p>
        </w:tc>
        <w:tc>
          <w:tcPr>
            <w:tcW w:type="dxa" w:w="3926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Modello d’errore ONT (mismatch + indel), L(r | j)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3–5 gg</w:t>
            </w:r>
          </w:p>
        </w:tc>
        <w:tc>
          <w:tcPr>
            <w:tcW w:type="dxa" w:w="3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cuore statistico; validare su read reali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EM congiunto con componente-mistura chimera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4–6 gg</w:t>
            </w:r>
          </w:p>
        </w:tc>
        <w:tc>
          <w:tcPr>
            <w:tcW w:type="dxa" w:w="3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warm start + restart per ottimi locali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Bootstrap CI + diversità con incertezza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2–3 gg</w:t>
            </w:r>
          </w:p>
        </w:tc>
        <w:tc>
          <w:tcPr>
            <w:tcW w:type="dxa" w:w="3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parallelo; metriche Shannon/Chao1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Unità a risoluzione adattiva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1–2 gg</w:t>
            </w:r>
          </w:p>
        </w:tc>
        <w:tc>
          <w:tcPr>
            <w:tcW w:type="dxa" w:w="3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aggregazione lungo l’albero tassonomico</w:t>
            </w:r>
          </w:p>
        </w:tc>
      </w:tr>
      <w:tr>
        <w:tc>
          <w:tcPr>
            <w:tcW w:type="dxa" w:w="36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Esperimenti di calibrazione (mock community)</w:t>
            </w:r>
          </w:p>
        </w:tc>
        <w:tc>
          <w:tcPr>
            <w:tcW w:type="dxa" w:w="1500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5–10 gg</w:t>
            </w:r>
          </w:p>
        </w:tc>
        <w:tc>
          <w:tcPr>
            <w:tcW w:type="dxa" w:w="3926"/>
            <w:shd w:fill="E9EE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la prova che regge il paper: copertura dei CI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Totale (delta sul modulo)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~15–26 gg</w:t>
            </w:r>
          </w:p>
        </w:tc>
        <w:tc>
          <w:tcPr>
            <w:tcW w:type="dxa" w:w="3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≈ 4–7 mesi part-time; assorbe parte del lavoro TaxQuality</w:t>
            </w:r>
          </w:p>
        </w:tc>
      </w:tr>
    </w:tbl>
    <w:p>
      <w:pPr>
        <w:pStyle w:val="Heading1"/>
        <w:spacing w:after="140" w:before="300"/>
      </w:pPr>
      <w:r>
        <w:t xml:space="preserve">10. Rischi e mitigazioni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Non identificabilità di θ</w:t>
      </w:r>
      <w:r>
        <w:t xml:space="preserve"> per riferimenti quasi identici → si riporta l’unità a risoluzione adattiva e i CI si allargano correttamente dove il marcatore non risolve (il limite diventa la storia della calibrazione).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Errore ONT indel-dominante</w:t>
      </w:r>
      <w:r>
        <w:t xml:space="preserve"> → verosimiglianza indel-aware; è una difficoltà, ma anche un punto di forza metodologico da evidenziare.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"I modelli mistura con EM sono standard"</w:t>
      </w:r>
      <w:r>
        <w:t xml:space="preserve"> (obiezione dei revisori) → la novità è il trattamento congiunto nel long-read, l’incertezza calibrata sulla diversità e il benchmark cross-regno.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Ottimi locali dell’EM</w:t>
      </w:r>
      <w:r>
        <w:t xml:space="preserve"> → warm start dai conteggi primary e restart multipli.</w:t>
      </w:r>
    </w:p>
    <w:p>
      <w:pPr>
        <w:pStyle w:val="Heading1"/>
        <w:spacing w:after="140" w:before="300"/>
      </w:pPr>
      <w:r>
        <w:t xml:space="preserve">11. Sintesi</w:t>
      </w:r>
    </w:p>
    <w:p>
      <w:pPr>
        <w:spacing w:after="120" w:line="276"/>
      </w:pPr>
      <w:r>
        <w:t xml:space="preserve">Il modulo passa da una </w:t>
      </w:r>
      <w:r>
        <w:rPr>
          <w:b/>
          <w:bCs/>
        </w:rPr>
        <w:t xml:space="preserve">cassetta di tre euristiche</w:t>
      </w:r>
      <w:r>
        <w:t xml:space="preserve"> a un </w:t>
      </w:r>
      <w:r>
        <w:rPr>
          <w:b/>
          <w:bCs/>
        </w:rPr>
        <w:t xml:space="preserve">unico stimatore con una verosimiglianza</w:t>
      </w:r>
      <w:r>
        <w:t xml:space="preserve">: produce le stesse tre risposte (risoluzione, abbondanza, chimere) ma coerenti e, soprattutto, con incertezza calibrata. È il passaggio che trasforma TaxQuality da "feature di un tool" a "metodo". Percorso consigliato: prototipare prima il solo EM congiunto sulla simulazione già disponibile (economico), poi montare l’esperimento di calibrazione sulle mock community — che è ciò che decide la pubblicazione.</w:t>
      </w:r>
    </w:p>
    <w:p>
      <w:pPr>
        <w:pBdr>
          <w:top w:val="single" w:color="C9C9C9" w:sz="4"/>
        </w:pBdr>
        <w:spacing w:before="200"/>
      </w:pPr>
      <w:r>
        <w:rPr>
          <w:i/>
          <w:iCs/>
          <w:color w:val="6C757D"/>
          <w:sz w:val="15"/>
          <w:szCs w:val="15"/>
        </w:rPr>
        <w:t xml:space="preserve">Documento di design: descrive una ri-progettazione proposta, non ancora implementata. Le stime di costo/effort sono valutazioni ingegneristiche da confermare in prototipazione.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757D"/>
        <w:sz w:val="16"/>
        <w:szCs w:val="16"/>
      </w:rPr>
      <w:t xml:space="preserve">LOREON · TaxQuality → modello generativo · pag. </w:t>
    </w:r>
    <w:r>
      <w:rPr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</w:pPr>
    <w:rPr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LOREON — Evoluzione del modulo TaxQuality</dc:title>
  <dc:creator>LOREON</dc:creator>
  <cp:lastModifiedBy>Un-named</cp:lastModifiedBy>
  <cp:revision>1</cp:revision>
  <dcterms:created xsi:type="dcterms:W3CDTF">2026-07-23T23:07:14.135Z</dcterms:created>
  <dcterms:modified xsi:type="dcterms:W3CDTF">2026-07-23T23:07:14.141Z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