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INFORME: CAMBIO DE COBERTURA DEL SUELO EN CUSCO (ENTREGABLE 1)</w:t>
      </w:r>
    </w:p>
    <w:p>
      <w:pPr>
        <w:spacing w:after="120" w:line="259"/>
        <w:jc w:val="center"/>
      </w:pPr>
      <w:r>
        <w:rPr>
          <w:rFonts w:ascii="Times New Roman" w:cs="Times New Roman" w:eastAsia="Times New Roman" w:hAnsi="Times New Roman"/>
          <w:sz w:val="19"/>
          <w:szCs w:val="19"/>
        </w:rPr>
        <w:t xml:space="preserve">Provincia de Cusco · 2013–2025 · Gobierno Regional de Cusco · Borrador 2 · Octubre de 2026 · [Autores por definir]</w:t>
      </w:r>
    </w:p>
    <w:p>
      <w:pPr>
        <w:pBdr>
          <w:bottom w:val="single" w:color="A6A6A6" w:sz="4" w:space="2"/>
        </w:pBdr>
        <w:spacing w:after="80"/>
      </w:pPr>
      <w:r>
        <w:rPr>
          <w:rFonts w:ascii="Times New Roman" w:cs="Times New Roman" w:eastAsia="Times New Roman" w:hAnsi="Times New Roman"/>
          <w:i/>
          <w:iCs/>
          <w:color w:val="595959"/>
          <w:sz w:val="18"/>
          <w:szCs w:val="18"/>
        </w:rPr>
        <w:t xml:space="preserve">Página 1 · Marco de entrada y línea base</w:t>
      </w:r>
    </w:p>
    <w:p>
      <w:pPr>
        <w:pStyle w:val="Heading1"/>
        <w:keepNext/>
      </w:pPr>
      <w:r>
        <w:rPr>
          <w:rFonts w:ascii="Times New Roman" w:cs="Times New Roman" w:eastAsia="Times New Roman" w:hAnsi="Times New Roman"/>
        </w:rPr>
        <w:t xml:space="preserve">1. INTRODUCCIÓN (Alcance del Entregable 1 de 4)</w:t>
      </w:r>
    </w:p>
    <w:p>
      <w:pPr>
        <w:spacing w:after="100" w:line="259"/>
        <w:jc w:val="both"/>
      </w:pPr>
      <w:r>
        <w:rPr>
          <w:rFonts w:ascii="Times New Roman" w:cs="Times New Roman" w:eastAsia="Times New Roman" w:hAnsi="Times New Roman"/>
        </w:rPr>
        <w:t xml:space="preserve">Este informe es el Entregable 1 de 4 del proyecto de cambio de cobertura del suelo en la provincia de Cusco (530.1 km², límite INEI), para el Gobierno Regional de Cusco. Fija el marco de entrada y el diseño metodológico: qué insumos se usan, por qué, y cómo se combinan para detectar y etiquetar cambios entre 2013 y 2025. No incluye código ni resultados. La programación en Google Earth Engine (GEE) corresponde al Entregable 2; el contenido de los Entregables 3 y 4 está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w:t>
      </w:r>
    </w:p>
    <w:p>
      <w:pPr>
        <w:spacing w:after="100" w:line="259"/>
        <w:jc w:val="both"/>
      </w:pPr>
      <w:r>
        <w:rPr>
          <w:rFonts w:ascii="Times New Roman" w:cs="Times New Roman" w:eastAsia="Times New Roman" w:hAnsi="Times New Roman"/>
        </w:rPr>
        <w:t xml:space="preserve">La pregunta que orienta el trabajo es cuánta cobertura cambió en la provincia entre 2013 y 2025, dónde, de qué tipo y con qué incertidumbre. El diseño usa dos insumos con funciones distintas: imágenes Landsat 8/9 de junio a agosto, que indican </w:t>
      </w:r>
      <w:r>
        <w:rPr>
          <w:rFonts w:ascii="Times New Roman" w:cs="Times New Roman" w:eastAsia="Times New Roman" w:hAnsi="Times New Roman"/>
          <w:b/>
          <w:bCs/>
        </w:rPr>
        <w:t xml:space="preserve">cuándo</w:t>
      </w:r>
      <w:r>
        <w:rPr>
          <w:rFonts w:ascii="Times New Roman" w:cs="Times New Roman" w:eastAsia="Times New Roman" w:hAnsi="Times New Roman"/>
        </w:rPr>
        <w:t xml:space="preserve"> cambia un píxel, y MapBiomas Perú Colección 4, que indica </w:t>
      </w:r>
      <w:r>
        <w:rPr>
          <w:rFonts w:ascii="Times New Roman" w:cs="Times New Roman" w:eastAsia="Times New Roman" w:hAnsi="Times New Roman"/>
          <w:b/>
          <w:bCs/>
        </w:rPr>
        <w:t xml:space="preserve">qué</w:t>
      </w:r>
      <w:r>
        <w:rPr>
          <w:rFonts w:ascii="Times New Roman" w:cs="Times New Roman" w:eastAsia="Times New Roman" w:hAnsi="Times New Roman"/>
        </w:rPr>
        <w:t xml:space="preserve"> clase había antes y después. Los indicadores son pérdida y ganancia de bosque y expansión agrícola. Quedan fuera los cambios que no involucran bosque, pastos ni agricultura, y los territorios fuera de la provincia.</w:t>
      </w:r>
    </w:p>
    <w:p>
      <w:pPr>
        <w:pStyle w:val="Heading1"/>
        <w:keepNext/>
      </w:pPr>
      <w:r>
        <w:rPr>
          <w:rFonts w:ascii="Times New Roman" w:cs="Times New Roman" w:eastAsia="Times New Roman" w:hAnsi="Times New Roman"/>
        </w:rPr>
        <w:t xml:space="preserve">2. SUPUESTOS Y JUSTIFICACIÓN DE INSUMOS</w:t>
      </w:r>
    </w:p>
    <w:p>
      <w:pPr>
        <w:pStyle w:val="Heading2"/>
        <w:keepNext/>
      </w:pPr>
      <w:r>
        <w:rPr>
          <w:rFonts w:ascii="Times New Roman" w:cs="Times New Roman" w:eastAsia="Times New Roman" w:hAnsi="Times New Roman"/>
        </w:rPr>
        <w:t xml:space="preserve">2.1. Sensor: constelación Landsat 8 / 9 (OLI/OLI-2)</w:t>
      </w:r>
    </w:p>
    <w:p>
      <w:pPr>
        <w:spacing w:after="100" w:line="259"/>
        <w:jc w:val="both"/>
      </w:pPr>
      <w:r>
        <w:rPr>
          <w:rFonts w:ascii="Times New Roman" w:cs="Times New Roman" w:eastAsia="Times New Roman" w:hAnsi="Times New Roman"/>
        </w:rPr>
        <w:t xml:space="preserve">Se usan Landsat 8 (OLI, desde 2013) y Landsat 9 (OLI-2, con escenas sobre la provincia desde noviembre de 2021). Ambos entregan 30 m, bandas equivalentes y reflectancia de superficie Collection 2 Nivel 2 con máscara de calidad QA_PIXEL (Roy et al., 2014; Masek et al., 2020). Ninguna otra misión cubre el periodo: Landsat 5 termina en 2011, Landsat 7 tiene vacíos de línea desde 2003 (Wulder et al., 2019) y Sentinel-2 casi no tiene escenas antes de 2019.</w:t>
      </w:r>
    </w:p>
    <w:p>
      <w:pPr>
        <w:spacing w:after="100" w:line="259"/>
        <w:jc w:val="both"/>
      </w:pPr>
      <w:r>
        <w:rPr>
          <w:rFonts w:ascii="Times New Roman" w:cs="Times New Roman" w:eastAsia="Times New Roman" w:hAnsi="Times New Roman"/>
          <w:b/>
          <w:bCs/>
        </w:rPr>
        <w:t xml:space="preserve">Ajuste.</w:t>
      </w:r>
      <w:r>
        <w:rPr>
          <w:rFonts w:ascii="Times New Roman" w:cs="Times New Roman" w:eastAsia="Times New Roman" w:hAnsi="Times New Roman"/>
        </w:rPr>
        <w:t xml:space="preserve"> Consistencia de 30 m y combinación L8 + L9 para mayor frecuencia temporal. Cada satélite revisita a los 16 días y sus pasadas están desfasadas 8 días, así que juntos duplican las escenas </w:t>
      </w:r>
      <w:r>
        <w:rPr>
          <w:rFonts w:ascii="Times New Roman" w:cs="Times New Roman" w:eastAsia="Times New Roman" w:hAnsi="Times New Roman"/>
          <w:highlight w:val="yellow"/>
          <w:highlightCs w:val="yellow"/>
        </w:rPr>
        <w:t xml:space="preserve">[verificar con USGS]</w:t>
      </w:r>
      <w:r>
        <w:rPr>
          <w:rFonts w:ascii="Times New Roman" w:cs="Times New Roman" w:eastAsia="Times New Roman" w:hAnsi="Times New Roman"/>
        </w:rPr>
        <w:t xml:space="preserve">. Esto pesa en una ventana de tres meses (2.3), donde cada escena limpia cuenta. La ganancia aplica desde 2022: en la ventana junio–agosto de 2013 a 2021 solo hay L8.</w:t>
      </w:r>
    </w:p>
    <w:p>
      <w:pPr>
        <w:spacing w:after="100" w:line="259"/>
        <w:jc w:val="both"/>
      </w:pPr>
      <w:r>
        <w:rPr>
          <w:rFonts w:ascii="Times New Roman" w:cs="Times New Roman" w:eastAsia="Times New Roman" w:hAnsi="Times New Roman"/>
          <w:b/>
          <w:bCs/>
        </w:rPr>
        <w:t xml:space="preserve">Riesgo y control.</w:t>
      </w:r>
      <w:r>
        <w:rPr>
          <w:rFonts w:ascii="Times New Roman" w:cs="Times New Roman" w:eastAsia="Times New Roman" w:hAnsi="Times New Roman"/>
        </w:rPr>
        <w:t xml:space="preserve"> Una diferencia de calibración entre L8 y L9 podría leerse como cambio en 2021/2022. Se compararán ambos sensores en el traslape de 2022 antes de aplicar LandTrendr </w:t>
      </w:r>
      <w:r>
        <w:rPr>
          <w:rFonts w:ascii="Times New Roman" w:cs="Times New Roman" w:eastAsia="Times New Roman" w:hAnsi="Times New Roman"/>
          <w:highlight w:val="yellow"/>
          <w:highlightCs w:val="yellow"/>
        </w:rPr>
        <w:t xml:space="preserve">[por definir la tolerancia]</w:t>
      </w:r>
      <w:r>
        <w:rPr>
          <w:rFonts w:ascii="Times New Roman" w:cs="Times New Roman" w:eastAsia="Times New Roman" w:hAnsi="Times New Roman"/>
        </w:rPr>
        <w:t xml:space="preserve">. Además, MapBiomas construye sus mosaicos de 2013 a 2021 con Landsat 8 (MapBiomas Perú, s. f.), lo que mantiene el mismo sensor en la mayor parte del periodo común.</w:t>
      </w:r>
    </w:p>
    <w:p>
      <w:pPr>
        <w:pStyle w:val="Heading2"/>
        <w:keepNext/>
      </w:pPr>
      <w:r>
        <w:rPr>
          <w:rFonts w:ascii="Times New Roman" w:cs="Times New Roman" w:eastAsia="Times New Roman" w:hAnsi="Times New Roman"/>
        </w:rPr>
        <w:t xml:space="preserve">2.2. Plataforma de referencia: MapBiomas (Colección Perú)</w:t>
      </w:r>
    </w:p>
    <w:p>
      <w:pPr>
        <w:spacing w:after="100" w:line="259"/>
        <w:jc w:val="both"/>
      </w:pPr>
      <w:r>
        <w:rPr>
          <w:rFonts w:ascii="Times New Roman" w:cs="Times New Roman" w:eastAsia="Times New Roman" w:hAnsi="Times New Roman"/>
        </w:rPr>
        <w:t xml:space="preserve">MapBiomas Perú Colección 4 publica mapas anuales de cobertura y uso del suelo a 30 m, de 1985 a 2025, con 26 clases, construidos con Landsat y Earth Engine (Souza et al., 2020; MapBiomas Perú, s. f.). Se elige porque cubre todo el periodo 2013–2025, tiene la misma escala que Landsat (se cruza píxel a píxel, sin remuestreo) y es abierto, disponible como asset de GEE, lo que hace el flujo reproducible.</w:t>
      </w:r>
    </w:p>
    <w:p>
      <w:pPr>
        <w:spacing w:after="100" w:line="259"/>
        <w:jc w:val="both"/>
      </w:pPr>
      <w:r>
        <w:rPr>
          <w:rFonts w:ascii="Times New Roman" w:cs="Times New Roman" w:eastAsia="Times New Roman" w:hAnsi="Times New Roman"/>
          <w:b/>
          <w:bCs/>
        </w:rPr>
        <w:t xml:space="preserve">Ajuste.</w:t>
      </w:r>
      <w:r>
        <w:rPr>
          <w:rFonts w:ascii="Times New Roman" w:cs="Times New Roman" w:eastAsia="Times New Roman" w:hAnsi="Times New Roman"/>
        </w:rPr>
        <w:t xml:space="preserve"> Uso como referencia histórica para el etiquetado temático. LandTrendr detecta que un píxel cambió y en qué año, pero no a qué clase pasó. MapBiomas aporta la clase antes y después, y permite nombrar el cambio (por ejemplo, bosque → pastos, pastos → agrícola).</w:t>
      </w:r>
    </w:p>
    <w:p>
      <w:pPr>
        <w:spacing w:after="100" w:line="259"/>
        <w:jc w:val="both"/>
      </w:pPr>
      <w:r>
        <w:rPr>
          <w:rFonts w:ascii="Times New Roman" w:cs="Times New Roman" w:eastAsia="Times New Roman" w:hAnsi="Times New Roman"/>
          <w:b/>
          <w:bCs/>
        </w:rPr>
        <w:t xml:space="preserve">Sinceramiento.</w:t>
      </w:r>
      <w:r>
        <w:rPr>
          <w:rFonts w:ascii="Times New Roman" w:cs="Times New Roman" w:eastAsia="Times New Roman" w:hAnsi="Times New Roman"/>
        </w:rPr>
        <w:t xml:space="preserve"> Es una referencia, no verdad de campo. Es una clasificación Random Forest y, en la región Andes, se entrenó con pocas muestras estables (20 a 100 por clase, según el Apéndice 5, Tabla 8). Sus etiquetas tienen error, y además comparte sensor con la serie propia, así que su acuerdo con LandTrendr no es evidencia independiente. La exactitud final se mide con puntos de referencia interpretados aparte (Olofsson et al., 2014), no contra MapBiomas.</w:t>
      </w:r>
    </w:p>
    <w:p>
      <w:pPr>
        <w:pStyle w:val="Heading2"/>
        <w:keepNext/>
        <w:pageBreakBefore/>
      </w:pPr>
      <w:r>
        <w:rPr>
          <w:rFonts w:ascii="Times New Roman" w:cs="Times New Roman" w:eastAsia="Times New Roman" w:hAnsi="Times New Roman"/>
        </w:rPr>
        <w:t xml:space="preserve">2.3. Ventana estacional: junio – agosto</w:t>
      </w:r>
    </w:p>
    <w:p>
      <w:pPr>
        <w:pBdr>
          <w:bottom w:val="single" w:color="A6A6A6" w:sz="4" w:space="2"/>
        </w:pBdr>
        <w:spacing w:after="80"/>
      </w:pPr>
      <w:r>
        <w:rPr>
          <w:rFonts w:ascii="Times New Roman" w:cs="Times New Roman" w:eastAsia="Times New Roman" w:hAnsi="Times New Roman"/>
          <w:i/>
          <w:iCs/>
          <w:color w:val="595959"/>
          <w:sz w:val="18"/>
          <w:szCs w:val="18"/>
        </w:rPr>
        <w:t xml:space="preserve">Página 2 · Criterio temporal y comportamiento local</w:t>
      </w:r>
    </w:p>
    <w:p>
      <w:pPr>
        <w:spacing w:after="100" w:line="259"/>
        <w:jc w:val="both"/>
      </w:pPr>
      <w:r>
        <w:rPr>
          <w:rFonts w:ascii="Times New Roman" w:cs="Times New Roman" w:eastAsia="Times New Roman" w:hAnsi="Times New Roman"/>
        </w:rPr>
        <w:t xml:space="preserve">Cada año se construye un compuesto con la mediana de las escenas L8/L9 limpias del 1 de junio al 31 de agosto. Ese compuesto es el único valor anual por píxel que recibe LandTrendr.</w:t>
      </w:r>
    </w:p>
    <w:p>
      <w:pPr>
        <w:spacing w:after="100" w:line="259"/>
        <w:jc w:val="both"/>
      </w:pPr>
      <w:r>
        <w:rPr>
          <w:rFonts w:ascii="Times New Roman" w:cs="Times New Roman" w:eastAsia="Times New Roman" w:hAnsi="Times New Roman"/>
          <w:b/>
          <w:bCs/>
        </w:rPr>
        <w:t xml:space="preserve">Ventaja.</w:t>
      </w:r>
      <w:r>
        <w:rPr>
          <w:rFonts w:ascii="Times New Roman" w:cs="Times New Roman" w:eastAsia="Times New Roman" w:hAnsi="Times New Roman"/>
        </w:rPr>
        <w:t xml:space="preserve"> Mínima nubosidad en la gradiente andino-amazónica de Cusco. Las lluvias se concentran entre noviembre y marzo </w:t>
      </w:r>
      <w:r>
        <w:rPr>
          <w:rFonts w:ascii="Times New Roman" w:cs="Times New Roman" w:eastAsia="Times New Roman" w:hAnsi="Times New Roman"/>
          <w:highlight w:val="yellow"/>
          <w:highlightCs w:val="yellow"/>
        </w:rPr>
        <w:t xml:space="preserve">[verificar con SENAMHI]</w:t>
      </w:r>
      <w:r>
        <w:rPr>
          <w:rFonts w:ascii="Times New Roman" w:cs="Times New Roman" w:eastAsia="Times New Roman" w:hAnsi="Times New Roman"/>
        </w:rPr>
        <w:t xml:space="preserve">, así que en junio–agosto se espera la mayor proporción de píxeles válidos del año, incluso en la ceja de selva, donde la nubosidad es más persistente </w:t>
      </w:r>
      <w:r>
        <w:rPr>
          <w:rFonts w:ascii="Times New Roman" w:cs="Times New Roman" w:eastAsia="Times New Roman" w:hAnsi="Times New Roman"/>
          <w:highlight w:val="yellow"/>
          <w:highlightCs w:val="yellow"/>
        </w:rPr>
        <w:t xml:space="preserve">[verificar con el conteo de escenas limpias en GEE]</w:t>
      </w:r>
      <w:r>
        <w:rPr>
          <w:rFonts w:ascii="Times New Roman" w:cs="Times New Roman" w:eastAsia="Times New Roman" w:hAnsi="Times New Roman"/>
        </w:rPr>
        <w:t xml:space="preserve">. MapBiomas usa para los Andes una ventana de abril a septiembre (Apéndice 5, Tabla 4); junio–agosto es su tramo más seco. Una ventana fija también vuelve comparables los años entre sí: LandTrendr ajusta un valor por píxel y año, y no debe confundir fenología con cambio (Kennedy et al., 2010, 2018).</w:t>
      </w:r>
    </w:p>
    <w:p>
      <w:pPr>
        <w:spacing w:after="100" w:line="259"/>
        <w:jc w:val="both"/>
      </w:pPr>
      <w:r>
        <w:rPr>
          <w:rFonts w:ascii="Times New Roman" w:cs="Times New Roman" w:eastAsia="Times New Roman" w:hAnsi="Times New Roman"/>
          <w:b/>
          <w:bCs/>
        </w:rPr>
        <w:t xml:space="preserve">Sinceramiento realista.</w:t>
      </w:r>
      <w:r>
        <w:rPr>
          <w:rFonts w:ascii="Times New Roman" w:cs="Times New Roman" w:eastAsia="Times New Roman" w:hAnsi="Times New Roman"/>
        </w:rPr>
        <w:t xml:space="preserve"> La época seca no es neutra. En junio–agosto ocurren heladas en los pastizales altoandinos </w:t>
      </w:r>
      <w:r>
        <w:rPr>
          <w:rFonts w:ascii="Times New Roman" w:cs="Times New Roman" w:eastAsia="Times New Roman" w:hAnsi="Times New Roman"/>
          <w:highlight w:val="yellow"/>
          <w:highlightCs w:val="yellow"/>
        </w:rPr>
        <w:t xml:space="preserve">[verificar con SENAMHI]</w:t>
      </w:r>
      <w:r>
        <w:rPr>
          <w:rFonts w:ascii="Times New Roman" w:cs="Times New Roman" w:eastAsia="Times New Roman" w:hAnsi="Times New Roman"/>
        </w:rPr>
        <w:t xml:space="preserve">, que secan la vegetación y bajan el índice espectral sin que haya cambio de cobertura. En un año de helada fuerte, un pastizal estable puede verse como pérdida; en un año suave, como ganancia. Lo mismo vale para vegetación caducifolia. El sesgo no se ignora: se mitiga con calibración.</w:t>
      </w:r>
    </w:p>
    <w:p>
      <w:pPr>
        <w:spacing w:after="50" w:line="259"/>
        <w:jc w:val="both"/>
      </w:pPr>
      <w:r>
        <w:rPr>
          <w:rFonts w:ascii="Times New Roman" w:cs="Times New Roman" w:eastAsia="Times New Roman" w:hAnsi="Times New Roman"/>
          <w:b/>
          <w:bCs/>
        </w:rPr>
        <w:t xml:space="preserve">Mitigación mediante calibración.</w:t>
      </w:r>
    </w:p>
    <w:p>
      <w:pPr>
        <w:pStyle w:val="ListParagraph"/>
        <w:numPr>
          <w:ilvl w:val="0"/>
          <w:numId w:val="2"/>
        </w:numPr>
        <w:spacing w:after="50" w:line="259"/>
        <w:jc w:val="both"/>
      </w:pPr>
      <w:r>
        <w:rPr>
          <w:rFonts w:ascii="Times New Roman" w:cs="Times New Roman" w:eastAsia="Times New Roman" w:hAnsi="Times New Roman"/>
        </w:rPr>
        <w:t xml:space="preserve">Medir la variabilidad interanual del índice en píxeles estables de cada clase (misma clase de MapBiomas en 2013–2025), por separado para pastizal y bosque.</w:t>
      </w:r>
    </w:p>
    <w:p>
      <w:pPr>
        <w:pStyle w:val="ListParagraph"/>
        <w:numPr>
          <w:ilvl w:val="0"/>
          <w:numId w:val="2"/>
        </w:numPr>
        <w:spacing w:after="50" w:line="259"/>
        <w:jc w:val="both"/>
      </w:pPr>
      <w:r>
        <w:rPr>
          <w:rFonts w:ascii="Times New Roman" w:cs="Times New Roman" w:eastAsia="Times New Roman" w:hAnsi="Times New Roman"/>
        </w:rPr>
        <w:t xml:space="preserve">Fijar el umbral de magnitud de una alerta por encima de esa variabilidad </w:t>
      </w:r>
      <w:r>
        <w:rPr>
          <w:rFonts w:ascii="Times New Roman" w:cs="Times New Roman" w:eastAsia="Times New Roman" w:hAnsi="Times New Roman"/>
          <w:highlight w:val="yellow"/>
          <w:highlightCs w:val="yellow"/>
        </w:rPr>
        <w:t xml:space="preserve">[por definir el percentil]</w:t>
      </w:r>
      <w:r>
        <w:rPr>
          <w:rFonts w:ascii="Times New Roman" w:cs="Times New Roman" w:eastAsia="Times New Roman" w:hAnsi="Times New Roman"/>
        </w:rPr>
        <w:t xml:space="preserve">.</w:t>
      </w:r>
    </w:p>
    <w:p>
      <w:pPr>
        <w:pStyle w:val="ListParagraph"/>
        <w:numPr>
          <w:ilvl w:val="0"/>
          <w:numId w:val="2"/>
        </w:numPr>
        <w:spacing w:after="50" w:line="259"/>
        <w:jc w:val="both"/>
      </w:pPr>
      <w:r>
        <w:rPr>
          <w:rFonts w:ascii="Times New Roman" w:cs="Times New Roman" w:eastAsia="Times New Roman" w:hAnsi="Times New Roman"/>
        </w:rPr>
        <w:t xml:space="preserve">Exigir persistencia: un cambio que se revierte al año siguiente no cuenta (parámetro preventOneYearRecovery de LandTrendr).</w:t>
      </w:r>
    </w:p>
    <w:p>
      <w:pPr>
        <w:pStyle w:val="ListParagraph"/>
        <w:numPr>
          <w:ilvl w:val="0"/>
          <w:numId w:val="2"/>
        </w:numPr>
        <w:spacing w:after="50" w:line="259"/>
        <w:jc w:val="both"/>
      </w:pPr>
      <w:r>
        <w:rPr>
          <w:rFonts w:ascii="Times New Roman" w:cs="Times New Roman" w:eastAsia="Times New Roman" w:hAnsi="Times New Roman"/>
        </w:rPr>
        <w:t xml:space="preserve">Estratificar por clase o altitud, para no aplicar el mismo umbral a pastizal y a bosque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w:t>
      </w:r>
    </w:p>
    <w:p>
      <w:pPr>
        <w:pStyle w:val="ListParagraph"/>
        <w:numPr>
          <w:ilvl w:val="0"/>
          <w:numId w:val="2"/>
        </w:numPr>
        <w:spacing w:after="50" w:line="259"/>
        <w:jc w:val="both"/>
      </w:pPr>
      <w:r>
        <w:rPr>
          <w:rFonts w:ascii="Times New Roman" w:cs="Times New Roman" w:eastAsia="Times New Roman" w:hAnsi="Times New Roman"/>
        </w:rPr>
        <w:t xml:space="preserve">Exigir un mínimo de observaciones limpias por píxel y año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w:t>
      </w:r>
    </w:p>
    <w:p>
      <w:pPr>
        <w:keepNext/>
        <w:spacing w:after="80" w:before="160"/>
      </w:pPr>
      <w:r>
        <w:rPr>
          <w:rFonts w:ascii="Times New Roman" w:cs="Times New Roman" w:eastAsia="Times New Roman" w:hAnsi="Times New Roman"/>
          <w:b w:val="false"/>
          <w:bCs w:val="false"/>
          <w:sz w:val="20"/>
          <w:szCs w:val="20"/>
        </w:rPr>
        <w:t xml:space="preserve">Tabla 1. Qué gana y qué cuesta la ventana junio–agosto.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Aspecto</w:t>
            </w:r>
          </w:p>
        </w:tc>
        <w:tc>
          <w:tcPr>
            <w:tcW w:type="dxa" w:w="30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Efecto</w:t>
            </w:r>
          </w:p>
        </w:tc>
        <w:tc>
          <w:tcPr>
            <w:tcW w:type="dxa" w:w="4338"/>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Respuesta de diseño</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Nubosidad</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Gana: menos nubes y más píxeles válidos</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Conteo de escenas limpias por año; mínimo de observaciones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Comparabilidad</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Gana: misma fenología cada año</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Ventana fija 1 jun – 31 ago en todos los años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Heladas y senescencia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Cuesta: falsas pérdidas o ganancias en pastizal</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Umbral calibrado con píxeles estables, persistencia, estratos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Pocas escenas por año</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Cuesta: compuesto menos robusto</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Combinar L8 + L9 desde 2022; mediana de escenas limpias</w:t>
            </w:r>
          </w:p>
        </w:tc>
      </w:tr>
    </w:tbl>
    <w:p>
      <w:pPr>
        <w:spacing w:after="160" w:before="60"/>
      </w:pPr>
      <w:r>
        <w:rPr>
          <w:rFonts w:ascii="Times New Roman" w:cs="Times New Roman" w:eastAsia="Times New Roman" w:hAnsi="Times New Roman"/>
          <w:sz w:val="18"/>
          <w:szCs w:val="18"/>
        </w:rPr>
        <w:t xml:space="preserve">Referencias de la ventana: MapBiomas Perú (s. f.), Apéndice 5, Tabla 4; Kennedy et al. (2010, 2018).</w:t>
      </w:r>
    </w:p>
    <w:p>
      <w:pPr>
        <w:pStyle w:val="Heading1"/>
        <w:keepNext/>
        <w:pageBreakBefore/>
      </w:pPr>
      <w:r>
        <w:rPr>
          <w:rFonts w:ascii="Times New Roman" w:cs="Times New Roman" w:eastAsia="Times New Roman" w:hAnsi="Times New Roman"/>
        </w:rPr>
        <w:t xml:space="preserve">3. METODOLOGÍA: DETECCIÓN Y ETIQUETADO DE CAMBIOS</w:t>
      </w:r>
    </w:p>
    <w:p>
      <w:pPr>
        <w:pBdr>
          <w:bottom w:val="single" w:color="A6A6A6" w:sz="4" w:space="2"/>
        </w:pBdr>
        <w:spacing w:after="80"/>
      </w:pPr>
      <w:r>
        <w:rPr>
          <w:rFonts w:ascii="Times New Roman" w:cs="Times New Roman" w:eastAsia="Times New Roman" w:hAnsi="Times New Roman"/>
          <w:i/>
          <w:iCs/>
          <w:color w:val="595959"/>
          <w:sz w:val="18"/>
          <w:szCs w:val="18"/>
        </w:rPr>
        <w:t xml:space="preserve">Página 3 · Diseño metodológico de integración</w:t>
      </w:r>
    </w:p>
    <w:p>
      <w:pPr>
        <w:pStyle w:val="Heading2"/>
        <w:keepNext/>
      </w:pPr>
      <w:r>
        <w:rPr>
          <w:rFonts w:ascii="Times New Roman" w:cs="Times New Roman" w:eastAsia="Times New Roman" w:hAnsi="Times New Roman"/>
        </w:rPr>
        <w:t xml:space="preserve">3.1. Algoritmo LandTrendr (detección del año de quiebre/perturbación)</w:t>
      </w:r>
    </w:p>
    <w:p>
      <w:pPr>
        <w:spacing w:after="100" w:line="259"/>
        <w:jc w:val="both"/>
      </w:pPr>
      <w:r>
        <w:rPr>
          <w:rFonts w:ascii="Times New Roman" w:cs="Times New Roman" w:eastAsia="Times New Roman" w:hAnsi="Times New Roman"/>
        </w:rPr>
        <w:t xml:space="preserve">LandTrendr ajusta segmentos lineales a la trayectoria anual de un índice espectral en cada píxel, descarta picos aislados y ubica los vértices, que son los años en que cambia la tendencia (Kennedy et al., 2010). Cada vértice da el </w:t>
      </w:r>
      <w:r>
        <w:rPr>
          <w:rFonts w:ascii="Times New Roman" w:cs="Times New Roman" w:eastAsia="Times New Roman" w:hAnsi="Times New Roman"/>
          <w:b/>
          <w:bCs/>
        </w:rPr>
        <w:t xml:space="preserve">año de quiebre</w:t>
      </w:r>
      <w:r>
        <w:rPr>
          <w:rFonts w:ascii="Times New Roman" w:cs="Times New Roman" w:eastAsia="Times New Roman" w:hAnsi="Times New Roman"/>
        </w:rPr>
        <w:t xml:space="preserve"> </w:t>
      </w:r>
      <w:r>
        <w:rPr>
          <w:rFonts w:ascii="Times New Roman" w:cs="Times New Roman" w:eastAsia="Times New Roman" w:hAnsi="Times New Roman"/>
          <w:i/>
          <w:iCs/>
        </w:rPr>
        <w:t xml:space="preserve">c</w:t>
      </w:r>
      <w:r>
        <w:rPr>
          <w:rFonts w:ascii="Times New Roman" w:cs="Times New Roman" w:eastAsia="Times New Roman" w:hAnsi="Times New Roman"/>
        </w:rPr>
        <w:t xml:space="preserve">, y cada segmento da magnitud, duración y tasa. Se usa porque trabaja sobre la trayectoria y no sobre cada año aislado (evita errores de clasificación que parecen cambio), está pensado para un compuesto por año, no requiere entrenar un clasificador y distingue pérdida abrupta, degradación gradual y recuperación. Está implementado en GEE (Kennedy et al., 2018), lo que conecta con el Entregable 2.</w:t>
      </w:r>
    </w:p>
    <w:p>
      <w:pPr>
        <w:spacing w:after="100" w:line="259"/>
        <w:jc w:val="both"/>
      </w:pPr>
      <w:r>
        <w:rPr>
          <w:rFonts w:ascii="Times New Roman" w:cs="Times New Roman" w:eastAsia="Times New Roman" w:hAnsi="Times New Roman"/>
          <w:i/>
          <w:iCs/>
        </w:rPr>
        <w:t xml:space="preserve">Entrada:</w:t>
      </w:r>
      <w:r>
        <w:rPr>
          <w:rFonts w:ascii="Times New Roman" w:cs="Times New Roman" w:eastAsia="Times New Roman" w:hAnsi="Times New Roman"/>
        </w:rPr>
        <w:t xml:space="preserve"> serie 2013–2025 de un índice espectral </w:t>
      </w:r>
      <w:r>
        <w:rPr>
          <w:rFonts w:ascii="Times New Roman" w:cs="Times New Roman" w:eastAsia="Times New Roman" w:hAnsi="Times New Roman"/>
          <w:highlight w:val="yellow"/>
          <w:highlightCs w:val="yellow"/>
        </w:rPr>
        <w:t xml:space="preserve">[por definir: NBR, NDVI o EVI; NBR es el punto de partida habitual]</w:t>
      </w:r>
      <w:r>
        <w:rPr>
          <w:rFonts w:ascii="Times New Roman" w:cs="Times New Roman" w:eastAsia="Times New Roman" w:hAnsi="Times New Roman"/>
        </w:rPr>
        <w:t xml:space="preserve">. </w:t>
      </w:r>
      <w:r>
        <w:rPr>
          <w:rFonts w:ascii="Times New Roman" w:cs="Times New Roman" w:eastAsia="Times New Roman" w:hAnsi="Times New Roman"/>
          <w:i/>
          <w:iCs/>
        </w:rPr>
        <w:t xml:space="preserve">Salida por píxel:</w:t>
      </w:r>
      <w:r>
        <w:rPr>
          <w:rFonts w:ascii="Times New Roman" w:cs="Times New Roman" w:eastAsia="Times New Roman" w:hAnsi="Times New Roman"/>
        </w:rPr>
        <w:t xml:space="preserve"> año de quiebre, magnitud, duración y tipo. </w:t>
      </w:r>
      <w:r>
        <w:rPr>
          <w:rFonts w:ascii="Times New Roman" w:cs="Times New Roman" w:eastAsia="Times New Roman" w:hAnsi="Times New Roman"/>
          <w:i/>
          <w:iCs/>
        </w:rPr>
        <w:t xml:space="preserve">Limitación:</w:t>
      </w:r>
      <w:r>
        <w:rPr>
          <w:rFonts w:ascii="Times New Roman" w:cs="Times New Roman" w:eastAsia="Times New Roman" w:hAnsi="Times New Roman"/>
        </w:rPr>
        <w:t xml:space="preserve"> 13 años son pocos para LandTrendr, por lo que se fija un máximo de segmentos bajo para evitar sobreajuste </w:t>
      </w:r>
      <w:r>
        <w:rPr>
          <w:rFonts w:ascii="Times New Roman" w:cs="Times New Roman" w:eastAsia="Times New Roman" w:hAnsi="Times New Roman"/>
          <w:highlight w:val="yellow"/>
          <w:highlightCs w:val="yellow"/>
        </w:rPr>
        <w:t xml:space="preserve">[por definir los parámetros]</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3.2. Función de integración (LandTrendr + MapBiomas)</w:t>
      </w:r>
    </w:p>
    <w:p>
      <w:pPr>
        <w:spacing w:after="100" w:line="259"/>
        <w:jc w:val="both"/>
      </w:pPr>
      <w:r>
        <w:rPr>
          <w:rFonts w:ascii="Times New Roman" w:cs="Times New Roman" w:eastAsia="Times New Roman" w:hAnsi="Times New Roman"/>
        </w:rPr>
        <w:t xml:space="preserve">LandTrendr responde </w:t>
      </w:r>
      <w:r>
        <w:rPr>
          <w:rFonts w:ascii="Times New Roman" w:cs="Times New Roman" w:eastAsia="Times New Roman" w:hAnsi="Times New Roman"/>
          <w:b/>
          <w:bCs/>
        </w:rPr>
        <w:t xml:space="preserve">cuándo</w:t>
      </w:r>
      <w:r>
        <w:rPr>
          <w:rFonts w:ascii="Times New Roman" w:cs="Times New Roman" w:eastAsia="Times New Roman" w:hAnsi="Times New Roman"/>
        </w:rPr>
        <w:t xml:space="preserve">; MapBiomas responde </w:t>
      </w:r>
      <w:r>
        <w:rPr>
          <w:rFonts w:ascii="Times New Roman" w:cs="Times New Roman" w:eastAsia="Times New Roman" w:hAnsi="Times New Roman"/>
          <w:b/>
          <w:bCs/>
        </w:rPr>
        <w:t xml:space="preserve">qué</w:t>
      </w:r>
      <w:r>
        <w:rPr>
          <w:rFonts w:ascii="Times New Roman" w:cs="Times New Roman" w:eastAsia="Times New Roman" w:hAnsi="Times New Roman"/>
        </w:rPr>
        <w:t xml:space="preserve">. La función de integración los une en dos fases.</w:t>
      </w:r>
    </w:p>
    <w:p>
      <w:pPr>
        <w:spacing w:after="100" w:line="259"/>
        <w:jc w:val="both"/>
      </w:pPr>
      <w:r>
        <w:rPr>
          <w:rFonts w:ascii="Times New Roman" w:cs="Times New Roman" w:eastAsia="Times New Roman" w:hAnsi="Times New Roman"/>
          <w:b/>
          <w:bCs/>
        </w:rPr>
        <w:t xml:space="preserve">Fase 1. Alertas temporales de pérdida/ganancia de cobertura (LandTrendr).</w:t>
      </w:r>
      <w:r>
        <w:rPr>
          <w:rFonts w:ascii="Times New Roman" w:cs="Times New Roman" w:eastAsia="Times New Roman" w:hAnsi="Times New Roman"/>
        </w:rPr>
        <w:t xml:space="preserve"> Para cada píxel y cada año de quiebre </w:t>
      </w:r>
      <w:r>
        <w:rPr>
          <w:rFonts w:ascii="Times New Roman" w:cs="Times New Roman" w:eastAsia="Times New Roman" w:hAnsi="Times New Roman"/>
          <w:i/>
          <w:iCs/>
        </w:rPr>
        <w:t xml:space="preserve">c</w:t>
      </w:r>
      <w:r>
        <w:rPr>
          <w:rFonts w:ascii="Times New Roman" w:cs="Times New Roman" w:eastAsia="Times New Roman" w:hAnsi="Times New Roman"/>
        </w:rPr>
        <w:t xml:space="preserve"> se emite una alerta si la magnitud supera el umbral calibrado en 2.3: pérdida si el índice cae, ganancia si sube. Se aplica la unidad mínima de 1 ha (unos 11 píxeles de 30 m). Salida: capa A(</w:t>
      </w:r>
      <w:r>
        <w:rPr>
          <w:rFonts w:ascii="Times New Roman" w:cs="Times New Roman" w:eastAsia="Times New Roman" w:hAnsi="Times New Roman"/>
          <w:i/>
          <w:iCs/>
        </w:rPr>
        <w:t xml:space="preserve">p</w:t>
      </w:r>
      <w:r>
        <w:rPr>
          <w:rFonts w:ascii="Times New Roman" w:cs="Times New Roman" w:eastAsia="Times New Roman" w:hAnsi="Times New Roman"/>
        </w:rPr>
        <w:t xml:space="preserve">, </w:t>
      </w:r>
      <w:r>
        <w:rPr>
          <w:rFonts w:ascii="Times New Roman" w:cs="Times New Roman" w:eastAsia="Times New Roman" w:hAnsi="Times New Roman"/>
          <w:i/>
          <w:iCs/>
        </w:rPr>
        <w:t xml:space="preserve">c</w:t>
      </w:r>
      <w:r>
        <w:rPr>
          <w:rFonts w:ascii="Times New Roman" w:cs="Times New Roman" w:eastAsia="Times New Roman" w:hAnsi="Times New Roman"/>
        </w:rPr>
        <w:t xml:space="preserve">) ∈ {pérdida, ganancia, sin alerta}.</w:t>
      </w:r>
    </w:p>
    <w:p>
      <w:pPr>
        <w:spacing w:after="100" w:line="259"/>
        <w:jc w:val="both"/>
      </w:pPr>
      <w:r>
        <w:rPr>
          <w:rFonts w:ascii="Times New Roman" w:cs="Times New Roman" w:eastAsia="Times New Roman" w:hAnsi="Times New Roman"/>
          <w:b/>
          <w:bCs/>
        </w:rPr>
        <w:t xml:space="preserve">Fase 2. Cruce de matrices de transición (MapBiomas T(c−1) vs T(c)).</w:t>
      </w:r>
      <w:r>
        <w:rPr>
          <w:rFonts w:ascii="Times New Roman" w:cs="Times New Roman" w:eastAsia="Times New Roman" w:hAnsi="Times New Roman"/>
        </w:rPr>
        <w:t xml:space="preserve"> Para cada alerta se leen las clases de MapBiomas en el año anterior al quiebre (</w:t>
      </w:r>
      <w:r>
        <w:rPr>
          <w:rFonts w:ascii="Times New Roman" w:cs="Times New Roman" w:eastAsia="Times New Roman" w:hAnsi="Times New Roman"/>
          <w:i/>
          <w:iCs/>
        </w:rPr>
        <w:t xml:space="preserve">c</w:t>
      </w:r>
      <w:r>
        <w:rPr>
          <w:rFonts w:ascii="Times New Roman" w:cs="Times New Roman" w:eastAsia="Times New Roman" w:hAnsi="Times New Roman"/>
        </w:rPr>
        <w:t xml:space="preserve">−1) y en el año del quiebre (</w:t>
      </w:r>
      <w:r>
        <w:rPr>
          <w:rFonts w:ascii="Times New Roman" w:cs="Times New Roman" w:eastAsia="Times New Roman" w:hAnsi="Times New Roman"/>
          <w:i/>
          <w:iCs/>
        </w:rPr>
        <w:t xml:space="preserve">c</w:t>
      </w:r>
      <w:r>
        <w:rPr>
          <w:rFonts w:ascii="Times New Roman" w:cs="Times New Roman" w:eastAsia="Times New Roman" w:hAnsi="Times New Roman"/>
        </w:rPr>
        <w:t xml:space="preserve">), con sensibilidad a </w:t>
      </w:r>
      <w:r>
        <w:rPr>
          <w:rFonts w:ascii="Times New Roman" w:cs="Times New Roman" w:eastAsia="Times New Roman" w:hAnsi="Times New Roman"/>
          <w:i/>
          <w:iCs/>
        </w:rPr>
        <w:t xml:space="preserve">c</w:t>
      </w:r>
      <w:r>
        <w:rPr>
          <w:rFonts w:ascii="Times New Roman" w:cs="Times New Roman" w:eastAsia="Times New Roman" w:hAnsi="Times New Roman"/>
        </w:rPr>
        <w:t xml:space="preserve">+1 por el desfase entre la ventana junio–agosto y los mosaicos de abril a septiembre de MapBiomas </w:t>
      </w:r>
      <w:r>
        <w:rPr>
          <w:rFonts w:ascii="Times New Roman" w:cs="Times New Roman" w:eastAsia="Times New Roman" w:hAnsi="Times New Roman"/>
          <w:highlight w:val="yellow"/>
          <w:highlightCs w:val="yellow"/>
        </w:rPr>
        <w:t xml:space="preserve">[por definir]</w:t>
      </w:r>
      <w:r>
        <w:rPr>
          <w:rFonts w:ascii="Times New Roman" w:cs="Times New Roman" w:eastAsia="Times New Roman" w:hAnsi="Times New Roman"/>
        </w:rPr>
        <w:t xml:space="preserve">. El par de clases etiqueta el cambio (por ejemplo, formación forestal → pastos). Se construye la matriz de transición por año y para todo el periodo.</w:t>
      </w:r>
    </w:p>
    <w:p>
      <w:pPr>
        <w:keepNext/>
        <w:spacing w:after="80" w:before="160"/>
      </w:pPr>
      <w:r>
        <w:rPr>
          <w:rFonts w:ascii="Times New Roman" w:cs="Times New Roman" w:eastAsia="Times New Roman" w:hAnsi="Times New Roman"/>
          <w:b w:val="false"/>
          <w:bCs w:val="false"/>
          <w:sz w:val="20"/>
          <w:szCs w:val="20"/>
        </w:rPr>
        <w:t xml:space="preserve">Tabla 2. Resultado del cruce y su lectura.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LandTrendr (Fase 1)</w:t>
            </w:r>
          </w:p>
        </w:tc>
        <w:tc>
          <w:tcPr>
            <w:tcW w:type="dxa" w:w="30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MapBiomas (Fase 2)</w:t>
            </w:r>
          </w:p>
        </w:tc>
        <w:tc>
          <w:tcPr>
            <w:tcW w:type="dxa" w:w="3638"/>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Lectura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Alerta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Transición de clase</w:t>
            </w:r>
          </w:p>
        </w:tc>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Cambio confirmado y etiquetado</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Alerta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Sin transición</w:t>
            </w:r>
          </w:p>
        </w:tc>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Degradación, omisión de MapBiomas o falsa alarma (heladas); revisión visual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Sin alerta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Transición de clase</w:t>
            </w:r>
          </w:p>
        </w:tc>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Omisión de LandTrendr o error de MapBiomas; revisión visual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Sin alerta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Sin transición</w:t>
            </w:r>
          </w:p>
        </w:tc>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Estable</w:t>
            </w:r>
          </w:p>
        </w:tc>
      </w:tr>
    </w:tbl>
    <w:p>
      <w:pPr>
        <w:spacing w:after="100" w:line="259"/>
        <w:jc w:val="both"/>
      </w:pPr>
      <w:r>
        <w:rPr>
          <w:rFonts w:ascii="Times New Roman" w:cs="Times New Roman" w:eastAsia="Times New Roman" w:hAnsi="Times New Roman"/>
        </w:rPr>
        <w:t xml:space="preserve">Los indicadores (% de bosque, pérdida bruta, pérdida neta, ganancia, expansión agrícola y tasas de cambio) se calculan sobre los cambios confirmados. Los casos sin confirmar se reportan aparte. Las áreas se estiman con muestra estratificada de referencia e intervalos de confianza (Olofsson et al., 2014).</w:t>
      </w:r>
    </w:p>
    <w:p>
      <w:pPr>
        <w:pStyle w:val="Heading1"/>
        <w:keepNext/>
      </w:pPr>
      <w:r>
        <w:rPr>
          <w:rFonts w:ascii="Times New Roman" w:cs="Times New Roman" w:eastAsia="Times New Roman" w:hAnsi="Times New Roman"/>
        </w:rPr>
        <w:t xml:space="preserve">4. CONCLUSIONES Y PRÓXIMOS PASOS (Hacia el Entregable 2: Programación en GEE)</w:t>
      </w:r>
    </w:p>
    <w:p>
      <w:pPr>
        <w:pStyle w:val="ListParagraph"/>
        <w:numPr>
          <w:ilvl w:val="0"/>
          <w:numId w:val="3"/>
        </w:numPr>
        <w:spacing w:after="50" w:line="259"/>
        <w:jc w:val="both"/>
      </w:pPr>
      <w:r>
        <w:rPr>
          <w:rFonts w:ascii="Times New Roman" w:cs="Times New Roman" w:eastAsia="Times New Roman" w:hAnsi="Times New Roman"/>
        </w:rPr>
        <w:t xml:space="preserve">Landsat 8/9 de junio a agosto aporta el </w:t>
      </w:r>
      <w:r>
        <w:rPr>
          <w:rFonts w:ascii="Times New Roman" w:cs="Times New Roman" w:eastAsia="Times New Roman" w:hAnsi="Times New Roman"/>
          <w:b/>
          <w:bCs/>
        </w:rPr>
        <w:t xml:space="preserve">cuándo</w:t>
      </w:r>
      <w:r>
        <w:rPr>
          <w:rFonts w:ascii="Times New Roman" w:cs="Times New Roman" w:eastAsia="Times New Roman" w:hAnsi="Times New Roman"/>
        </w:rPr>
        <w:t xml:space="preserve"> del cambio; MapBiomas aporta el </w:t>
      </w:r>
      <w:r>
        <w:rPr>
          <w:rFonts w:ascii="Times New Roman" w:cs="Times New Roman" w:eastAsia="Times New Roman" w:hAnsi="Times New Roman"/>
          <w:b/>
          <w:bCs/>
        </w:rPr>
        <w:t xml:space="preserve">qué</w:t>
      </w:r>
      <w:r>
        <w:rPr>
          <w:rFonts w:ascii="Times New Roman" w:cs="Times New Roman" w:eastAsia="Times New Roman" w:hAnsi="Times New Roman"/>
        </w:rPr>
        <w:t xml:space="preserve">, con el límite de ser una referencia y no verdad de campo.</w:t>
      </w:r>
    </w:p>
    <w:p>
      <w:pPr>
        <w:pStyle w:val="ListParagraph"/>
        <w:numPr>
          <w:ilvl w:val="0"/>
          <w:numId w:val="3"/>
        </w:numPr>
        <w:spacing w:after="50" w:line="259"/>
        <w:jc w:val="both"/>
      </w:pPr>
      <w:r>
        <w:rPr>
          <w:rFonts w:ascii="Times New Roman" w:cs="Times New Roman" w:eastAsia="Times New Roman" w:hAnsi="Times New Roman"/>
        </w:rPr>
        <w:t xml:space="preserve">El mayor riesgo del diseño es el sesgo de época seca en pastizales; se controla con calibración sobre píxeles estables.</w:t>
      </w:r>
    </w:p>
    <w:p>
      <w:pPr>
        <w:pStyle w:val="ListParagraph"/>
        <w:numPr>
          <w:ilvl w:val="0"/>
          <w:numId w:val="3"/>
        </w:numPr>
        <w:spacing w:after="50" w:line="259"/>
        <w:jc w:val="both"/>
      </w:pPr>
      <w:r>
        <w:rPr>
          <w:rFonts w:ascii="Times New Roman" w:cs="Times New Roman" w:eastAsia="Times New Roman" w:hAnsi="Times New Roman"/>
        </w:rPr>
        <w:t xml:space="preserve">Quedan por definir: clases de MapBiomas que cuentan como bosque (la clase 3 ocupa unos 1.8 km² en la provincia </w:t>
      </w:r>
      <w:r>
        <w:rPr>
          <w:rFonts w:ascii="Times New Roman" w:cs="Times New Roman" w:eastAsia="Times New Roman" w:hAnsi="Times New Roman"/>
          <w:highlight w:val="yellow"/>
          <w:highlightCs w:val="yellow"/>
        </w:rPr>
        <w:t xml:space="preserve">[verificar]</w:t>
      </w:r>
      <w:r>
        <w:rPr>
          <w:rFonts w:ascii="Times New Roman" w:cs="Times New Roman" w:eastAsia="Times New Roman" w:hAnsi="Times New Roman"/>
        </w:rPr>
        <w:t xml:space="preserve">), índice espectral y parámetros de LandTrendr.</w:t>
      </w:r>
    </w:p>
    <w:p>
      <w:pPr>
        <w:spacing w:after="40" w:line="259"/>
        <w:jc w:val="both"/>
      </w:pPr>
      <w:r>
        <w:rPr>
          <w:rFonts w:ascii="Times New Roman" w:cs="Times New Roman" w:eastAsia="Times New Roman" w:hAnsi="Times New Roman"/>
          <w:b/>
          <w:bCs/>
        </w:rPr>
        <w:t xml:space="preserve">Entregable 2 (GEE):</w:t>
      </w:r>
    </w:p>
    <w:p>
      <w:pPr>
        <w:pStyle w:val="ListParagraph"/>
        <w:numPr>
          <w:ilvl w:val="0"/>
          <w:numId w:val="4"/>
        </w:numPr>
        <w:spacing w:after="50" w:line="259"/>
        <w:jc w:val="both"/>
      </w:pPr>
      <w:r>
        <w:rPr>
          <w:rFonts w:ascii="Times New Roman" w:cs="Times New Roman" w:eastAsia="Times New Roman" w:hAnsi="Times New Roman"/>
        </w:rPr>
        <w:t xml:space="preserve">Compuestos L8/L9 de junio a agosto, 2013–2025, con conteo de escenas por año.</w:t>
      </w:r>
    </w:p>
    <w:p>
      <w:pPr>
        <w:pStyle w:val="ListParagraph"/>
        <w:numPr>
          <w:ilvl w:val="0"/>
          <w:numId w:val="4"/>
        </w:numPr>
        <w:spacing w:after="50" w:line="259"/>
        <w:jc w:val="both"/>
      </w:pPr>
      <w:r>
        <w:rPr>
          <w:rFonts w:ascii="Times New Roman" w:cs="Times New Roman" w:eastAsia="Times New Roman" w:hAnsi="Times New Roman"/>
        </w:rPr>
        <w:t xml:space="preserve">Comparación L8–L9 en el traslape de 2022.</w:t>
      </w:r>
    </w:p>
    <w:p>
      <w:pPr>
        <w:pStyle w:val="ListParagraph"/>
        <w:numPr>
          <w:ilvl w:val="0"/>
          <w:numId w:val="4"/>
        </w:numPr>
        <w:spacing w:after="50" w:line="259"/>
        <w:jc w:val="both"/>
      </w:pPr>
      <w:r>
        <w:rPr>
          <w:rFonts w:ascii="Times New Roman" w:cs="Times New Roman" w:eastAsia="Times New Roman" w:hAnsi="Times New Roman"/>
        </w:rPr>
        <w:t xml:space="preserve">Píxeles estables y calibración de umbrales.</w:t>
      </w:r>
    </w:p>
    <w:p>
      <w:pPr>
        <w:pStyle w:val="ListParagraph"/>
        <w:numPr>
          <w:ilvl w:val="0"/>
          <w:numId w:val="4"/>
        </w:numPr>
        <w:spacing w:after="50" w:line="259"/>
        <w:jc w:val="both"/>
      </w:pPr>
      <w:r>
        <w:rPr>
          <w:rFonts w:ascii="Times New Roman" w:cs="Times New Roman" w:eastAsia="Times New Roman" w:hAnsi="Times New Roman"/>
        </w:rPr>
        <w:t xml:space="preserve">LandTrendr en GEE y capa de alertas.</w:t>
      </w:r>
    </w:p>
    <w:p>
      <w:pPr>
        <w:pStyle w:val="ListParagraph"/>
        <w:numPr>
          <w:ilvl w:val="0"/>
          <w:numId w:val="4"/>
        </w:numPr>
        <w:spacing w:after="50" w:line="259"/>
        <w:jc w:val="both"/>
      </w:pPr>
      <w:r>
        <w:rPr>
          <w:rFonts w:ascii="Times New Roman" w:cs="Times New Roman" w:eastAsia="Times New Roman" w:hAnsi="Times New Roman"/>
        </w:rPr>
        <w:t xml:space="preserve">Cruce con el asset de MapBiomas y matrices de transición.</w:t>
      </w:r>
    </w:p>
    <w:p>
      <w:pPr>
        <w:pStyle w:val="ListParagraph"/>
        <w:numPr>
          <w:ilvl w:val="0"/>
          <w:numId w:val="4"/>
        </w:numPr>
        <w:spacing w:after="50" w:line="259"/>
        <w:jc w:val="both"/>
      </w:pPr>
      <w:r>
        <w:rPr>
          <w:rFonts w:ascii="Times New Roman" w:cs="Times New Roman" w:eastAsia="Times New Roman" w:hAnsi="Times New Roman"/>
        </w:rPr>
        <w:t xml:space="preserve">Muestra de validación y estimación de áreas.</w:t>
      </w:r>
    </w:p>
    <w:p>
      <w:pPr>
        <w:pStyle w:val="Heading1"/>
        <w:keepNext/>
      </w:pPr>
      <w:r>
        <w:rPr>
          <w:rFonts w:ascii="Times New Roman" w:cs="Times New Roman" w:eastAsia="Times New Roman" w:hAnsi="Times New Roman"/>
        </w:rPr>
        <w:t xml:space="preserve">Referencias</w:t>
      </w:r>
    </w:p>
    <w:p>
      <w:pPr>
        <w:spacing w:after="70" w:line="245"/>
        <w:ind w:left="567" w:hanging="567"/>
        <w:jc w:val="left"/>
      </w:pPr>
      <w:r>
        <w:rPr>
          <w:rFonts w:ascii="Times New Roman" w:cs="Times New Roman" w:eastAsia="Times New Roman" w:hAnsi="Times New Roman"/>
          <w:sz w:val="19"/>
          <w:szCs w:val="19"/>
        </w:rPr>
        <w:t xml:space="preserve">Kennedy, R. E., Yang, Z., &amp; Cohen, W. B. (2010). Detecting trends in forest disturbance and recovery using yearly Landsat time series: 1. LandTrendr—Temporal segmentation algorithms. </w:t>
      </w:r>
      <w:r>
        <w:rPr>
          <w:rFonts w:ascii="Times New Roman" w:cs="Times New Roman" w:eastAsia="Times New Roman" w:hAnsi="Times New Roman"/>
          <w:i/>
          <w:iCs/>
          <w:sz w:val="19"/>
          <w:szCs w:val="19"/>
        </w:rPr>
        <w:t xml:space="preserve">Remote Sensing of Environment, 114</w:t>
      </w:r>
      <w:r>
        <w:rPr>
          <w:rFonts w:ascii="Times New Roman" w:cs="Times New Roman" w:eastAsia="Times New Roman" w:hAnsi="Times New Roman"/>
          <w:sz w:val="19"/>
          <w:szCs w:val="19"/>
        </w:rPr>
        <w:t xml:space="preserve">(12), 2897–2910.</w:t>
      </w:r>
    </w:p>
    <w:p>
      <w:pPr>
        <w:spacing w:after="70" w:line="245"/>
        <w:ind w:left="567" w:hanging="567"/>
        <w:jc w:val="left"/>
      </w:pPr>
      <w:r>
        <w:rPr>
          <w:rFonts w:ascii="Times New Roman" w:cs="Times New Roman" w:eastAsia="Times New Roman" w:hAnsi="Times New Roman"/>
          <w:sz w:val="19"/>
          <w:szCs w:val="19"/>
        </w:rPr>
        <w:t xml:space="preserve">Kennedy, R. E., Yang, Z., Gorelick, N., Braaten, J., Cavalcante, L., Cohen, W. B., &amp; Healey, S. (2018). Implementation of the LandTrendr algorithm on Google Earth Engine. </w:t>
      </w:r>
      <w:r>
        <w:rPr>
          <w:rFonts w:ascii="Times New Roman" w:cs="Times New Roman" w:eastAsia="Times New Roman" w:hAnsi="Times New Roman"/>
          <w:i/>
          <w:iCs/>
          <w:sz w:val="19"/>
          <w:szCs w:val="19"/>
        </w:rPr>
        <w:t xml:space="preserve">Remote Sensing, 10</w:t>
      </w:r>
      <w:r>
        <w:rPr>
          <w:rFonts w:ascii="Times New Roman" w:cs="Times New Roman" w:eastAsia="Times New Roman" w:hAnsi="Times New Roman"/>
          <w:sz w:val="19"/>
          <w:szCs w:val="19"/>
        </w:rPr>
        <w:t xml:space="preserve">(5), 691.</w:t>
      </w:r>
    </w:p>
    <w:p>
      <w:pPr>
        <w:spacing w:after="70" w:line="245"/>
        <w:ind w:left="567" w:hanging="567"/>
        <w:jc w:val="left"/>
      </w:pPr>
      <w:r>
        <w:rPr>
          <w:rFonts w:ascii="Times New Roman" w:cs="Times New Roman" w:eastAsia="Times New Roman" w:hAnsi="Times New Roman"/>
          <w:sz w:val="19"/>
          <w:szCs w:val="19"/>
        </w:rPr>
        <w:t xml:space="preserve">MapBiomas Perú. (s. f.). </w:t>
      </w:r>
      <w:r>
        <w:rPr>
          <w:rFonts w:ascii="Times New Roman" w:cs="Times New Roman" w:eastAsia="Times New Roman" w:hAnsi="Times New Roman"/>
          <w:i/>
          <w:iCs/>
          <w:sz w:val="19"/>
          <w:szCs w:val="19"/>
        </w:rPr>
        <w:t xml:space="preserve">Apéndice 5: MapBiomas Perú, Colección 4.0</w:t>
      </w:r>
      <w:r>
        <w:rPr>
          <w:rFonts w:ascii="Times New Roman" w:cs="Times New Roman" w:eastAsia="Times New Roman" w:hAnsi="Times New Roman"/>
          <w:sz w:val="19"/>
          <w:szCs w:val="19"/>
        </w:rPr>
        <w:t xml:space="preserve"> [Documento técnico]. Red MapBiomas Amazonía. https://amazonia.mapbiomas.org/wp-content/uploads/sites/10/2023/08/Apendice_5_Peru_-_Coleccion_4.0.pdf</w:t>
      </w:r>
    </w:p>
    <w:p>
      <w:pPr>
        <w:spacing w:after="70" w:line="245"/>
        <w:ind w:left="567" w:hanging="567"/>
        <w:jc w:val="left"/>
      </w:pPr>
      <w:r>
        <w:rPr>
          <w:rFonts w:ascii="Times New Roman" w:cs="Times New Roman" w:eastAsia="Times New Roman" w:hAnsi="Times New Roman"/>
          <w:sz w:val="19"/>
          <w:szCs w:val="19"/>
        </w:rPr>
        <w:t xml:space="preserve">Masek, J. G., Wulder, M. A., Markham, B., McCorkel, J., Crawford, C. J., Storey, J., &amp; Jenstrom, D. T. (2020). Landsat 9: Empowering open science and applications through continuity. </w:t>
      </w:r>
      <w:r>
        <w:rPr>
          <w:rFonts w:ascii="Times New Roman" w:cs="Times New Roman" w:eastAsia="Times New Roman" w:hAnsi="Times New Roman"/>
          <w:i/>
          <w:iCs/>
          <w:sz w:val="19"/>
          <w:szCs w:val="19"/>
        </w:rPr>
        <w:t xml:space="preserve">Remote Sensing of Environment, 248</w:t>
      </w:r>
      <w:r>
        <w:rPr>
          <w:rFonts w:ascii="Times New Roman" w:cs="Times New Roman" w:eastAsia="Times New Roman" w:hAnsi="Times New Roman"/>
          <w:sz w:val="19"/>
          <w:szCs w:val="19"/>
        </w:rPr>
        <w:t xml:space="preserve">, 111968.</w:t>
      </w:r>
    </w:p>
    <w:p>
      <w:pPr>
        <w:spacing w:after="70" w:line="245"/>
        <w:ind w:left="567" w:hanging="567"/>
        <w:jc w:val="left"/>
      </w:pPr>
      <w:r>
        <w:rPr>
          <w:rFonts w:ascii="Times New Roman" w:cs="Times New Roman" w:eastAsia="Times New Roman" w:hAnsi="Times New Roman"/>
          <w:sz w:val="19"/>
          <w:szCs w:val="19"/>
        </w:rPr>
        <w:t xml:space="preserve">Olofsson, P., Foody, G. M., Herold, M., Stehman, S. V., Woodcock, C. E., &amp; Wulder, M. A. (2014). Good practices for estimating area and assessing accuracy of land change. </w:t>
      </w:r>
      <w:r>
        <w:rPr>
          <w:rFonts w:ascii="Times New Roman" w:cs="Times New Roman" w:eastAsia="Times New Roman" w:hAnsi="Times New Roman"/>
          <w:i/>
          <w:iCs/>
          <w:sz w:val="19"/>
          <w:szCs w:val="19"/>
        </w:rPr>
        <w:t xml:space="preserve">Remote Sensing of Environment, 148</w:t>
      </w:r>
      <w:r>
        <w:rPr>
          <w:rFonts w:ascii="Times New Roman" w:cs="Times New Roman" w:eastAsia="Times New Roman" w:hAnsi="Times New Roman"/>
          <w:sz w:val="19"/>
          <w:szCs w:val="19"/>
        </w:rPr>
        <w:t xml:space="preserve">, 42–57.</w:t>
      </w:r>
    </w:p>
    <w:p>
      <w:pPr>
        <w:spacing w:after="70" w:line="245"/>
        <w:ind w:left="567" w:hanging="567"/>
        <w:jc w:val="left"/>
      </w:pPr>
      <w:r>
        <w:rPr>
          <w:rFonts w:ascii="Times New Roman" w:cs="Times New Roman" w:eastAsia="Times New Roman" w:hAnsi="Times New Roman"/>
          <w:sz w:val="19"/>
          <w:szCs w:val="19"/>
        </w:rPr>
        <w:t xml:space="preserve">Roy, D. P., Wulder, M. A., Loveland, T. R., Woodcock, C. E., Allen, R. G., Anderson, M. C., … Zhu, Z. (2014). Landsat-8: Science and product vision for terrestrial global change research. </w:t>
      </w:r>
      <w:r>
        <w:rPr>
          <w:rFonts w:ascii="Times New Roman" w:cs="Times New Roman" w:eastAsia="Times New Roman" w:hAnsi="Times New Roman"/>
          <w:i/>
          <w:iCs/>
          <w:sz w:val="19"/>
          <w:szCs w:val="19"/>
        </w:rPr>
        <w:t xml:space="preserve">Remote Sensing of Environment, 145</w:t>
      </w:r>
      <w:r>
        <w:rPr>
          <w:rFonts w:ascii="Times New Roman" w:cs="Times New Roman" w:eastAsia="Times New Roman" w:hAnsi="Times New Roman"/>
          <w:sz w:val="19"/>
          <w:szCs w:val="19"/>
        </w:rPr>
        <w:t xml:space="preserve">, 154–172.</w:t>
      </w:r>
    </w:p>
    <w:p>
      <w:pPr>
        <w:spacing w:after="70" w:line="245"/>
        <w:ind w:left="567" w:hanging="567"/>
        <w:jc w:val="left"/>
      </w:pPr>
      <w:r>
        <w:rPr>
          <w:rFonts w:ascii="Times New Roman" w:cs="Times New Roman" w:eastAsia="Times New Roman" w:hAnsi="Times New Roman"/>
          <w:sz w:val="19"/>
          <w:szCs w:val="19"/>
        </w:rPr>
        <w:t xml:space="preserve">Souza, C. M., Jr., Shimbo, J. Z., Rosa, M. R., Parente, L. L., Alencar, A. A., Rudorff, B. F. T., … Azevedo, T. (2020). Reconstructing three decades of land use and land cover changes in Brazilian biomes with Landsat archive and Earth Engine. </w:t>
      </w:r>
      <w:r>
        <w:rPr>
          <w:rFonts w:ascii="Times New Roman" w:cs="Times New Roman" w:eastAsia="Times New Roman" w:hAnsi="Times New Roman"/>
          <w:i/>
          <w:iCs/>
          <w:sz w:val="19"/>
          <w:szCs w:val="19"/>
        </w:rPr>
        <w:t xml:space="preserve">Remote Sensing, 12</w:t>
      </w:r>
      <w:r>
        <w:rPr>
          <w:rFonts w:ascii="Times New Roman" w:cs="Times New Roman" w:eastAsia="Times New Roman" w:hAnsi="Times New Roman"/>
          <w:sz w:val="19"/>
          <w:szCs w:val="19"/>
        </w:rPr>
        <w:t xml:space="preserve">(17), 2735.</w:t>
      </w:r>
    </w:p>
    <w:p>
      <w:pPr>
        <w:spacing w:after="70" w:line="245"/>
        <w:ind w:left="567" w:hanging="567"/>
        <w:jc w:val="left"/>
      </w:pPr>
      <w:r>
        <w:rPr>
          <w:rFonts w:ascii="Times New Roman" w:cs="Times New Roman" w:eastAsia="Times New Roman" w:hAnsi="Times New Roman"/>
          <w:sz w:val="19"/>
          <w:szCs w:val="19"/>
        </w:rPr>
        <w:t xml:space="preserve">Wulder, M. A., Loveland, T. R., Roy, D. P., Crawford, C. J., Masek, J. G., Woodcock, C. E., … Zhu, Z. (2019). Current status of Landsat program, science, and applications. </w:t>
      </w:r>
      <w:r>
        <w:rPr>
          <w:rFonts w:ascii="Times New Roman" w:cs="Times New Roman" w:eastAsia="Times New Roman" w:hAnsi="Times New Roman"/>
          <w:i/>
          <w:iCs/>
          <w:sz w:val="19"/>
          <w:szCs w:val="19"/>
        </w:rPr>
        <w:t xml:space="preserve">Remote Sensing of Environment, 225</w:t>
      </w:r>
      <w:r>
        <w:rPr>
          <w:rFonts w:ascii="Times New Roman" w:cs="Times New Roman" w:eastAsia="Times New Roman" w:hAnsi="Times New Roman"/>
          <w:sz w:val="19"/>
          <w:szCs w:val="19"/>
        </w:rPr>
        <w:t xml:space="preserve">, 127–147.</w:t>
      </w:r>
    </w:p>
    <w:p>
      <w:pPr>
        <w:spacing w:after="160" w:before="60"/>
      </w:pPr>
      <w:r>
        <w:rPr>
          <w:rFonts w:ascii="Times New Roman" w:cs="Times New Roman" w:eastAsia="Times New Roman" w:hAnsi="Times New Roman"/>
          <w:sz w:val="18"/>
          <w:szCs w:val="18"/>
          <w:highlight w:val="yellow"/>
          <w:highlightCs w:val="yellow"/>
        </w:rPr>
        <w:t xml:space="preserve">[verificar]</w:t>
      </w:r>
      <w:r>
        <w:rPr>
          <w:rFonts w:ascii="Times New Roman" w:cs="Times New Roman" w:eastAsia="Times New Roman" w:hAnsi="Times New Roman"/>
          <w:sz w:val="18"/>
          <w:szCs w:val="18"/>
        </w:rPr>
        <w:t xml:space="preserve"> Verificadas en línea: Kennedy et al. (2010, 2018), Olofsson et al. (2014), Roy et al. (2014) y el Apéndice 5 de MapBiomas Perú. Las demás provienen del conocimiento del redactor: confirmar volumen, páginas y DOI.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abstractNum w:abstractNumId="4"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70" w:before="140"/>
      <w:outlineLvl w:val="1"/>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cambio de cobertura del suelo en Cusco (Entregable 1)</dc:title>
  <dc:creator>Proyecto Cobertura de suelo – Cusco</dc:creator>
  <cp:lastModifiedBy>Un-named</cp:lastModifiedBy>
  <cp:revision>1</cp:revision>
  <dcterms:created xsi:type="dcterms:W3CDTF">2026-10-11T23:02:02.458Z</dcterms:created>
  <dcterms:modified xsi:type="dcterms:W3CDTF">2026-10-11T23:02:02.458Z</dcterms:modified>
</cp:coreProperties>
</file>

<file path=docProps/custom.xml><?xml version="1.0" encoding="utf-8"?>
<Properties xmlns="http://schemas.openxmlformats.org/officeDocument/2006/custom-properties" xmlns:vt="http://schemas.openxmlformats.org/officeDocument/2006/docPropsVTypes"/>
</file>