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2"/>
          <w:szCs w:val="32"/>
        </w:rPr>
        <w:t xml:space="preserve">Pérdida de bosque en la provincia de Cusco (2013–2025): detección con LandTrendr sobre Landsat 8 y comparación con MapBiomas Perú</w:t>
      </w:r>
    </w:p>
    <w:p>
      <w:pPr>
        <w:spacing w:after="40" w:line="276"/>
        <w:jc w:val="center"/>
      </w:pPr>
      <w:r>
        <w:rPr>
          <w:rFonts w:ascii="Times New Roman" w:cs="Times New Roman" w:eastAsia="Times New Roman" w:hAnsi="Times New Roman"/>
          <w:highlight w:val="yellow"/>
          <w:highlightCs w:val="yellow"/>
        </w:rPr>
        <w:t xml:space="preserve">[Autores por definir] · [Afiliación por definir]</w:t>
      </w:r>
    </w:p>
    <w:p>
      <w:pPr>
        <w:spacing w:after="240" w:line="276"/>
        <w:jc w:val="center"/>
      </w:pPr>
      <w:r>
        <w:rPr>
          <w:rFonts w:ascii="Times New Roman" w:cs="Times New Roman" w:eastAsia="Times New Roman" w:hAnsi="Times New Roman"/>
        </w:rPr>
        <w:t xml:space="preserve">Proyecto para el Gobierno Regional de Cusco · Borrador 1 · Octubre de 2026</w:t>
      </w:r>
    </w:p>
    <w:p>
      <w:pPr>
        <w:pStyle w:val="Heading1"/>
        <w:keepNext/>
      </w:pPr>
      <w:r>
        <w:rPr>
          <w:rFonts w:ascii="Times New Roman" w:cs="Times New Roman" w:eastAsia="Times New Roman" w:hAnsi="Times New Roman"/>
        </w:rPr>
        <w:t xml:space="preserve">Resumen</w:t>
      </w:r>
    </w:p>
    <w:p>
      <w:pPr>
        <w:spacing w:after="120" w:line="276"/>
        <w:jc w:val="both"/>
      </w:pPr>
      <w:r>
        <w:rPr>
          <w:rFonts w:ascii="Times New Roman" w:cs="Times New Roman" w:eastAsia="Times New Roman" w:hAnsi="Times New Roman"/>
        </w:rPr>
        <w:t xml:space="preserve">El Gobierno Regional de Cusco necesita saber cuánta cobertura de bosque cambió en la provincia de Cusco y con qué incertidumbre. Este trabajo propone estimar la pérdida y la ganancia de bosque entre 2013 y 2025 aplicando el algoritmo LandTrendr a una serie anual de compuestos Landsat 8 construidos solo con escenas de junio a agosto, y comparar los indicadores resultantes (porcentaje de bosque, pérdida bruta, pérdida neta, ganancia y tasas de cambio) con los derivados de MapBiomas Perú Colección 4. El documento fundamenta las decisiones de diseño: Landsat 8 como única fuente de imágenes, la ventana de época seca, MapBiomas como referencia de comparación y LandTrendr como método. Las áreas se reportarán con intervalos de confianza según Olofsson et al. (2014). Este borrador corresponde a la fase de diseño; la sección de resultados se completará al ejecutar el análisis.</w:t>
      </w:r>
    </w:p>
    <w:p>
      <w:pPr>
        <w:spacing w:after="120" w:line="276"/>
        <w:jc w:val="both"/>
      </w:pPr>
      <w:r>
        <w:rPr>
          <w:rFonts w:ascii="Times New Roman" w:cs="Times New Roman" w:eastAsia="Times New Roman" w:hAnsi="Times New Roman"/>
          <w:b/>
          <w:bCs/>
        </w:rPr>
        <w:t xml:space="preserve">Palabras clave:</w:t>
      </w:r>
      <w:r>
        <w:rPr>
          <w:rFonts w:ascii="Times New Roman" w:cs="Times New Roman" w:eastAsia="Times New Roman" w:hAnsi="Times New Roman"/>
        </w:rPr>
        <w:t xml:space="preserve"> cobertura del suelo, pérdida de bosque, LandTrendr, Landsat 8, MapBiomas, Cusco.</w:t>
      </w:r>
    </w:p>
    <w:p>
      <w:pPr>
        <w:pStyle w:val="Heading1"/>
        <w:keepNext/>
      </w:pPr>
      <w:r>
        <w:rPr>
          <w:rFonts w:ascii="Times New Roman" w:cs="Times New Roman" w:eastAsia="Times New Roman" w:hAnsi="Times New Roman"/>
        </w:rPr>
        <w:t xml:space="preserve">Abstract</w:t>
      </w:r>
    </w:p>
    <w:p>
      <w:pPr>
        <w:spacing w:after="120" w:line="276"/>
        <w:jc w:val="both"/>
      </w:pPr>
      <w:r>
        <w:rPr>
          <w:rFonts w:ascii="Times New Roman" w:cs="Times New Roman" w:eastAsia="Times New Roman" w:hAnsi="Times New Roman"/>
        </w:rPr>
        <w:t xml:space="preserve">This study proposes to estimate forest loss and gain in Cusco Province (Peru) between 2013 and 2025 by applying the LandTrendr algorithm to annual Landsat 8 composites built only from June–August scenes, and to compare the resulting indicators (forest percentage, gross loss, net loss, gain and rates of change) against those derived from MapBiomas Peru Collection 4. The design choices are justified: Landsat 8 as the only image source, a dry-season window, MapBiomas as the comparison reference, and LandTrendr as the method. Areas will be reported with confidence intervals following Olofsson et al. (2014). This draft covers the design phase; results will be added once the analysis is run.</w:t>
      </w:r>
    </w:p>
    <w:p>
      <w:pPr>
        <w:spacing w:after="120" w:line="276"/>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land cover, forest loss, LandTrendr, Landsat 8, MapBiomas, Cusco.</w:t>
      </w:r>
    </w:p>
    <w:p>
      <w:pPr>
        <w:pStyle w:val="Heading1"/>
        <w:keepNext/>
      </w:pPr>
      <w:r>
        <w:rPr>
          <w:rFonts w:ascii="Times New Roman" w:cs="Times New Roman" w:eastAsia="Times New Roman" w:hAnsi="Times New Roman"/>
        </w:rPr>
        <w:t xml:space="preserve">1. Introducción</w:t>
      </w:r>
    </w:p>
    <w:p>
      <w:pPr>
        <w:spacing w:after="120" w:line="276"/>
        <w:jc w:val="both"/>
      </w:pPr>
      <w:r>
        <w:rPr>
          <w:rFonts w:ascii="Times New Roman" w:cs="Times New Roman" w:eastAsia="Times New Roman" w:hAnsi="Times New Roman"/>
        </w:rPr>
        <w:t xml:space="preserve">La provincia de Cusco combina ceja de selva, valles interandinos y alta montaña. En ese gradiente, la pérdida de bosque y los cambios de cobertura son difíciles de medir: la nubosidad limita las imágenes ópticas y el relieve introduce sombras y variaciones de iluminación. Las decisiones regionales sobre ordenamiento y conservación necesitan cifras anuales, espacialmente explícitas y con incertidumbre cuantificada.</w:t>
      </w:r>
    </w:p>
    <w:p>
      <w:pPr>
        <w:spacing w:after="120" w:line="276"/>
        <w:jc w:val="both"/>
      </w:pPr>
      <w:r>
        <w:rPr>
          <w:rFonts w:ascii="Times New Roman" w:cs="Times New Roman" w:eastAsia="Times New Roman" w:hAnsi="Times New Roman"/>
        </w:rPr>
        <w:t xml:space="preserve">Existen productos regionales de cobertura, entre ellos MapBiomas Perú, que publica mapas anuales a 30 m. Esos mapas son una referencia útil, pero su cifra de cambio depende de una clasificación independiente por año, y por eso arrastra error de clasificación que se confunde con cambio real. Este trabajo calcula indicadores propios a partir de la trayectoria temporal de cada píxel en Landsat 8 y los contrasta con los de MapBiomas.</w:t>
      </w:r>
    </w:p>
    <w:p>
      <w:pPr>
        <w:spacing w:after="120" w:line="276"/>
        <w:jc w:val="both"/>
      </w:pPr>
      <w:r>
        <w:rPr>
          <w:rFonts w:ascii="Times New Roman" w:cs="Times New Roman" w:eastAsia="Times New Roman" w:hAnsi="Times New Roman"/>
          <w:b/>
          <w:bCs/>
        </w:rPr>
        <w:t xml:space="preserve">Pregunta principal.</w:t>
      </w:r>
      <w:r>
        <w:rPr>
          <w:rFonts w:ascii="Times New Roman" w:cs="Times New Roman" w:eastAsia="Times New Roman" w:hAnsi="Times New Roman"/>
        </w:rPr>
        <w:t xml:space="preserve"> ¿Cuánta cobertura de bosque cambió en la provincia de Cusco entre 2013 y 2025, y con qué exactitud e incertidumbre se estima ese cambio?</w:t>
      </w:r>
    </w:p>
    <w:p>
      <w:pPr>
        <w:spacing w:after="120" w:line="276"/>
        <w:jc w:val="both"/>
      </w:pPr>
      <w:r>
        <w:rPr>
          <w:rFonts w:ascii="Times New Roman" w:cs="Times New Roman" w:eastAsia="Times New Roman" w:hAnsi="Times New Roman"/>
          <w:b/>
          <w:bCs/>
        </w:rPr>
        <w:t xml:space="preserve">Objetivo general.</w:t>
      </w:r>
      <w:r>
        <w:rPr>
          <w:rFonts w:ascii="Times New Roman" w:cs="Times New Roman" w:eastAsia="Times New Roman" w:hAnsi="Times New Roman"/>
        </w:rPr>
        <w:t xml:space="preserve"> Estimar la pérdida y la ganancia de bosque en la provincia de Cusco entre 2013 y 2025 con LandTrendr sobre Landsat 8 y compararlas con MapBiomas Perú.</w:t>
      </w:r>
    </w:p>
    <w:p>
      <w:pPr>
        <w:spacing w:after="60" w:line="276"/>
        <w:jc w:val="both"/>
      </w:pPr>
      <w:r>
        <w:rPr>
          <w:rFonts w:ascii="Times New Roman" w:cs="Times New Roman" w:eastAsia="Times New Roman" w:hAnsi="Times New Roman"/>
          <w:b/>
          <w:bCs/>
        </w:rPr>
        <w:t xml:space="preserve">Objetivos específicos.</w:t>
      </w:r>
    </w:p>
    <w:p>
      <w:pPr>
        <w:pStyle w:val="ListParagraph"/>
        <w:numPr>
          <w:ilvl w:val="0"/>
          <w:numId w:val="2"/>
        </w:numPr>
        <w:spacing w:after="60" w:line="276"/>
        <w:jc w:val="both"/>
      </w:pPr>
      <w:r>
        <w:rPr>
          <w:rFonts w:ascii="Times New Roman" w:cs="Times New Roman" w:eastAsia="Times New Roman" w:hAnsi="Times New Roman"/>
        </w:rPr>
        <w:t xml:space="preserve">Construir una serie anual de compuestos Landsat 8 con escenas de junio a agosto, de 2013 a 2025.</w:t>
      </w:r>
    </w:p>
    <w:p>
      <w:pPr>
        <w:pStyle w:val="ListParagraph"/>
        <w:numPr>
          <w:ilvl w:val="0"/>
          <w:numId w:val="2"/>
        </w:numPr>
        <w:spacing w:after="60" w:line="276"/>
        <w:jc w:val="both"/>
      </w:pPr>
      <w:r>
        <w:rPr>
          <w:rFonts w:ascii="Times New Roman" w:cs="Times New Roman" w:eastAsia="Times New Roman" w:hAnsi="Times New Roman"/>
        </w:rPr>
        <w:t xml:space="preserve">Aplicar LandTrendr para obtener mapas anuales de bosque y no bosque, y mapas de cambio.</w:t>
      </w:r>
    </w:p>
    <w:p>
      <w:pPr>
        <w:pStyle w:val="ListParagraph"/>
        <w:numPr>
          <w:ilvl w:val="0"/>
          <w:numId w:val="2"/>
        </w:numPr>
        <w:spacing w:after="60" w:line="276"/>
        <w:jc w:val="both"/>
      </w:pPr>
      <w:r>
        <w:rPr>
          <w:rFonts w:ascii="Times New Roman" w:cs="Times New Roman" w:eastAsia="Times New Roman" w:hAnsi="Times New Roman"/>
        </w:rPr>
        <w:t xml:space="preserve">Calcular porcentaje de bosque, pérdida bruta, pérdida neta, ganancia y tasas de cambio por periodo.</w:t>
      </w:r>
    </w:p>
    <w:p>
      <w:pPr>
        <w:pStyle w:val="ListParagraph"/>
        <w:numPr>
          <w:ilvl w:val="0"/>
          <w:numId w:val="2"/>
        </w:numPr>
        <w:spacing w:after="60" w:line="276"/>
        <w:jc w:val="both"/>
      </w:pPr>
      <w:r>
        <w:rPr>
          <w:rFonts w:ascii="Times New Roman" w:cs="Times New Roman" w:eastAsia="Times New Roman" w:hAnsi="Times New Roman"/>
        </w:rPr>
        <w:t xml:space="preserve">Comparar esos indicadores con los derivados de MapBiomas Perú en el periodo común y cuantificar la concordancia.</w:t>
      </w:r>
    </w:p>
    <w:p>
      <w:pPr>
        <w:pStyle w:val="ListParagraph"/>
        <w:numPr>
          <w:ilvl w:val="0"/>
          <w:numId w:val="2"/>
        </w:numPr>
        <w:spacing w:after="60" w:line="276"/>
        <w:jc w:val="both"/>
      </w:pPr>
      <w:r>
        <w:rPr>
          <w:rFonts w:ascii="Times New Roman" w:cs="Times New Roman" w:eastAsia="Times New Roman" w:hAnsi="Times New Roman"/>
        </w:rPr>
        <w:t xml:space="preserve">Estimar áreas de cambio con intervalos de confianza y reportar la exactitud del mapa.</w:t>
      </w:r>
    </w:p>
    <w:p>
      <w:pPr>
        <w:spacing w:after="120" w:line="276"/>
        <w:jc w:val="both"/>
      </w:pPr>
      <w:r>
        <w:rPr>
          <w:rFonts w:ascii="Times New Roman" w:cs="Times New Roman" w:eastAsia="Times New Roman" w:hAnsi="Times New Roman"/>
          <w:b/>
          <w:bCs/>
        </w:rPr>
        <w:t xml:space="preserve">Alcance.</w:t>
      </w:r>
      <w:r>
        <w:rPr>
          <w:rFonts w:ascii="Times New Roman" w:cs="Times New Roman" w:eastAsia="Times New Roman" w:hAnsi="Times New Roman"/>
        </w:rPr>
        <w:t xml:space="preserve"> El análisis propio distingue bosque y no bosque. La expansión agrícola no se calcula con LandTrendr, porque el algoritmo detecta cambios de trayectoria pero no asigna clases de uso; si se reporta, será solo como indicador de referencia de MapBiomas </w:t>
      </w:r>
      <w:r>
        <w:rPr>
          <w:rFonts w:ascii="Times New Roman" w:cs="Times New Roman" w:eastAsia="Times New Roman" w:hAnsi="Times New Roman"/>
          <w:highlight w:val="yellow"/>
          <w:highlightCs w:val="yellow"/>
        </w:rPr>
        <w:t xml:space="preserve">[por confirmar]</w:t>
      </w:r>
      <w:r>
        <w:rPr>
          <w:rFonts w:ascii="Times New Roman" w:cs="Times New Roman" w:eastAsia="Times New Roman" w:hAnsi="Times New Roman"/>
        </w:rPr>
        <w:t xml:space="preserve">. Quedan fuera los cambios que no involucran bosque y los territorios ajenos a la provincia.</w:t>
      </w:r>
    </w:p>
    <w:p>
      <w:pPr>
        <w:pStyle w:val="Heading1"/>
        <w:keepNext/>
      </w:pPr>
      <w:r>
        <w:rPr>
          <w:rFonts w:ascii="Times New Roman" w:cs="Times New Roman" w:eastAsia="Times New Roman" w:hAnsi="Times New Roman"/>
        </w:rPr>
        <w:t xml:space="preserve">2. Marco teórico y antecedentes</w:t>
      </w:r>
    </w:p>
    <w:p>
      <w:pPr>
        <w:pStyle w:val="Heading2"/>
        <w:keepNext/>
      </w:pPr>
      <w:r>
        <w:rPr>
          <w:rFonts w:ascii="Times New Roman" w:cs="Times New Roman" w:eastAsia="Times New Roman" w:hAnsi="Times New Roman"/>
        </w:rPr>
        <w:t xml:space="preserve">2.1 Cobertura y uso del suelo</w:t>
      </w:r>
    </w:p>
    <w:p>
      <w:pPr>
        <w:spacing w:after="120" w:line="276"/>
        <w:jc w:val="both"/>
      </w:pPr>
      <w:r>
        <w:rPr>
          <w:rFonts w:ascii="Times New Roman" w:cs="Times New Roman" w:eastAsia="Times New Roman" w:hAnsi="Times New Roman"/>
        </w:rPr>
        <w:t xml:space="preserve">La cobertura del suelo describe lo que hay sobre la superficie (bosque, pasto, cultivo, agua, urbano); el uso describe para qué se emplea. Los sensores ópticos observan cobertura, y el uso se infiere. Por eso este trabajo habla de cobertura de bosque y no de uso del suelo.</w:t>
      </w:r>
    </w:p>
    <w:p>
      <w:pPr>
        <w:pStyle w:val="Heading2"/>
        <w:keepNext/>
      </w:pPr>
      <w:r>
        <w:rPr>
          <w:rFonts w:ascii="Times New Roman" w:cs="Times New Roman" w:eastAsia="Times New Roman" w:hAnsi="Times New Roman"/>
        </w:rPr>
        <w:t xml:space="preserve">2.2 Series temporales Landsat</w:t>
      </w:r>
    </w:p>
    <w:p>
      <w:pPr>
        <w:spacing w:after="120" w:line="276"/>
        <w:jc w:val="both"/>
      </w:pPr>
      <w:r>
        <w:rPr>
          <w:rFonts w:ascii="Times New Roman" w:cs="Times New Roman" w:eastAsia="Times New Roman" w:hAnsi="Times New Roman"/>
        </w:rPr>
        <w:t xml:space="preserve">El archivo Landsat es la serie óptica más larga de observación de la Tierra a escala de 30 m, y su acceso es gratuito desde 2008 (Woodcock et al., 2008; Wulder et al., 2019). Landsat 8, lanzado en 2013, incorpora el sensor OLI con calibración radiométrica mejorada respecto de sus predecesores (Roy et al., 2014). Google Earth Engine permite procesar series completas sin descargar escenas (Gorelick et al., 2017). La práctica habitual para detectar cambio con una observación por año es construir un compuesto anual y analizar su trayectoria.</w:t>
      </w:r>
    </w:p>
    <w:p>
      <w:pPr>
        <w:pStyle w:val="Heading2"/>
        <w:keepNext/>
      </w:pPr>
      <w:r>
        <w:rPr>
          <w:rFonts w:ascii="Times New Roman" w:cs="Times New Roman" w:eastAsia="Times New Roman" w:hAnsi="Times New Roman"/>
        </w:rPr>
        <w:t xml:space="preserve">2.3 LandTrendr</w:t>
      </w:r>
    </w:p>
    <w:p>
      <w:pPr>
        <w:spacing w:after="120" w:line="276"/>
        <w:jc w:val="both"/>
      </w:pPr>
      <w:r>
        <w:rPr>
          <w:rFonts w:ascii="Times New Roman" w:cs="Times New Roman" w:eastAsia="Times New Roman" w:hAnsi="Times New Roman"/>
        </w:rPr>
        <w:t xml:space="preserve">LandTrendr (Landsat-based detection of Trends in Disturbance and Recovery) ajusta, para cada píxel, una serie de segmentos lineales a la trayectoria anual de un índice espectral (Kennedy et al., 2010). El algoritmo elimina picos de ruido, ubica vértices (los años en que cambia la tendencia) y devuelve, por segmento, el año de inicio y de fin, la magnitud, la duración y la tasa de cambio. Una pérdida abrupta aparece como un segmento corto de gran magnitud; una degradación gradual, como un segmento largo de pendiente negativa; una recuperación, como un segmento con pendiente positiva. Existe una implementación en Google Earth Engine (Kennedy et al., 2018) y una herramienta de interpretación visual para calibrar y validar los resultados (Cohen et al., 2010). El índice habitual para perturbación de bosque es el NBR (Key y Benson, 2006), aunque la elección se comprueba caso a caso.</w:t>
      </w:r>
    </w:p>
    <w:p>
      <w:pPr>
        <w:pStyle w:val="Heading2"/>
        <w:keepNext/>
      </w:pPr>
      <w:r>
        <w:rPr>
          <w:rFonts w:ascii="Times New Roman" w:cs="Times New Roman" w:eastAsia="Times New Roman" w:hAnsi="Times New Roman"/>
        </w:rPr>
        <w:t xml:space="preserve">2.4 MapBiomas Perú</w:t>
      </w:r>
    </w:p>
    <w:p>
      <w:pPr>
        <w:spacing w:after="120" w:line="276"/>
        <w:jc w:val="both"/>
      </w:pPr>
      <w:r>
        <w:rPr>
          <w:rFonts w:ascii="Times New Roman" w:cs="Times New Roman" w:eastAsia="Times New Roman" w:hAnsi="Times New Roman"/>
        </w:rPr>
        <w:t xml:space="preserve">MapBiomas es una red que produce mapas anuales de cobertura y uso del suelo a 30 m a partir del archivo Landsat y Earth Engine (Souza et al., 2020). MapBiomas Perú Colección 4 mapea 26 clases entre 1985 y 2025. Según su documentación técnica, los mosaicos se calculan con la mediana de las escenas de una ventana estacional definida por región, y la clasificación usa Random Forest con revisión de intérpretes (MapBiomas Perú, s. f.-a). Para la región Andes, la ventana de los mosaicos va del 1 de abril al 30 de septiembre, y para 2013–2021 se usa Landsat 8.</w:t>
      </w:r>
    </w:p>
    <w:p>
      <w:pPr>
        <w:pStyle w:val="Heading2"/>
        <w:keepNext/>
      </w:pPr>
      <w:r>
        <w:rPr>
          <w:rFonts w:ascii="Times New Roman" w:cs="Times New Roman" w:eastAsia="Times New Roman" w:hAnsi="Times New Roman"/>
        </w:rPr>
        <w:t xml:space="preserve">2.5 Estimación de áreas y exactitud</w:t>
      </w:r>
    </w:p>
    <w:p>
      <w:pPr>
        <w:spacing w:after="120" w:line="276"/>
        <w:jc w:val="both"/>
      </w:pPr>
      <w:r>
        <w:rPr>
          <w:rFonts w:ascii="Times New Roman" w:cs="Times New Roman" w:eastAsia="Times New Roman" w:hAnsi="Times New Roman"/>
        </w:rPr>
        <w:t xml:space="preserve">Contar píxeles de un mapa de cambio sesga el área, porque los errores de clasificación no se compensan entre clases. La práctica recomendada es una muestra estratificada de referencia, una matriz de confusión y un estimador de área con intervalo de confianza (Olofsson et al., 2014). Este trabajo adopta ese procedimiento.</w:t>
      </w:r>
    </w:p>
    <w:p>
      <w:pPr>
        <w:pStyle w:val="Heading2"/>
        <w:keepNext/>
      </w:pPr>
      <w:r>
        <w:rPr>
          <w:rFonts w:ascii="Times New Roman" w:cs="Times New Roman" w:eastAsia="Times New Roman" w:hAnsi="Times New Roman"/>
        </w:rPr>
        <w:t xml:space="preserve">2.6 Antecedentes en los Andes y Cusco, y vacío que se atiende</w:t>
      </w:r>
    </w:p>
    <w:p>
      <w:pPr>
        <w:spacing w:after="120" w:line="276"/>
        <w:jc w:val="both"/>
      </w:pPr>
      <w:r>
        <w:rPr>
          <w:rFonts w:ascii="Times New Roman" w:cs="Times New Roman" w:eastAsia="Times New Roman" w:hAnsi="Times New Roman"/>
          <w:highlight w:val="yellow"/>
          <w:highlightCs w:val="yellow"/>
        </w:rPr>
        <w:t xml:space="preserve">[verificar: completar con dos o tres estudios que usen LandTrendr o series Landsat para pérdida de bosque en los Andes tropicales, en Perú y en Cusco; incluir productos nacionales de pérdida de bosque si el equipo decide citarlos]</w:t>
      </w:r>
      <w:r>
        <w:rPr>
          <w:rFonts w:ascii="Times New Roman" w:cs="Times New Roman" w:eastAsia="Times New Roman" w:hAnsi="Times New Roman"/>
        </w:rPr>
        <w:t xml:space="preserve">. El vacío que se atiende es una serie anual propia, reproducible y con incertidumbre, para la provincia de Cusco, contrastada con la referencia nacional MapBiomas.</w:t>
      </w:r>
    </w:p>
    <w:p>
      <w:pPr>
        <w:pStyle w:val="Heading1"/>
        <w:keepNext/>
      </w:pPr>
      <w:r>
        <w:rPr>
          <w:rFonts w:ascii="Times New Roman" w:cs="Times New Roman" w:eastAsia="Times New Roman" w:hAnsi="Times New Roman"/>
        </w:rPr>
        <w:t xml:space="preserve">3. Área de estudio</w:t>
      </w:r>
    </w:p>
    <w:p>
      <w:pPr>
        <w:spacing w:after="120" w:line="276"/>
        <w:jc w:val="both"/>
      </w:pPr>
      <w:r>
        <w:rPr>
          <w:rFonts w:ascii="Times New Roman" w:cs="Times New Roman" w:eastAsia="Times New Roman" w:hAnsi="Times New Roman"/>
        </w:rPr>
        <w:t xml:space="preserve">La provincia de Cusco (ccdd 08, ccpp 01) ocupa 530.1 km² calculados en UTM 19S (EPSG:32719), según el límite provincial del INEI. Combina ceja de selva, valles interandinos y alta montaña. La cobertura de bosque es escasa: una revisión preliminar de MapBiomas indica que la clase 3 (formación forestal) ocupa unos 1.8 km² en la provincia </w:t>
      </w:r>
      <w:r>
        <w:rPr>
          <w:rFonts w:ascii="Times New Roman" w:cs="Times New Roman" w:eastAsia="Times New Roman" w:hAnsi="Times New Roman"/>
          <w:highlight w:val="yellow"/>
          <w:highlightCs w:val="yellow"/>
        </w:rPr>
        <w:t xml:space="preserve">[verificar]</w:t>
      </w:r>
      <w:r>
        <w:rPr>
          <w:rFonts w:ascii="Times New Roman" w:cs="Times New Roman" w:eastAsia="Times New Roman" w:hAnsi="Times New Roman"/>
        </w:rPr>
        <w:t xml:space="preserve">. Esto condiciona el tamaño de las muestras y la definición de bosque (sección 4.2.5).</w:t>
      </w:r>
    </w:p>
    <w:p>
      <w:pPr>
        <w:pStyle w:val="Heading1"/>
        <w:keepNext/>
      </w:pPr>
      <w:r>
        <w:rPr>
          <w:rFonts w:ascii="Times New Roman" w:cs="Times New Roman" w:eastAsia="Times New Roman" w:hAnsi="Times New Roman"/>
        </w:rPr>
        <w:t xml:space="preserve">4. Datos y supuestos del análisis</w:t>
      </w:r>
    </w:p>
    <w:p>
      <w:pPr>
        <w:pStyle w:val="Heading2"/>
        <w:keepNext/>
      </w:pPr>
      <w:r>
        <w:rPr>
          <w:rFonts w:ascii="Times New Roman" w:cs="Times New Roman" w:eastAsia="Times New Roman" w:hAnsi="Times New Roman"/>
        </w:rPr>
        <w:t xml:space="preserve">4.1 Datos</w:t>
      </w:r>
    </w:p>
    <w:p>
      <w:pPr>
        <w:keepNext/>
        <w:spacing w:after="80" w:before="160"/>
      </w:pPr>
      <w:r>
        <w:rPr>
          <w:rFonts w:ascii="Times New Roman" w:cs="Times New Roman" w:eastAsia="Times New Roman" w:hAnsi="Times New Roman"/>
          <w:b w:val="false"/>
          <w:bCs w:val="false"/>
          <w:sz w:val="20"/>
          <w:szCs w:val="20"/>
        </w:rPr>
        <w:t xml:space="preserve">Tabla 1. Fuentes de datos y su rol.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1100"/>
        <w:gridCol w:w="3972"/>
      </w:tblGrid>
      <w:tr>
        <w:trPr>
          <w:tblHeader/>
        </w:trPr>
        <w:tc>
          <w:tcPr>
            <w:tcW w:type="dxa" w:w="17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Fuente</w:t>
            </w:r>
          </w:p>
        </w:tc>
        <w:tc>
          <w:tcPr>
            <w:tcW w:type="dxa" w:w="23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Producto</w:t>
            </w:r>
          </w:p>
        </w:tc>
        <w:tc>
          <w:tcPr>
            <w:tcW w:type="dxa" w:w="11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Resolución</w:t>
            </w:r>
          </w:p>
        </w:tc>
        <w:tc>
          <w:tcPr>
            <w:tcW w:type="dxa" w:w="3972"/>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Rol</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Landsat 8</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Reflectancia de superficie, Collection 2 Nivel 2 (OLI), desde el 26-03-2013 sobre la provincia</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30 m</w:t>
            </w:r>
          </w:p>
        </w:tc>
        <w:tc>
          <w:tcPr>
            <w:tcW w:type="dxa" w:w="39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Única fuente de imágenes.</w:t>
            </w:r>
            <w:r>
              <w:rPr>
                <w:rFonts w:ascii="Times New Roman" w:cs="Times New Roman" w:eastAsia="Times New Roman" w:hAnsi="Times New Roman"/>
                <w:b w:val="false"/>
                <w:bCs w:val="false"/>
                <w:sz w:val="19"/>
                <w:szCs w:val="19"/>
              </w:rPr>
              <w:t xml:space="preserve"> Serie anual de compuestos junio–agosto para LandTrendr.</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MapBiomas Perú</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Colección 4, cobertura y uso del suelo, una banda por año (1985–2025)</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30 m</w:t>
            </w:r>
          </w:p>
        </w:tc>
        <w:tc>
          <w:tcPr>
            <w:tcW w:type="dxa" w:w="39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Única fuente de referencia.</w:t>
            </w:r>
            <w:r>
              <w:rPr>
                <w:rFonts w:ascii="Times New Roman" w:cs="Times New Roman" w:eastAsia="Times New Roman" w:hAnsi="Times New Roman"/>
                <w:b w:val="false"/>
                <w:bCs w:val="false"/>
                <w:sz w:val="19"/>
                <w:szCs w:val="19"/>
              </w:rPr>
              <w:t xml:space="preserve"> Indicadores de comparación y píxeles estables de calibración.</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Límite provincial</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INEI, capa PROVINCIA (ccdd 08, ccpp 01)</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Vector</w:t>
            </w:r>
          </w:p>
        </w:tc>
        <w:tc>
          <w:tcPr>
            <w:tcW w:type="dxa" w:w="39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Define el área de estudio.</w:t>
            </w:r>
          </w:p>
        </w:tc>
      </w:tr>
    </w:tbl>
    <w:p>
      <w:pPr>
        <w:spacing w:after="160" w:before="60"/>
      </w:pPr>
      <w:r>
        <w:rPr>
          <w:rFonts w:ascii="Times New Roman" w:cs="Times New Roman" w:eastAsia="Times New Roman" w:hAnsi="Times New Roman"/>
          <w:sz w:val="18"/>
          <w:szCs w:val="18"/>
        </w:rPr>
        <w:t xml:space="preserve">Quedan fuera Landsat 5, 7 y 9, Sentinel-2, GEOBOSQUES, ESA WorldCover, SRTM y OpenStreetMap. El motivo de cada una se detalla en las secciones siguientes.</w:t>
      </w:r>
    </w:p>
    <w:p>
      <w:pPr>
        <w:pStyle w:val="Heading2"/>
        <w:keepNext/>
      </w:pPr>
      <w:r>
        <w:rPr>
          <w:rFonts w:ascii="Times New Roman" w:cs="Times New Roman" w:eastAsia="Times New Roman" w:hAnsi="Times New Roman"/>
        </w:rPr>
        <w:t xml:space="preserve">4.2 Supuestos del análisis</w:t>
      </w:r>
    </w:p>
    <w:p>
      <w:pPr>
        <w:pStyle w:val="Heading3"/>
        <w:keepNext/>
      </w:pPr>
      <w:r>
        <w:rPr>
          <w:rFonts w:ascii="Times New Roman" w:cs="Times New Roman" w:eastAsia="Times New Roman" w:hAnsi="Times New Roman"/>
        </w:rPr>
        <w:t xml:space="preserve">4.2.1 Landsat 8 como única fuente de imágenes</w:t>
      </w:r>
    </w:p>
    <w:p>
      <w:pPr>
        <w:spacing w:after="120" w:line="276"/>
        <w:jc w:val="both"/>
      </w:pPr>
      <w:r>
        <w:rPr>
          <w:rFonts w:ascii="Times New Roman" w:cs="Times New Roman" w:eastAsia="Times New Roman" w:hAnsi="Times New Roman"/>
        </w:rPr>
        <w:t xml:space="preserve">Se usa Landsat 8 por cuatro razones.</w:t>
      </w:r>
    </w:p>
    <w:p>
      <w:pPr>
        <w:spacing w:after="120" w:line="276"/>
        <w:jc w:val="both"/>
      </w:pPr>
      <w:r>
        <w:rPr>
          <w:rFonts w:ascii="Times New Roman" w:cs="Times New Roman" w:eastAsia="Times New Roman" w:hAnsi="Times New Roman"/>
          <w:b/>
          <w:bCs/>
        </w:rPr>
        <w:t xml:space="preserve">Un solo sensor cubre todo el periodo.</w:t>
      </w:r>
      <w:r>
        <w:rPr>
          <w:rFonts w:ascii="Times New Roman" w:cs="Times New Roman" w:eastAsia="Times New Roman" w:hAnsi="Times New Roman"/>
        </w:rPr>
        <w:t xml:space="preserve"> Landsat 8 opera desde 2013 y su primera escena sobre la provincia es del 26 de marzo de 2013. La serie 2013–2025 no mezcla sensores y no requiere armonizar reflectancias entre ellos, lo que evita saltos espectrales que LandTrendr podría interpretar como cambio.</w:t>
      </w:r>
    </w:p>
    <w:p>
      <w:pPr>
        <w:spacing w:after="120" w:line="276"/>
        <w:jc w:val="both"/>
      </w:pPr>
      <w:r>
        <w:rPr>
          <w:rFonts w:ascii="Times New Roman" w:cs="Times New Roman" w:eastAsia="Times New Roman" w:hAnsi="Times New Roman"/>
          <w:b/>
          <w:bCs/>
        </w:rPr>
        <w:t xml:space="preserve">Calidad del dato.</w:t>
      </w:r>
      <w:r>
        <w:rPr>
          <w:rFonts w:ascii="Times New Roman" w:cs="Times New Roman" w:eastAsia="Times New Roman" w:hAnsi="Times New Roman"/>
        </w:rPr>
        <w:t xml:space="preserve"> Ofrece 30 m, revisita de 16 días y calibración radiométrica consistente (Roy et al., 2014). Se distribuye como reflectancia de superficie Collection 2 Nivel 2, con máscara de calidad por píxel, lista para procesar en Earth Engine (Gorelick et al., 2017).</w:t>
      </w:r>
    </w:p>
    <w:p>
      <w:pPr>
        <w:spacing w:after="120" w:line="276"/>
        <w:jc w:val="both"/>
      </w:pPr>
      <w:r>
        <w:rPr>
          <w:rFonts w:ascii="Times New Roman" w:cs="Times New Roman" w:eastAsia="Times New Roman" w:hAnsi="Times New Roman"/>
          <w:b/>
          <w:bCs/>
        </w:rPr>
        <w:t xml:space="preserve">Las alternativas no cubren el periodo.</w:t>
      </w:r>
      <w:r>
        <w:rPr>
          <w:rFonts w:ascii="Times New Roman" w:cs="Times New Roman" w:eastAsia="Times New Roman" w:hAnsi="Times New Roman"/>
        </w:rPr>
        <w:t xml:space="preserve"> Landsat 5 solo tiene escenas sobre la provincia hasta 2011. Landsat 7 tiene vacíos de línea desde 2003 (Wulder et al., 2019). Landsat 9 empieza a entregar datos sobre la provincia en noviembre de 2021, y mezclarlo con Landsat 8 añadiría una fuente de variabilidad sin ganar años. Sentinel-2 tiene pocas escenas antes de 2019 y no cubre 2013–2015.</w:t>
      </w:r>
    </w:p>
    <w:p>
      <w:pPr>
        <w:spacing w:after="120" w:line="276"/>
        <w:jc w:val="both"/>
      </w:pPr>
      <w:r>
        <w:rPr>
          <w:rFonts w:ascii="Times New Roman" w:cs="Times New Roman" w:eastAsia="Times New Roman" w:hAnsi="Times New Roman"/>
          <w:b/>
          <w:bCs/>
        </w:rPr>
        <w:t xml:space="preserve">Coherencia con la referencia.</w:t>
      </w:r>
      <w:r>
        <w:rPr>
          <w:rFonts w:ascii="Times New Roman" w:cs="Times New Roman" w:eastAsia="Times New Roman" w:hAnsi="Times New Roman"/>
        </w:rPr>
        <w:t xml:space="preserve"> MapBiomas Perú construye sus mosaicos de 2013 a 2021 con Landsat 8 (MapBiomas Perú, s. f.-a). Comparar una serie Landsat 8 con un producto hecho con el mismo sensor reduce las diferencias atribuibles al instrumento. Para 2022–2025 el sensor de MapBiomas queda por confirmar </w:t>
      </w:r>
      <w:r>
        <w:rPr>
          <w:rFonts w:ascii="Times New Roman" w:cs="Times New Roman" w:eastAsia="Times New Roman" w:hAnsi="Times New Roman"/>
          <w:highlight w:val="yellow"/>
          <w:highlightCs w:val="yellow"/>
        </w:rPr>
        <w:t xml:space="preserve">[verificar en la documentación de la Colección 4]</w:t>
      </w:r>
      <w:r>
        <w:rPr>
          <w:rFonts w:ascii="Times New Roman" w:cs="Times New Roman" w:eastAsia="Times New Roman" w:hAnsi="Times New Roman"/>
        </w:rPr>
        <w:t xml:space="preserve">.</w:t>
      </w:r>
    </w:p>
    <w:p>
      <w:pPr>
        <w:spacing w:after="120" w:line="276"/>
        <w:jc w:val="both"/>
      </w:pPr>
      <w:r>
        <w:rPr>
          <w:rFonts w:ascii="Times New Roman" w:cs="Times New Roman" w:eastAsia="Times New Roman" w:hAnsi="Times New Roman"/>
          <w:i/>
          <w:iCs/>
        </w:rPr>
        <w:t xml:space="preserve">Costo asumido:</w:t>
      </w:r>
      <w:r>
        <w:rPr>
          <w:rFonts w:ascii="Times New Roman" w:cs="Times New Roman" w:eastAsia="Times New Roman" w:hAnsi="Times New Roman"/>
        </w:rPr>
        <w:t xml:space="preserve"> la serie tiene 13 observaciones anuales (2013–2025), corta para LandTrendr (ver 4.2.4 y sección 7).</w:t>
      </w:r>
    </w:p>
    <w:p>
      <w:pPr>
        <w:pStyle w:val="Heading3"/>
        <w:keepNext/>
      </w:pPr>
      <w:r>
        <w:rPr>
          <w:rFonts w:ascii="Times New Roman" w:cs="Times New Roman" w:eastAsia="Times New Roman" w:hAnsi="Times New Roman"/>
        </w:rPr>
        <w:t xml:space="preserve">4.2.2 Imágenes de junio a agosto</w:t>
      </w:r>
    </w:p>
    <w:p>
      <w:pPr>
        <w:spacing w:after="120" w:line="276"/>
        <w:jc w:val="both"/>
      </w:pPr>
      <w:r>
        <w:rPr>
          <w:rFonts w:ascii="Times New Roman" w:cs="Times New Roman" w:eastAsia="Times New Roman" w:hAnsi="Times New Roman"/>
        </w:rPr>
        <w:t xml:space="preserve">Cada año se construye un único compuesto con las escenas Landsat 8 de junio a agosto, por tres razones.</w:t>
      </w:r>
    </w:p>
    <w:p>
      <w:pPr>
        <w:spacing w:after="120" w:line="276"/>
        <w:jc w:val="both"/>
      </w:pPr>
      <w:r>
        <w:rPr>
          <w:rFonts w:ascii="Times New Roman" w:cs="Times New Roman" w:eastAsia="Times New Roman" w:hAnsi="Times New Roman"/>
          <w:b/>
          <w:bCs/>
        </w:rPr>
        <w:t xml:space="preserve">Época seca y menos nubes.</w:t>
      </w:r>
      <w:r>
        <w:rPr>
          <w:rFonts w:ascii="Times New Roman" w:cs="Times New Roman" w:eastAsia="Times New Roman" w:hAnsi="Times New Roman"/>
        </w:rPr>
        <w:t xml:space="preserve"> En los Andes del sur del Perú las lluvias se concentran entre noviembre y marzo </w:t>
      </w:r>
      <w:r>
        <w:rPr>
          <w:rFonts w:ascii="Times New Roman" w:cs="Times New Roman" w:eastAsia="Times New Roman" w:hAnsi="Times New Roman"/>
          <w:highlight w:val="yellow"/>
          <w:highlightCs w:val="yellow"/>
        </w:rPr>
        <w:t xml:space="preserve">[verificar con datos de SENAMHI]</w:t>
      </w:r>
      <w:r>
        <w:rPr>
          <w:rFonts w:ascii="Times New Roman" w:cs="Times New Roman" w:eastAsia="Times New Roman" w:hAnsi="Times New Roman"/>
        </w:rPr>
        <w:t xml:space="preserve">. En junio–agosto hay menos nubosidad y más píxeles válidos por escena. MapBiomas Perú usa para la región Andes una ventana del 1 de abril al 30 de septiembre (MapBiomas Perú, s. f.-a, Tabla 4); junio–agosto es el núcleo más seco de esa ventana.</w:t>
      </w:r>
    </w:p>
    <w:p>
      <w:pPr>
        <w:spacing w:after="120" w:line="276"/>
        <w:jc w:val="both"/>
      </w:pPr>
      <w:r>
        <w:rPr>
          <w:rFonts w:ascii="Times New Roman" w:cs="Times New Roman" w:eastAsia="Times New Roman" w:hAnsi="Times New Roman"/>
          <w:b/>
          <w:bCs/>
        </w:rPr>
        <w:t xml:space="preserve">Comparabilidad entre años.</w:t>
      </w:r>
      <w:r>
        <w:rPr>
          <w:rFonts w:ascii="Times New Roman" w:cs="Times New Roman" w:eastAsia="Times New Roman" w:hAnsi="Times New Roman"/>
        </w:rPr>
        <w:t xml:space="preserve"> LandTrendr ajusta un valor por píxel y año. Si todos los años se miden en la misma ventana estacional, las diferencias entre ellos reflejan cambio de cobertura y no fenología ni ángulo de iluminación. Es la práctica de “fecha de aniversario” que recomiendan los autores del algoritmo (Kennedy et al., 2010, 2018).</w:t>
      </w:r>
    </w:p>
    <w:p>
      <w:pPr>
        <w:spacing w:after="120" w:line="276"/>
        <w:jc w:val="both"/>
      </w:pPr>
      <w:r>
        <w:rPr>
          <w:rFonts w:ascii="Times New Roman" w:cs="Times New Roman" w:eastAsia="Times New Roman" w:hAnsi="Times New Roman"/>
          <w:b/>
          <w:bCs/>
        </w:rPr>
        <w:t xml:space="preserve">Calidad del compuesto.</w:t>
      </w:r>
      <w:r>
        <w:rPr>
          <w:rFonts w:ascii="Times New Roman" w:cs="Times New Roman" w:eastAsia="Times New Roman" w:hAnsi="Times New Roman"/>
        </w:rPr>
        <w:t xml:space="preserve"> La mediana de las escenas limpias de la ventana atenúa nubes y sombras residuales.</w:t>
      </w:r>
    </w:p>
    <w:p>
      <w:pPr>
        <w:spacing w:after="120" w:line="276"/>
        <w:jc w:val="both"/>
      </w:pPr>
      <w:r>
        <w:rPr>
          <w:rFonts w:ascii="Times New Roman" w:cs="Times New Roman" w:eastAsia="Times New Roman" w:hAnsi="Times New Roman"/>
          <w:i/>
          <w:iCs/>
        </w:rPr>
        <w:t xml:space="preserve">Costo asumido:</w:t>
      </w:r>
      <w:r>
        <w:rPr>
          <w:rFonts w:ascii="Times New Roman" w:cs="Times New Roman" w:eastAsia="Times New Roman" w:hAnsi="Times New Roman"/>
        </w:rPr>
        <w:t xml:space="preserve"> menos escenas por año. En 2014–2022 hay entre 36 y 45 escenas Landsat 8 por año sobre la provincia (año completo); el conteo para junio–agosto está </w:t>
      </w:r>
      <w:r>
        <w:rPr>
          <w:rFonts w:ascii="Times New Roman" w:cs="Times New Roman" w:eastAsia="Times New Roman" w:hAnsi="Times New Roman"/>
          <w:highlight w:val="yellow"/>
          <w:highlightCs w:val="yellow"/>
        </w:rPr>
        <w:t xml:space="preserve">[pendiente: calcular en Earth Engine]</w:t>
      </w:r>
      <w:r>
        <w:rPr>
          <w:rFonts w:ascii="Times New Roman" w:cs="Times New Roman" w:eastAsia="Times New Roman" w:hAnsi="Times New Roman"/>
        </w:rPr>
        <w:t xml:space="preserve">. Se exigirá un mínimo de observaciones limpias por píxel y año </w:t>
      </w:r>
      <w:r>
        <w:rPr>
          <w:rFonts w:ascii="Times New Roman" w:cs="Times New Roman" w:eastAsia="Times New Roman" w:hAnsi="Times New Roman"/>
          <w:highlight w:val="yellow"/>
          <w:highlightCs w:val="yellow"/>
        </w:rPr>
        <w:t xml:space="preserve">[por definir]</w:t>
      </w:r>
      <w:r>
        <w:rPr>
          <w:rFonts w:ascii="Times New Roman" w:cs="Times New Roman" w:eastAsia="Times New Roman" w:hAnsi="Times New Roman"/>
        </w:rPr>
        <w:t xml:space="preserve">. </w:t>
      </w:r>
      <w:r>
        <w:rPr>
          <w:rFonts w:ascii="Times New Roman" w:cs="Times New Roman" w:eastAsia="Times New Roman" w:hAnsi="Times New Roman"/>
          <w:i/>
          <w:iCs/>
        </w:rPr>
        <w:t xml:space="preserve">Riesgo:</w:t>
      </w:r>
      <w:r>
        <w:rPr>
          <w:rFonts w:ascii="Times New Roman" w:cs="Times New Roman" w:eastAsia="Times New Roman" w:hAnsi="Times New Roman"/>
        </w:rPr>
        <w:t xml:space="preserve"> la época seca reduce el verdor de pastos y cultivos y podría acercarlos al bosque seco o caducifolio; se revisará de forma visual.</w:t>
      </w:r>
    </w:p>
    <w:p>
      <w:pPr>
        <w:pStyle w:val="Heading3"/>
        <w:keepNext/>
      </w:pPr>
      <w:r>
        <w:rPr>
          <w:rFonts w:ascii="Times New Roman" w:cs="Times New Roman" w:eastAsia="Times New Roman" w:hAnsi="Times New Roman"/>
        </w:rPr>
        <w:t xml:space="preserve">4.2.3 MapBiomas como referencia de comparación</w:t>
      </w:r>
    </w:p>
    <w:p>
      <w:pPr>
        <w:spacing w:after="120" w:line="276"/>
        <w:jc w:val="both"/>
      </w:pPr>
      <w:r>
        <w:rPr>
          <w:rFonts w:ascii="Times New Roman" w:cs="Times New Roman" w:eastAsia="Times New Roman" w:hAnsi="Times New Roman"/>
        </w:rPr>
        <w:t xml:space="preserve">Los indicadores calculados con LandTrendr se comparan con los derivados de MapBiomas Perú Colección 4, por cinco razones.</w:t>
      </w:r>
    </w:p>
    <w:p>
      <w:pPr>
        <w:pStyle w:val="ListParagraph"/>
        <w:numPr>
          <w:ilvl w:val="0"/>
          <w:numId w:val="2"/>
        </w:numPr>
        <w:spacing w:after="60" w:line="276"/>
        <w:jc w:val="both"/>
      </w:pPr>
      <w:r>
        <w:rPr>
          <w:rFonts w:ascii="Times New Roman" w:cs="Times New Roman" w:eastAsia="Times New Roman" w:hAnsi="Times New Roman"/>
          <w:b/>
          <w:bCs/>
        </w:rPr>
        <w:t xml:space="preserve">Referencia nacional con serie anual completa.</w:t>
      </w:r>
      <w:r>
        <w:rPr>
          <w:rFonts w:ascii="Times New Roman" w:cs="Times New Roman" w:eastAsia="Times New Roman" w:hAnsi="Times New Roman"/>
        </w:rPr>
        <w:t xml:space="preserve"> Cubre 1985–2025, así que no hay años sin dato en 2013–2025.</w:t>
      </w:r>
    </w:p>
    <w:p>
      <w:pPr>
        <w:pStyle w:val="ListParagraph"/>
        <w:numPr>
          <w:ilvl w:val="0"/>
          <w:numId w:val="2"/>
        </w:numPr>
        <w:spacing w:after="60" w:line="276"/>
        <w:jc w:val="both"/>
      </w:pPr>
      <w:r>
        <w:rPr>
          <w:rFonts w:ascii="Times New Roman" w:cs="Times New Roman" w:eastAsia="Times New Roman" w:hAnsi="Times New Roman"/>
          <w:b/>
          <w:bCs/>
        </w:rPr>
        <w:t xml:space="preserve">Misma escala.</w:t>
      </w:r>
      <w:r>
        <w:rPr>
          <w:rFonts w:ascii="Times New Roman" w:cs="Times New Roman" w:eastAsia="Times New Roman" w:hAnsi="Times New Roman"/>
        </w:rPr>
        <w:t xml:space="preserve"> Sus mapas son de 30 m, igual que Landsat; la comparación se hace píxel a píxel sin remuestrear.</w:t>
      </w:r>
    </w:p>
    <w:p>
      <w:pPr>
        <w:pStyle w:val="ListParagraph"/>
        <w:numPr>
          <w:ilvl w:val="0"/>
          <w:numId w:val="2"/>
        </w:numPr>
        <w:spacing w:after="60" w:line="276"/>
        <w:jc w:val="both"/>
      </w:pPr>
      <w:r>
        <w:rPr>
          <w:rFonts w:ascii="Times New Roman" w:cs="Times New Roman" w:eastAsia="Times New Roman" w:hAnsi="Times New Roman"/>
          <w:b/>
          <w:bCs/>
        </w:rPr>
        <w:t xml:space="preserve">Método documentado.</w:t>
      </w:r>
      <w:r>
        <w:rPr>
          <w:rFonts w:ascii="Times New Roman" w:cs="Times New Roman" w:eastAsia="Times New Roman" w:hAnsi="Times New Roman"/>
        </w:rPr>
        <w:t xml:space="preserve"> Parte del archivo Landsat y de Earth Engine, con clasificación Random Forest y revisión de intérpretes (Souza et al., 2020; MapBiomas Perú, s. f.-a).</w:t>
      </w:r>
    </w:p>
    <w:p>
      <w:pPr>
        <w:pStyle w:val="ListParagraph"/>
        <w:numPr>
          <w:ilvl w:val="0"/>
          <w:numId w:val="2"/>
        </w:numPr>
        <w:spacing w:after="60" w:line="276"/>
        <w:jc w:val="both"/>
      </w:pPr>
      <w:r>
        <w:rPr>
          <w:rFonts w:ascii="Times New Roman" w:cs="Times New Roman" w:eastAsia="Times New Roman" w:hAnsi="Times New Roman"/>
          <w:b/>
          <w:bCs/>
        </w:rPr>
        <w:t xml:space="preserve">Acceso abierto.</w:t>
      </w:r>
      <w:r>
        <w:rPr>
          <w:rFonts w:ascii="Times New Roman" w:cs="Times New Roman" w:eastAsia="Times New Roman" w:hAnsi="Times New Roman"/>
        </w:rPr>
        <w:t xml:space="preserve"> Está disponible como asset de Earth Engine, lo que hace el análisis reproducible.</w:t>
      </w:r>
    </w:p>
    <w:p>
      <w:pPr>
        <w:pStyle w:val="ListParagraph"/>
        <w:numPr>
          <w:ilvl w:val="0"/>
          <w:numId w:val="2"/>
        </w:numPr>
        <w:spacing w:after="60" w:line="276"/>
        <w:jc w:val="both"/>
      </w:pPr>
      <w:r>
        <w:rPr>
          <w:rFonts w:ascii="Times New Roman" w:cs="Times New Roman" w:eastAsia="Times New Roman" w:hAnsi="Times New Roman"/>
          <w:b/>
          <w:bCs/>
        </w:rPr>
        <w:t xml:space="preserve">Clases que permiten derivar los mismos indicadores.</w:t>
      </w:r>
      <w:r>
        <w:rPr>
          <w:rFonts w:ascii="Times New Roman" w:cs="Times New Roman" w:eastAsia="Times New Roman" w:hAnsi="Times New Roman"/>
        </w:rPr>
        <w:t xml:space="preserve"> Incluye formación forestal, formación sabánica o bosque abierto, silvicultura, pastos y agricultura.</w:t>
      </w:r>
    </w:p>
    <w:p>
      <w:pPr>
        <w:spacing w:after="120" w:line="276"/>
        <w:jc w:val="both"/>
      </w:pPr>
      <w:r>
        <w:rPr>
          <w:rFonts w:ascii="Times New Roman" w:cs="Times New Roman" w:eastAsia="Times New Roman" w:hAnsi="Times New Roman"/>
          <w:b/>
          <w:bCs/>
        </w:rPr>
        <w:t xml:space="preserve">Qué se compara:</w:t>
      </w:r>
      <w:r>
        <w:rPr>
          <w:rFonts w:ascii="Times New Roman" w:cs="Times New Roman" w:eastAsia="Times New Roman" w:hAnsi="Times New Roman"/>
        </w:rPr>
        <w:t xml:space="preserve"> porcentaje de bosque anual, pérdida bruta, pérdida neta, ganancia y tasas de cambio, en el periodo común 2013–2025 </w:t>
      </w:r>
      <w:r>
        <w:rPr>
          <w:rFonts w:ascii="Times New Roman" w:cs="Times New Roman" w:eastAsia="Times New Roman" w:hAnsi="Times New Roman"/>
          <w:highlight w:val="yellow"/>
          <w:highlightCs w:val="yellow"/>
        </w:rPr>
        <w:t xml:space="preserve">[por confirmar el último año disponible de MapBiomas]</w:t>
      </w:r>
      <w:r>
        <w:rPr>
          <w:rFonts w:ascii="Times New Roman" w:cs="Times New Roman" w:eastAsia="Times New Roman" w:hAnsi="Times New Roman"/>
        </w:rPr>
        <w:t xml:space="preserve">. </w:t>
      </w:r>
      <w:r>
        <w:rPr>
          <w:rFonts w:ascii="Times New Roman" w:cs="Times New Roman" w:eastAsia="Times New Roman" w:hAnsi="Times New Roman"/>
          <w:b/>
          <w:bCs/>
        </w:rPr>
        <w:t xml:space="preserve">Qué mide la comparación:</w:t>
      </w:r>
      <w:r>
        <w:rPr>
          <w:rFonts w:ascii="Times New Roman" w:cs="Times New Roman" w:eastAsia="Times New Roman" w:hAnsi="Times New Roman"/>
        </w:rPr>
        <w:t xml:space="preserve"> concordancia entre dos estimaciones, no exactitud. MapBiomas no es verdad de campo y comparte sensor con la serie propia. La exactitud se mide aparte, con muestras de referencia propias (sección 5.7).</w:t>
      </w:r>
    </w:p>
    <w:p>
      <w:pPr>
        <w:pStyle w:val="Heading3"/>
        <w:keepNext/>
      </w:pPr>
      <w:r>
        <w:rPr>
          <w:rFonts w:ascii="Times New Roman" w:cs="Times New Roman" w:eastAsia="Times New Roman" w:hAnsi="Times New Roman"/>
        </w:rPr>
        <w:t xml:space="preserve">4.2.4 LandTrendr como método</w:t>
      </w:r>
    </w:p>
    <w:p>
      <w:pPr>
        <w:spacing w:after="120" w:line="276"/>
        <w:jc w:val="both"/>
      </w:pPr>
      <w:r>
        <w:rPr>
          <w:rFonts w:ascii="Times New Roman" w:cs="Times New Roman" w:eastAsia="Times New Roman" w:hAnsi="Times New Roman"/>
        </w:rPr>
        <w:t xml:space="preserve">Se usa LandTrendr por cuatro razones.</w:t>
      </w:r>
    </w:p>
    <w:p>
      <w:pPr>
        <w:spacing w:after="120" w:line="276"/>
        <w:jc w:val="both"/>
      </w:pPr>
      <w:r>
        <w:rPr>
          <w:rFonts w:ascii="Times New Roman" w:cs="Times New Roman" w:eastAsia="Times New Roman" w:hAnsi="Times New Roman"/>
          <w:b/>
          <w:bCs/>
        </w:rPr>
        <w:t xml:space="preserve">Trabaja sobre la trayectoria, no sobre cada año.</w:t>
      </w:r>
      <w:r>
        <w:rPr>
          <w:rFonts w:ascii="Times New Roman" w:cs="Times New Roman" w:eastAsia="Times New Roman" w:hAnsi="Times New Roman"/>
        </w:rPr>
        <w:t xml:space="preserve"> Con una imagen por año, un clasificador supervisado independiente por año produce errores que parecen cambios (un píxel “pierde” bosque porque un año se clasificó mal). LandTrendr ajusta segmentos a toda la serie y descarta picos aislados, como los de nubes o sombras residuales (Kennedy et al., 2010).</w:t>
      </w:r>
    </w:p>
    <w:p>
      <w:pPr>
        <w:spacing w:after="120" w:line="276"/>
        <w:jc w:val="both"/>
      </w:pPr>
      <w:r>
        <w:rPr>
          <w:rFonts w:ascii="Times New Roman" w:cs="Times New Roman" w:eastAsia="Times New Roman" w:hAnsi="Times New Roman"/>
          <w:b/>
          <w:bCs/>
        </w:rPr>
        <w:t xml:space="preserve">Está hecho para compuestos anuales.</w:t>
      </w:r>
      <w:r>
        <w:rPr>
          <w:rFonts w:ascii="Times New Roman" w:cs="Times New Roman" w:eastAsia="Times New Roman" w:hAnsi="Times New Roman"/>
        </w:rPr>
        <w:t xml:space="preserve"> Su insumo es un valor por píxel y año, que es lo que entrega la ventana junio–agosto. Existe una implementación estable en Earth Engine (Kennedy et al., 2018).</w:t>
      </w:r>
    </w:p>
    <w:p>
      <w:pPr>
        <w:spacing w:after="120" w:line="276"/>
        <w:jc w:val="both"/>
      </w:pPr>
      <w:r>
        <w:rPr>
          <w:rFonts w:ascii="Times New Roman" w:cs="Times New Roman" w:eastAsia="Times New Roman" w:hAnsi="Times New Roman"/>
          <w:b/>
          <w:bCs/>
        </w:rPr>
        <w:t xml:space="preserve">No requiere entrenar un clasificador.</w:t>
      </w:r>
      <w:r>
        <w:rPr>
          <w:rFonts w:ascii="Times New Roman" w:cs="Times New Roman" w:eastAsia="Times New Roman" w:hAnsi="Times New Roman"/>
        </w:rPr>
        <w:t xml:space="preserve"> El mapa de bosque sale de aplicar un umbral al índice ajustado, y los datos de referencia se usan para calibrar y validar, no para entrenar. Esto reduce la dependencia de muestras etiquetadas, que en la provincia son pocas.</w:t>
      </w:r>
    </w:p>
    <w:p>
      <w:pPr>
        <w:spacing w:after="120" w:line="276"/>
        <w:jc w:val="both"/>
      </w:pPr>
      <w:r>
        <w:rPr>
          <w:rFonts w:ascii="Times New Roman" w:cs="Times New Roman" w:eastAsia="Times New Roman" w:hAnsi="Times New Roman"/>
          <w:b/>
          <w:bCs/>
        </w:rPr>
        <w:t xml:space="preserve">Distingue tipos de cambio.</w:t>
      </w:r>
      <w:r>
        <w:rPr>
          <w:rFonts w:ascii="Times New Roman" w:cs="Times New Roman" w:eastAsia="Times New Roman" w:hAnsi="Times New Roman"/>
        </w:rPr>
        <w:t xml:space="preserve"> Entrega magnitud, duración y año de cada segmento, lo que permite separar pérdida abrupta, degradación gradual y recuperación.</w:t>
      </w:r>
    </w:p>
    <w:p>
      <w:pPr>
        <w:spacing w:after="120" w:line="276"/>
        <w:jc w:val="both"/>
      </w:pPr>
      <w:r>
        <w:rPr>
          <w:rFonts w:ascii="Times New Roman" w:cs="Times New Roman" w:eastAsia="Times New Roman" w:hAnsi="Times New Roman"/>
        </w:rPr>
        <w:t xml:space="preserve">Métodos como CCDC (Zhu y Woodcock, 2014) o BFAST (Verbesselt et al., 2010) están pensados para series densas con varias observaciones por año. En una zona andina nubosa y con una ventana de pocas escenas, el compuesto anual con LandTrendr es la opción más robusta </w:t>
      </w:r>
      <w:r>
        <w:rPr>
          <w:rFonts w:ascii="Times New Roman" w:cs="Times New Roman" w:eastAsia="Times New Roman" w:hAnsi="Times New Roman"/>
          <w:highlight w:val="yellow"/>
          <w:highlightCs w:val="yellow"/>
        </w:rPr>
        <w:t xml:space="preserve">[verificar con el conteo real de escenas]</w:t>
      </w:r>
      <w:r>
        <w:rPr>
          <w:rFonts w:ascii="Times New Roman" w:cs="Times New Roman" w:eastAsia="Times New Roman" w:hAnsi="Times New Roman"/>
        </w:rPr>
        <w:t xml:space="preserve">.</w:t>
      </w:r>
    </w:p>
    <w:p>
      <w:pPr>
        <w:keepNext/>
        <w:spacing w:after="80" w:before="160"/>
      </w:pPr>
      <w:r>
        <w:rPr>
          <w:rFonts w:ascii="Times New Roman" w:cs="Times New Roman" w:eastAsia="Times New Roman" w:hAnsi="Times New Roman"/>
          <w:b w:val="false"/>
          <w:bCs w:val="false"/>
          <w:sz w:val="20"/>
          <w:szCs w:val="20"/>
        </w:rPr>
        <w:t xml:space="preserve">Tabla 2. Parámetros de LandTrendr en Earth Engine (valores por calibrar).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00"/>
        <w:gridCol w:w="4272"/>
        <w:gridCol w:w="2100"/>
      </w:tblGrid>
      <w:tr>
        <w:trPr>
          <w:tblHeader/>
        </w:trPr>
        <w:tc>
          <w:tcPr>
            <w:tcW w:type="dxa" w:w="27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Parámetro</w:t>
            </w:r>
          </w:p>
        </w:tc>
        <w:tc>
          <w:tcPr>
            <w:tcW w:type="dxa" w:w="4272"/>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Qué controla</w:t>
            </w:r>
          </w:p>
        </w:tc>
        <w:tc>
          <w:tcPr>
            <w:tcW w:type="dxa" w:w="21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Valor</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maxSegments</w:t>
            </w:r>
          </w:p>
        </w:tc>
        <w:tc>
          <w:tcPr>
            <w:tcW w:type="dxa" w:w="42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Número máximo de segmentos de la trayectoria</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highlight w:val="yellow"/>
                <w:highlightCs w:val="yellow"/>
              </w:rPr>
              <w:t xml:space="preserve">[por definir]</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spikeThreshold</w:t>
            </w:r>
          </w:p>
        </w:tc>
        <w:tc>
          <w:tcPr>
            <w:tcW w:type="dxa" w:w="42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Qué tan fuerte debe ser un pico para eliminarlo</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highlight w:val="yellow"/>
                <w:highlightCs w:val="yellow"/>
              </w:rPr>
              <w:t xml:space="preserve">[por definir]</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vertexCountOvershoot</w:t>
            </w:r>
          </w:p>
        </w:tc>
        <w:tc>
          <w:tcPr>
            <w:tcW w:type="dxa" w:w="42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Vértices extra permitidos antes de simplificar</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highlight w:val="yellow"/>
                <w:highlightCs w:val="yellow"/>
              </w:rPr>
              <w:t xml:space="preserve">[por definir]</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preventOneYearRecovery</w:t>
            </w:r>
          </w:p>
        </w:tc>
        <w:tc>
          <w:tcPr>
            <w:tcW w:type="dxa" w:w="42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Evita recuperaciones de un solo año</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highlight w:val="yellow"/>
                <w:highlightCs w:val="yellow"/>
              </w:rPr>
              <w:t xml:space="preserve">[por definir]</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recoveryThreshold</w:t>
            </w:r>
          </w:p>
        </w:tc>
        <w:tc>
          <w:tcPr>
            <w:tcW w:type="dxa" w:w="42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Velocidad máxima de recuperación aceptada</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highlight w:val="yellow"/>
                <w:highlightCs w:val="yellow"/>
              </w:rPr>
              <w:t xml:space="preserve">[por definir]</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pvalThreshold</w:t>
            </w:r>
          </w:p>
        </w:tc>
        <w:tc>
          <w:tcPr>
            <w:tcW w:type="dxa" w:w="42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Significancia mínima del ajuste</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highlight w:val="yellow"/>
                <w:highlightCs w:val="yellow"/>
              </w:rPr>
              <w:t xml:space="preserve">[por definir]</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bestModelProportion</w:t>
            </w:r>
          </w:p>
        </w:tc>
        <w:tc>
          <w:tcPr>
            <w:tcW w:type="dxa" w:w="42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Margen para elegir un modelo más simple</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highlight w:val="yellow"/>
                <w:highlightCs w:val="yellow"/>
              </w:rPr>
              <w:t xml:space="preserve">[por definir]</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minObservationsNeeded</w:t>
            </w:r>
          </w:p>
        </w:tc>
        <w:tc>
          <w:tcPr>
            <w:tcW w:type="dxa" w:w="42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Años con dato necesarios para ajustar el píxel</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highlight w:val="yellow"/>
                <w:highlightCs w:val="yellow"/>
              </w:rPr>
              <w:t xml:space="preserve">[por definir]</w:t>
            </w:r>
          </w:p>
        </w:tc>
      </w:tr>
    </w:tbl>
    <w:p>
      <w:pPr>
        <w:spacing w:after="160" w:before="60"/>
      </w:pPr>
      <w:r>
        <w:rPr>
          <w:rFonts w:ascii="Times New Roman" w:cs="Times New Roman" w:eastAsia="Times New Roman" w:hAnsi="Times New Roman"/>
          <w:sz w:val="18"/>
          <w:szCs w:val="18"/>
        </w:rPr>
        <w:t xml:space="preserve">Los nombres corresponden a la función LandTrendr de Earth Engine. Los valores se calibran con las muestras de la sección 5.5.</w:t>
      </w:r>
    </w:p>
    <w:p>
      <w:pPr>
        <w:spacing w:after="120" w:line="276"/>
        <w:jc w:val="both"/>
      </w:pPr>
      <w:r>
        <w:rPr>
          <w:rFonts w:ascii="Times New Roman" w:cs="Times New Roman" w:eastAsia="Times New Roman" w:hAnsi="Times New Roman"/>
          <w:i/>
          <w:iCs/>
        </w:rPr>
        <w:t xml:space="preserve">Costo asumido:</w:t>
      </w:r>
      <w:r>
        <w:rPr>
          <w:rFonts w:ascii="Times New Roman" w:cs="Times New Roman" w:eastAsia="Times New Roman" w:hAnsi="Times New Roman"/>
        </w:rPr>
        <w:t xml:space="preserve"> con 13 años la serie es corta. LandTrendr se concibió para series de décadas, y con pocos puntos un número alto de segmentos sobreajusta. Se fijará un máximo de segmentos bajo </w:t>
      </w:r>
      <w:r>
        <w:rPr>
          <w:rFonts w:ascii="Times New Roman" w:cs="Times New Roman" w:eastAsia="Times New Roman" w:hAnsi="Times New Roman"/>
          <w:highlight w:val="yellow"/>
          <w:highlightCs w:val="yellow"/>
        </w:rPr>
        <w:t xml:space="preserve">[por definir]</w:t>
      </w:r>
      <w:r>
        <w:rPr>
          <w:rFonts w:ascii="Times New Roman" w:cs="Times New Roman" w:eastAsia="Times New Roman" w:hAnsi="Times New Roman"/>
        </w:rPr>
        <w:t xml:space="preserve"> y se documentará como limitación.</w:t>
      </w:r>
    </w:p>
    <w:p>
      <w:pPr>
        <w:pStyle w:val="Heading3"/>
        <w:keepNext/>
      </w:pPr>
      <w:r>
        <w:rPr>
          <w:rFonts w:ascii="Times New Roman" w:cs="Times New Roman" w:eastAsia="Times New Roman" w:hAnsi="Times New Roman"/>
        </w:rPr>
        <w:t xml:space="preserve">4.2.5 Otros supuestos</w:t>
      </w:r>
    </w:p>
    <w:p>
      <w:pPr>
        <w:pStyle w:val="ListParagraph"/>
        <w:numPr>
          <w:ilvl w:val="0"/>
          <w:numId w:val="2"/>
        </w:numPr>
        <w:spacing w:after="60" w:line="276"/>
        <w:jc w:val="both"/>
      </w:pPr>
      <w:r>
        <w:rPr>
          <w:rFonts w:ascii="Times New Roman" w:cs="Times New Roman" w:eastAsia="Times New Roman" w:hAnsi="Times New Roman"/>
          <w:b/>
          <w:bCs/>
        </w:rPr>
        <w:t xml:space="preserve">Clases:</w:t>
      </w:r>
      <w:r>
        <w:rPr>
          <w:rFonts w:ascii="Times New Roman" w:cs="Times New Roman" w:eastAsia="Times New Roman" w:hAnsi="Times New Roman"/>
        </w:rPr>
        <w:t xml:space="preserve"> bosque y no bosque. Qué clases de MapBiomas cuentan como bosque (formación forestal, y si se incluyen formación sabánica o se excluye silvicultura) </w:t>
      </w:r>
      <w:r>
        <w:rPr>
          <w:rFonts w:ascii="Times New Roman" w:cs="Times New Roman" w:eastAsia="Times New Roman" w:hAnsi="Times New Roman"/>
          <w:highlight w:val="yellow"/>
          <w:highlightCs w:val="yellow"/>
        </w:rPr>
        <w:t xml:space="preserve">[por definir]</w:t>
      </w:r>
      <w:r>
        <w:rPr>
          <w:rFonts w:ascii="Times New Roman" w:cs="Times New Roman" w:eastAsia="Times New Roman" w:hAnsi="Times New Roman"/>
        </w:rPr>
        <w:t xml:space="preserve">. Con la clase 3 ocupando unos 1.8 km² en la provincia, esta decisión cambia mucho el indicador.</w:t>
      </w:r>
    </w:p>
    <w:p>
      <w:pPr>
        <w:pStyle w:val="ListParagraph"/>
        <w:numPr>
          <w:ilvl w:val="0"/>
          <w:numId w:val="2"/>
        </w:numPr>
        <w:spacing w:after="60" w:line="276"/>
        <w:jc w:val="both"/>
      </w:pPr>
      <w:r>
        <w:rPr>
          <w:rFonts w:ascii="Times New Roman" w:cs="Times New Roman" w:eastAsia="Times New Roman" w:hAnsi="Times New Roman"/>
          <w:b/>
          <w:bCs/>
        </w:rPr>
        <w:t xml:space="preserve">Unidad mínima de mapeo:</w:t>
      </w:r>
      <w:r>
        <w:rPr>
          <w:rFonts w:ascii="Times New Roman" w:cs="Times New Roman" w:eastAsia="Times New Roman" w:hAnsi="Times New Roman"/>
        </w:rPr>
        <w:t xml:space="preserve"> 1 ha (unos 11 píxeles de 30 m). Los cambios menores se reportan como “no reportable”. La sensibilidad a 0.5 ha queda por confirmar.</w:t>
      </w:r>
    </w:p>
    <w:p>
      <w:pPr>
        <w:pStyle w:val="ListParagraph"/>
        <w:numPr>
          <w:ilvl w:val="0"/>
          <w:numId w:val="2"/>
        </w:numPr>
        <w:spacing w:after="60" w:line="276"/>
        <w:jc w:val="both"/>
      </w:pPr>
      <w:r>
        <w:rPr>
          <w:rFonts w:ascii="Times New Roman" w:cs="Times New Roman" w:eastAsia="Times New Roman" w:hAnsi="Times New Roman"/>
          <w:b/>
          <w:bCs/>
        </w:rPr>
        <w:t xml:space="preserve">Resolución:</w:t>
      </w:r>
      <w:r>
        <w:rPr>
          <w:rFonts w:ascii="Times New Roman" w:cs="Times New Roman" w:eastAsia="Times New Roman" w:hAnsi="Times New Roman"/>
        </w:rPr>
        <w:t xml:space="preserve"> 30 m en todo el análisis.</w:t>
      </w:r>
    </w:p>
    <w:p>
      <w:pPr>
        <w:pStyle w:val="ListParagraph"/>
        <w:numPr>
          <w:ilvl w:val="0"/>
          <w:numId w:val="2"/>
        </w:numPr>
        <w:spacing w:after="60" w:line="276"/>
        <w:jc w:val="both"/>
      </w:pPr>
      <w:r>
        <w:rPr>
          <w:rFonts w:ascii="Times New Roman" w:cs="Times New Roman" w:eastAsia="Times New Roman" w:hAnsi="Times New Roman"/>
          <w:b/>
          <w:bCs/>
        </w:rPr>
        <w:t xml:space="preserve">Periodo:</w:t>
      </w:r>
      <w:r>
        <w:rPr>
          <w:rFonts w:ascii="Times New Roman" w:cs="Times New Roman" w:eastAsia="Times New Roman" w:hAnsi="Times New Roman"/>
        </w:rPr>
        <w:t xml:space="preserve"> 2013–2025, 12 periodos anuales (2013→2014 hasta 2024→2025). 2026 queda fuera por ser año parcial.</w:t>
      </w:r>
    </w:p>
    <w:p>
      <w:pPr>
        <w:pStyle w:val="Heading1"/>
        <w:keepNext/>
      </w:pPr>
      <w:r>
        <w:rPr>
          <w:rFonts w:ascii="Times New Roman" w:cs="Times New Roman" w:eastAsia="Times New Roman" w:hAnsi="Times New Roman"/>
        </w:rPr>
        <w:t xml:space="preserve">5. Metodología</w:t>
      </w:r>
    </w:p>
    <w:p>
      <w:pPr>
        <w:pStyle w:val="Heading2"/>
        <w:keepNext/>
      </w:pPr>
      <w:r>
        <w:rPr>
          <w:rFonts w:ascii="Times New Roman" w:cs="Times New Roman" w:eastAsia="Times New Roman" w:hAnsi="Times New Roman"/>
        </w:rPr>
        <w:t xml:space="preserve">5.1 Esquema general</w:t>
      </w:r>
    </w:p>
    <w:p>
      <w:pPr>
        <w:keepNext/>
        <w:spacing w:after="80" w:before="160"/>
      </w:pPr>
      <w:r>
        <w:rPr>
          <w:rFonts w:ascii="Times New Roman" w:cs="Times New Roman" w:eastAsia="Times New Roman" w:hAnsi="Times New Roman"/>
          <w:b w:val="false"/>
          <w:bCs w:val="false"/>
          <w:sz w:val="20"/>
          <w:szCs w:val="20"/>
        </w:rPr>
        <w:t xml:space="preserve">Tabla 3. Flujo de trabajo.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072"/>
      </w:tblGrid>
      <w:tr>
        <w:trPr>
          <w:tblHeader/>
        </w:trPr>
        <w:tc>
          <w:tcPr>
            <w:tcW w:type="dxa" w:w="7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Paso</w:t>
            </w:r>
          </w:p>
        </w:tc>
        <w:tc>
          <w:tcPr>
            <w:tcW w:type="dxa" w:w="33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Actividad</w:t>
            </w:r>
          </w:p>
        </w:tc>
        <w:tc>
          <w:tcPr>
            <w:tcW w:type="dxa" w:w="5072"/>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Salida</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5.2</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Compuestos anuales Landsat 8, junio–agosto</w:t>
            </w:r>
          </w:p>
        </w:tc>
        <w:tc>
          <w:tcPr>
            <w:tcW w:type="dxa" w:w="50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Un compuesto por año (2013–2025) con conteo de observaciones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5.3</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Elección del índice espectral</w:t>
            </w:r>
          </w:p>
        </w:tc>
        <w:tc>
          <w:tcPr>
            <w:tcW w:type="dxa" w:w="50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Serie anual del índice por píxel</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5.4</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Ajuste con LandTrendr</w:t>
            </w:r>
          </w:p>
        </w:tc>
        <w:tc>
          <w:tcPr>
            <w:tcW w:type="dxa" w:w="50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Segmentos por píxel e índice ajustado por año</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5.5</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Definición de bosque y umbral</w:t>
            </w:r>
          </w:p>
        </w:tc>
        <w:tc>
          <w:tcPr>
            <w:tcW w:type="dxa" w:w="50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Umbral sobre el índice ajustado</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5.6</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Indicadores anuales</w:t>
            </w:r>
          </w:p>
        </w:tc>
        <w:tc>
          <w:tcPr>
            <w:tcW w:type="dxa" w:w="50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Mapas de bosque, tabla de indicadores, mapa de cambio</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5.7</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Áreas con intervalos y validación</w:t>
            </w:r>
          </w:p>
        </w:tc>
        <w:tc>
          <w:tcPr>
            <w:tcW w:type="dxa" w:w="50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Áreas corregidas, matriz de confusión, exactitud</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5.8</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Comparación con MapBiomas</w:t>
            </w:r>
          </w:p>
        </w:tc>
        <w:tc>
          <w:tcPr>
            <w:tcW w:type="dxa" w:w="50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Tabla de concordancia por periodo</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5.9</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Tasas de cambio y degradación</w:t>
            </w:r>
          </w:p>
        </w:tc>
        <w:tc>
          <w:tcPr>
            <w:tcW w:type="dxa" w:w="50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Tasas por periodo, degradación candidata</w:t>
            </w:r>
          </w:p>
        </w:tc>
      </w:tr>
    </w:tbl>
    <w:p>
      <w:pPr>
        <w:pStyle w:val="Heading2"/>
        <w:keepNext/>
      </w:pPr>
      <w:r>
        <w:rPr>
          <w:rFonts w:ascii="Times New Roman" w:cs="Times New Roman" w:eastAsia="Times New Roman" w:hAnsi="Times New Roman"/>
        </w:rPr>
        <w:t xml:space="preserve">5.2 Compuestos anuales Landsat 8</w:t>
      </w:r>
    </w:p>
    <w:p>
      <w:pPr>
        <w:spacing w:after="120" w:line="276"/>
        <w:jc w:val="both"/>
      </w:pPr>
      <w:r>
        <w:rPr>
          <w:rFonts w:ascii="Times New Roman" w:cs="Times New Roman" w:eastAsia="Times New Roman" w:hAnsi="Times New Roman"/>
        </w:rPr>
        <w:t xml:space="preserve">Se toma la colección Landsat 8 Collection 2 Nivel 2 sobre la provincia. Las bandas se escalan con reflectancia = valor × 0.0000275 − 0.2. Se enmascaran los píxeles marcados en QA_PIXEL como relleno, nube dilatada, cirro, nube y sombra (bits 0 a 4). Para cada año se calcula la mediana de las escenas del 1 de junio al 31 de agosto, y se guarda el conteo de observaciones limpias por píxel. Los compuestos se recortan al límite provincial. El criterio para avanzar es que no haya saltos de color entre años que parezcan cambio de cobertura y que el conteo de observaciones sea suficiente en todos los años </w:t>
      </w:r>
      <w:r>
        <w:rPr>
          <w:rFonts w:ascii="Times New Roman" w:cs="Times New Roman" w:eastAsia="Times New Roman" w:hAnsi="Times New Roman"/>
          <w:highlight w:val="yellow"/>
          <w:highlightCs w:val="yellow"/>
        </w:rPr>
        <w:t xml:space="preserve">[por definir el mínimo]</w:t>
      </w:r>
      <w:r>
        <w:rPr>
          <w:rFonts w:ascii="Times New Roman" w:cs="Times New Roman" w:eastAsia="Times New Roman" w:hAnsi="Times New Roman"/>
        </w:rPr>
        <w:t xml:space="preserve">.</w:t>
      </w:r>
    </w:p>
    <w:p>
      <w:pPr>
        <w:pStyle w:val="Heading2"/>
        <w:keepNext/>
      </w:pPr>
      <w:r>
        <w:rPr>
          <w:rFonts w:ascii="Times New Roman" w:cs="Times New Roman" w:eastAsia="Times New Roman" w:hAnsi="Times New Roman"/>
        </w:rPr>
        <w:t xml:space="preserve">5.3 Índice espectral</w:t>
      </w:r>
    </w:p>
    <w:p>
      <w:pPr>
        <w:spacing w:after="120" w:line="276"/>
        <w:jc w:val="both"/>
      </w:pPr>
      <w:r>
        <w:rPr>
          <w:rFonts w:ascii="Times New Roman" w:cs="Times New Roman" w:eastAsia="Times New Roman" w:hAnsi="Times New Roman"/>
        </w:rPr>
        <w:t xml:space="preserve">LandTrendr ajusta un único índice. Los candidatos son el NBR = (B5 − B7)/(B5 + B7), el NDVI = (B5 − B4)/(B5 + B4) y el EVI (B5 y B4 son infrarrojo cercano y rojo; B7 es infrarrojo de onda corta). Se elegirá el que separe mejor bosque de no bosque en los píxeles estables y muestre con más claridad las pérdidas conocidas </w:t>
      </w:r>
      <w:r>
        <w:rPr>
          <w:rFonts w:ascii="Times New Roman" w:cs="Times New Roman" w:eastAsia="Times New Roman" w:hAnsi="Times New Roman"/>
          <w:highlight w:val="yellow"/>
          <w:highlightCs w:val="yellow"/>
        </w:rPr>
        <w:t xml:space="preserve">[por definir]</w:t>
      </w:r>
      <w:r>
        <w:rPr>
          <w:rFonts w:ascii="Times New Roman" w:cs="Times New Roman" w:eastAsia="Times New Roman" w:hAnsi="Times New Roman"/>
        </w:rPr>
        <w:t xml:space="preserve">. El NBR es el punto de partida habitual para perturbación de bosque (Key y Benson, 2006).</w:t>
      </w:r>
    </w:p>
    <w:p>
      <w:pPr>
        <w:pStyle w:val="Heading2"/>
        <w:keepNext/>
      </w:pPr>
      <w:r>
        <w:rPr>
          <w:rFonts w:ascii="Times New Roman" w:cs="Times New Roman" w:eastAsia="Times New Roman" w:hAnsi="Times New Roman"/>
        </w:rPr>
        <w:t xml:space="preserve">5.4 Aplicación de LandTrendr</w:t>
      </w:r>
    </w:p>
    <w:p>
      <w:pPr>
        <w:spacing w:after="120" w:line="276"/>
        <w:jc w:val="both"/>
      </w:pPr>
      <w:r>
        <w:rPr>
          <w:rFonts w:ascii="Times New Roman" w:cs="Times New Roman" w:eastAsia="Times New Roman" w:hAnsi="Times New Roman"/>
        </w:rPr>
        <w:t xml:space="preserve">Se ejecuta LandTrendr sobre la serie anual del índice con los parámetros de la Tabla 2. Por píxel se extraen los vértices, el año de cada quiebre, la magnitud, la duración y el tipo (pérdida o recuperación), y se genera el índice ajustado para cada año de 2013 a 2025. Una muestra de cambios detectados se revisa sobre las imágenes antes de continuar.</w:t>
      </w:r>
    </w:p>
    <w:p>
      <w:pPr>
        <w:pStyle w:val="Heading2"/>
        <w:keepNext/>
      </w:pPr>
      <w:r>
        <w:rPr>
          <w:rFonts w:ascii="Times New Roman" w:cs="Times New Roman" w:eastAsia="Times New Roman" w:hAnsi="Times New Roman"/>
        </w:rPr>
        <w:t xml:space="preserve">5.5 Definición de bosque y umbral</w:t>
      </w:r>
    </w:p>
    <w:p>
      <w:pPr>
        <w:spacing w:after="120" w:line="276"/>
        <w:jc w:val="both"/>
      </w:pPr>
      <w:r>
        <w:rPr>
          <w:rFonts w:ascii="Times New Roman" w:cs="Times New Roman" w:eastAsia="Times New Roman" w:hAnsi="Times New Roman"/>
        </w:rPr>
        <w:t xml:space="preserve">Bosque se define con las clases de MapBiomas que el equipo acuerde </w:t>
      </w:r>
      <w:r>
        <w:rPr>
          <w:rFonts w:ascii="Times New Roman" w:cs="Times New Roman" w:eastAsia="Times New Roman" w:hAnsi="Times New Roman"/>
          <w:highlight w:val="yellow"/>
          <w:highlightCs w:val="yellow"/>
        </w:rPr>
        <w:t xml:space="preserve">[por definir]</w:t>
      </w:r>
      <w:r>
        <w:rPr>
          <w:rFonts w:ascii="Times New Roman" w:cs="Times New Roman" w:eastAsia="Times New Roman" w:hAnsi="Times New Roman"/>
        </w:rPr>
        <w:t xml:space="preserve">. El umbral sobre el índice ajustado se calibra con píxeles estables, es decir, píxeles que MapBiomas mantiene en la misma clase (bosque o no bosque) durante todo 2013–2025. Para limitar la circularidad, los píxeles de calibración y los de validación se separan y no se reutilizan. Hay pocos píxeles de bosque en la provincia (del orden de 2,000 con la clase 3), lo que limita el tamaño de la muestra.</w:t>
      </w:r>
    </w:p>
    <w:p>
      <w:pPr>
        <w:pStyle w:val="Heading2"/>
        <w:keepNext/>
      </w:pPr>
      <w:r>
        <w:rPr>
          <w:rFonts w:ascii="Times New Roman" w:cs="Times New Roman" w:eastAsia="Times New Roman" w:hAnsi="Times New Roman"/>
        </w:rPr>
        <w:t xml:space="preserve">5.6 Indicadores</w:t>
      </w:r>
    </w:p>
    <w:p>
      <w:pPr>
        <w:keepNext/>
        <w:spacing w:after="80" w:before="160"/>
      </w:pPr>
      <w:r>
        <w:rPr>
          <w:rFonts w:ascii="Times New Roman" w:cs="Times New Roman" w:eastAsia="Times New Roman" w:hAnsi="Times New Roman"/>
          <w:b w:val="false"/>
          <w:bCs w:val="false"/>
          <w:sz w:val="20"/>
          <w:szCs w:val="20"/>
        </w:rPr>
        <w:t xml:space="preserve">Tabla 4. Definición de los indicadores (t = año; A = área; P = número de píxeles).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472"/>
      </w:tblGrid>
      <w:tr>
        <w:trPr>
          <w:tblHeader/>
        </w:trPr>
        <w:tc>
          <w:tcPr>
            <w:tcW w:type="dxa" w:w="23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Indicador</w:t>
            </w:r>
          </w:p>
        </w:tc>
        <w:tc>
          <w:tcPr>
            <w:tcW w:type="dxa" w:w="43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Definición</w:t>
            </w:r>
          </w:p>
        </w:tc>
        <w:tc>
          <w:tcPr>
            <w:tcW w:type="dxa" w:w="2472"/>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Uso</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 de bosque</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Píxeles de bosque ÷ píxeles totales × 100, por año</w:t>
            </w:r>
          </w:p>
        </w:tc>
        <w:tc>
          <w:tcPr>
            <w:tcW w:type="dxa" w:w="24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Indicador anual principal</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Pérdida bruta</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Píxeles de bosque en t−1 y no bosque en t</w:t>
            </w:r>
          </w:p>
        </w:tc>
        <w:tc>
          <w:tcPr>
            <w:tcW w:type="dxa" w:w="24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Cifra principal de pérdida</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Ganancia</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Píxeles de no bosque en t−1 y bosque en t</w:t>
            </w:r>
          </w:p>
        </w:tc>
        <w:tc>
          <w:tcPr>
            <w:tcW w:type="dxa" w:w="24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Complemento</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Pérdida neta</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Diferencia de área de bosque entre años (pérdida − ganancia)</w:t>
            </w:r>
          </w:p>
        </w:tc>
        <w:tc>
          <w:tcPr>
            <w:tcW w:type="dxa" w:w="24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Referencia</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Tasa de cambio</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r = (1/(t₂ − t₁)) · ln(A₂/A₁) (Puyravaud, 2003)</w:t>
            </w:r>
          </w:p>
        </w:tc>
        <w:tc>
          <w:tcPr>
            <w:tcW w:type="dxa" w:w="24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Velocidad del cambio </w:t>
            </w:r>
            <w:r>
              <w:rPr>
                <w:rFonts w:ascii="Times New Roman" w:cs="Times New Roman" w:eastAsia="Times New Roman" w:hAnsi="Times New Roman"/>
                <w:b w:val="false"/>
                <w:bCs w:val="false"/>
                <w:sz w:val="19"/>
                <w:szCs w:val="19"/>
                <w:highlight w:val="yellow"/>
                <w:highlightCs w:val="yellow"/>
              </w:rPr>
              <w:t xml:space="preserve">[por confirmar la fórmula]</w:t>
            </w:r>
          </w:p>
        </w:tc>
      </w:tr>
    </w:tbl>
    <w:p>
      <w:pPr>
        <w:spacing w:after="160" w:before="60"/>
      </w:pPr>
      <w:r>
        <w:rPr>
          <w:rFonts w:ascii="Times New Roman" w:cs="Times New Roman" w:eastAsia="Times New Roman" w:hAnsi="Times New Roman"/>
          <w:sz w:val="18"/>
          <w:szCs w:val="18"/>
        </w:rPr>
        <w:t xml:space="preserve">Control de consistencia: la pérdida anual del mapa debe coincidir con los cambios de LandTrendr que caen en ese año. Si no coincide, se revisan el umbral y los parámetros antes de seguir.</w:t>
      </w:r>
    </w:p>
    <w:p>
      <w:pPr>
        <w:pStyle w:val="Heading2"/>
        <w:keepNext/>
      </w:pPr>
      <w:r>
        <w:rPr>
          <w:rFonts w:ascii="Times New Roman" w:cs="Times New Roman" w:eastAsia="Times New Roman" w:hAnsi="Times New Roman"/>
        </w:rPr>
        <w:t xml:space="preserve">5.7 Áreas con intervalos de confianza y validación</w:t>
      </w:r>
    </w:p>
    <w:p>
      <w:pPr>
        <w:spacing w:after="120" w:line="276"/>
        <w:jc w:val="both"/>
      </w:pPr>
      <w:r>
        <w:rPr>
          <w:rFonts w:ascii="Times New Roman" w:cs="Times New Roman" w:eastAsia="Times New Roman" w:hAnsi="Times New Roman"/>
        </w:rPr>
        <w:t xml:space="preserve">Se aplica la unidad mínima de 1 ha a los parches de cambio. Para la validación se toma una muestra aleatoria estratificada (bosque estable, no bosque estable, pérdida, ganancia), interpretada visualmente sobre imágenes y referencias, sin solapamiento con la calibración. Con ella se construye la matriz de confusión y se calculan la exactitud global y las exactitudes del productor y del usuario por clase. Las áreas de pérdida y ganancia se estiman con el procedimiento de Olofsson et al. (2014), con intervalo de confianza. Se incluye validación por bloques espaciales. Tamaño de muestra y criterio de interpretación: </w:t>
      </w:r>
      <w:r>
        <w:rPr>
          <w:rFonts w:ascii="Times New Roman" w:cs="Times New Roman" w:eastAsia="Times New Roman" w:hAnsi="Times New Roman"/>
          <w:highlight w:val="yellow"/>
          <w:highlightCs w:val="yellow"/>
        </w:rPr>
        <w:t xml:space="preserve">[por definir]</w:t>
      </w:r>
      <w:r>
        <w:rPr>
          <w:rFonts w:ascii="Times New Roman" w:cs="Times New Roman" w:eastAsia="Times New Roman" w:hAnsi="Times New Roman"/>
        </w:rPr>
        <w:t xml:space="preserve">.</w:t>
      </w:r>
    </w:p>
    <w:p>
      <w:pPr>
        <w:pStyle w:val="Heading2"/>
        <w:keepNext/>
      </w:pPr>
      <w:r>
        <w:rPr>
          <w:rFonts w:ascii="Times New Roman" w:cs="Times New Roman" w:eastAsia="Times New Roman" w:hAnsi="Times New Roman"/>
        </w:rPr>
        <w:t xml:space="preserve">5.8 Comparación con MapBiomas</w:t>
      </w:r>
    </w:p>
    <w:p>
      <w:pPr>
        <w:spacing w:after="120" w:line="276"/>
        <w:jc w:val="both"/>
      </w:pPr>
      <w:r>
        <w:rPr>
          <w:rFonts w:ascii="Times New Roman" w:cs="Times New Roman" w:eastAsia="Times New Roman" w:hAnsi="Times New Roman"/>
        </w:rPr>
        <w:t xml:space="preserve">Con las clases de bosque acordadas, se calculan los mismos indicadores a partir de MapBiomas y se comparan con los propios en el periodo común. Se reportan la diferencia anual del porcentaje de bosque, la correlación y el error entre series, la concordancia espacial (acuerdo, omisión y comisión) y la matriz de transición de la serie propia contra la de MapBiomas. Métricas finales: </w:t>
      </w:r>
      <w:r>
        <w:rPr>
          <w:rFonts w:ascii="Times New Roman" w:cs="Times New Roman" w:eastAsia="Times New Roman" w:hAnsi="Times New Roman"/>
          <w:highlight w:val="yellow"/>
          <w:highlightCs w:val="yellow"/>
        </w:rPr>
        <w:t xml:space="preserve">[por definir]</w:t>
      </w:r>
      <w:r>
        <w:rPr>
          <w:rFonts w:ascii="Times New Roman" w:cs="Times New Roman" w:eastAsia="Times New Roman" w:hAnsi="Times New Roman"/>
        </w:rPr>
        <w:t xml:space="preserve">.</w:t>
      </w:r>
    </w:p>
    <w:p>
      <w:pPr>
        <w:pStyle w:val="Heading2"/>
        <w:keepNext/>
      </w:pPr>
      <w:r>
        <w:rPr>
          <w:rFonts w:ascii="Times New Roman" w:cs="Times New Roman" w:eastAsia="Times New Roman" w:hAnsi="Times New Roman"/>
        </w:rPr>
        <w:t xml:space="preserve">5.9 Tasas de cambio y degradación</w:t>
      </w:r>
    </w:p>
    <w:p>
      <w:pPr>
        <w:spacing w:after="120" w:line="276"/>
        <w:jc w:val="both"/>
      </w:pPr>
      <w:r>
        <w:rPr>
          <w:rFonts w:ascii="Times New Roman" w:cs="Times New Roman" w:eastAsia="Times New Roman" w:hAnsi="Times New Roman"/>
        </w:rPr>
        <w:t xml:space="preserve">La tasa de cambio se calcula por periodo a partir de las áreas corregidas. La degradación no es un indicador separado: se identifica como candidata en los segmentos de LandTrendr con pendiente negativa que no llegan a cruzar el umbral de pérdida. La pendiente mínima para considerarla degradación está </w:t>
      </w:r>
      <w:r>
        <w:rPr>
          <w:rFonts w:ascii="Times New Roman" w:cs="Times New Roman" w:eastAsia="Times New Roman" w:hAnsi="Times New Roman"/>
          <w:highlight w:val="yellow"/>
          <w:highlightCs w:val="yellow"/>
        </w:rPr>
        <w:t xml:space="preserve">[por definir]</w:t>
      </w:r>
      <w:r>
        <w:rPr>
          <w:rFonts w:ascii="Times New Roman" w:cs="Times New Roman" w:eastAsia="Times New Roman" w:hAnsi="Times New Roman"/>
        </w:rPr>
        <w:t xml:space="preserve">.</w:t>
      </w:r>
    </w:p>
    <w:p>
      <w:pPr>
        <w:pStyle w:val="Heading1"/>
        <w:keepNext/>
      </w:pPr>
      <w:r>
        <w:rPr>
          <w:rFonts w:ascii="Times New Roman" w:cs="Times New Roman" w:eastAsia="Times New Roman" w:hAnsi="Times New Roman"/>
        </w:rPr>
        <w:t xml:space="preserve">6. Resultados</w:t>
      </w:r>
    </w:p>
    <w:p>
      <w:pPr>
        <w:spacing w:after="120" w:line="276"/>
        <w:jc w:val="both"/>
      </w:pPr>
      <w:r>
        <w:rPr>
          <w:rFonts w:ascii="Times New Roman" w:cs="Times New Roman" w:eastAsia="Times New Roman" w:hAnsi="Times New Roman"/>
          <w:highlight w:val="yellow"/>
          <w:highlightCs w:val="yellow"/>
        </w:rPr>
        <w:t xml:space="preserve">[pendiente: esta sección se completa tras ejecutar el análisis]</w:t>
      </w:r>
      <w:r>
        <w:rPr>
          <w:rFonts w:ascii="Times New Roman" w:cs="Times New Roman" w:eastAsia="Times New Roman" w:hAnsi="Times New Roman"/>
        </w:rPr>
        <w:t xml:space="preserve">. Se prevén los siguientes productos.</w:t>
      </w:r>
    </w:p>
    <w:p>
      <w:pPr>
        <w:keepNext/>
        <w:spacing w:after="80" w:before="160"/>
      </w:pPr>
      <w:r>
        <w:rPr>
          <w:rFonts w:ascii="Times New Roman" w:cs="Times New Roman" w:eastAsia="Times New Roman" w:hAnsi="Times New Roman"/>
          <w:b w:val="false"/>
          <w:bCs w:val="false"/>
          <w:sz w:val="20"/>
          <w:szCs w:val="20"/>
        </w:rPr>
        <w:t xml:space="preserve">Tabla 5. Resultados previstos.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3472"/>
      </w:tblGrid>
      <w:tr>
        <w:trPr>
          <w:tblHeader/>
        </w:trPr>
        <w:tc>
          <w:tcPr>
            <w:tcW w:type="dxa" w:w="13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Producto</w:t>
            </w:r>
          </w:p>
        </w:tc>
        <w:tc>
          <w:tcPr>
            <w:tcW w:type="dxa" w:w="43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Contenido</w:t>
            </w:r>
          </w:p>
        </w:tc>
        <w:tc>
          <w:tcPr>
            <w:tcW w:type="dxa" w:w="3472"/>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Sección fuente</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Tabla R1</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 de bosque anual propio frente a MapBiomas, 2013–2025</w:t>
            </w:r>
          </w:p>
        </w:tc>
        <w:tc>
          <w:tcPr>
            <w:tcW w:type="dxa" w:w="34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5.6 y 5.8</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Figura R1</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Serie anual del % de bosque, ambas fuentes</w:t>
            </w:r>
          </w:p>
        </w:tc>
        <w:tc>
          <w:tcPr>
            <w:tcW w:type="dxa" w:w="34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5.8</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Tabla R2</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Pérdida bruta, ganancia y pérdida neta con intervalos de confianza</w:t>
            </w:r>
          </w:p>
        </w:tc>
        <w:tc>
          <w:tcPr>
            <w:tcW w:type="dxa" w:w="34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5.7</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Figura R2</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Mapa de cambio 2013–2025 y zonas críticas</w:t>
            </w:r>
          </w:p>
        </w:tc>
        <w:tc>
          <w:tcPr>
            <w:tcW w:type="dxa" w:w="34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5.6</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Tabla R3</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Matriz de confusión y exactitud por clase</w:t>
            </w:r>
          </w:p>
        </w:tc>
        <w:tc>
          <w:tcPr>
            <w:tcW w:type="dxa" w:w="34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5.7</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Tabla R4</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Tasas de cambio por periodo</w:t>
            </w:r>
          </w:p>
        </w:tc>
        <w:tc>
          <w:tcPr>
            <w:tcW w:type="dxa" w:w="34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5.9</w:t>
            </w:r>
          </w:p>
        </w:tc>
      </w:tr>
    </w:tbl>
    <w:p>
      <w:pPr>
        <w:pStyle w:val="Heading1"/>
        <w:keepNext/>
      </w:pPr>
      <w:r>
        <w:rPr>
          <w:rFonts w:ascii="Times New Roman" w:cs="Times New Roman" w:eastAsia="Times New Roman" w:hAnsi="Times New Roman"/>
        </w:rPr>
        <w:t xml:space="preserve">7. Discusión y limitaciones</w:t>
      </w:r>
    </w:p>
    <w:p>
      <w:pPr>
        <w:pStyle w:val="ListParagraph"/>
        <w:numPr>
          <w:ilvl w:val="0"/>
          <w:numId w:val="2"/>
        </w:numPr>
        <w:spacing w:after="60" w:line="276"/>
        <w:jc w:val="both"/>
      </w:pPr>
      <w:r>
        <w:rPr>
          <w:rFonts w:ascii="Times New Roman" w:cs="Times New Roman" w:eastAsia="Times New Roman" w:hAnsi="Times New Roman"/>
          <w:b/>
          <w:bCs/>
        </w:rPr>
        <w:t xml:space="preserve">La comparación no es independiente.</w:t>
      </w:r>
      <w:r>
        <w:rPr>
          <w:rFonts w:ascii="Times New Roman" w:cs="Times New Roman" w:eastAsia="Times New Roman" w:hAnsi="Times New Roman"/>
        </w:rPr>
        <w:t xml:space="preserve"> MapBiomas se construye con Landsat, y su serie también sirve para calibrar el umbral. La separación entre píxeles de calibración y de validación, y la validación con muestras interpretadas, atenúan pero no eliminan este problema.</w:t>
      </w:r>
    </w:p>
    <w:p>
      <w:pPr>
        <w:pStyle w:val="ListParagraph"/>
        <w:numPr>
          <w:ilvl w:val="0"/>
          <w:numId w:val="2"/>
        </w:numPr>
        <w:spacing w:after="60" w:line="276"/>
        <w:jc w:val="both"/>
      </w:pPr>
      <w:r>
        <w:rPr>
          <w:rFonts w:ascii="Times New Roman" w:cs="Times New Roman" w:eastAsia="Times New Roman" w:hAnsi="Times New Roman"/>
          <w:b/>
          <w:bCs/>
        </w:rPr>
        <w:t xml:space="preserve">MapBiomas no es verdad de campo.</w:t>
      </w:r>
      <w:r>
        <w:rPr>
          <w:rFonts w:ascii="Times New Roman" w:cs="Times New Roman" w:eastAsia="Times New Roman" w:hAnsi="Times New Roman"/>
        </w:rPr>
        <w:t xml:space="preserve"> Una diferencia entre ambas series no indica por sí sola cuál está más cerca de la realidad. Lo decide la validación con muestras propias.</w:t>
      </w:r>
    </w:p>
    <w:p>
      <w:pPr>
        <w:pStyle w:val="ListParagraph"/>
        <w:numPr>
          <w:ilvl w:val="0"/>
          <w:numId w:val="2"/>
        </w:numPr>
        <w:spacing w:after="60" w:line="276"/>
        <w:jc w:val="both"/>
      </w:pPr>
      <w:r>
        <w:rPr>
          <w:rFonts w:ascii="Times New Roman" w:cs="Times New Roman" w:eastAsia="Times New Roman" w:hAnsi="Times New Roman"/>
          <w:b/>
          <w:bCs/>
        </w:rPr>
        <w:t xml:space="preserve">Serie corta.</w:t>
      </w:r>
      <w:r>
        <w:rPr>
          <w:rFonts w:ascii="Times New Roman" w:cs="Times New Roman" w:eastAsia="Times New Roman" w:hAnsi="Times New Roman"/>
        </w:rPr>
        <w:t xml:space="preserve"> Trece observaciones anuales son pocas para LandTrendr y limitan la detección de cambios graduales.</w:t>
      </w:r>
    </w:p>
    <w:p>
      <w:pPr>
        <w:pStyle w:val="ListParagraph"/>
        <w:numPr>
          <w:ilvl w:val="0"/>
          <w:numId w:val="2"/>
        </w:numPr>
        <w:spacing w:after="60" w:line="276"/>
        <w:jc w:val="both"/>
      </w:pPr>
      <w:r>
        <w:rPr>
          <w:rFonts w:ascii="Times New Roman" w:cs="Times New Roman" w:eastAsia="Times New Roman" w:hAnsi="Times New Roman"/>
          <w:b/>
          <w:bCs/>
        </w:rPr>
        <w:t xml:space="preserve">Poco bosque en la provincia.</w:t>
      </w:r>
      <w:r>
        <w:rPr>
          <w:rFonts w:ascii="Times New Roman" w:cs="Times New Roman" w:eastAsia="Times New Roman" w:hAnsi="Times New Roman"/>
        </w:rPr>
        <w:t xml:space="preserve"> La definición de bosque y el tamaño de la muestra dominan la incertidumbre.</w:t>
      </w:r>
    </w:p>
    <w:p>
      <w:pPr>
        <w:pStyle w:val="ListParagraph"/>
        <w:numPr>
          <w:ilvl w:val="0"/>
          <w:numId w:val="2"/>
        </w:numPr>
        <w:spacing w:after="60" w:line="276"/>
        <w:jc w:val="both"/>
      </w:pPr>
      <w:r>
        <w:rPr>
          <w:rFonts w:ascii="Times New Roman" w:cs="Times New Roman" w:eastAsia="Times New Roman" w:hAnsi="Times New Roman"/>
          <w:b/>
          <w:bCs/>
        </w:rPr>
        <w:t xml:space="preserve">Ventana de época seca.</w:t>
      </w:r>
      <w:r>
        <w:rPr>
          <w:rFonts w:ascii="Times New Roman" w:cs="Times New Roman" w:eastAsia="Times New Roman" w:hAnsi="Times New Roman"/>
        </w:rPr>
        <w:t xml:space="preserve"> Reduce nubes pero puede confundir vegetación herbácea seca con bosque caducifolio, y deja menos escenas por año.</w:t>
      </w:r>
    </w:p>
    <w:p>
      <w:pPr>
        <w:pStyle w:val="ListParagraph"/>
        <w:numPr>
          <w:ilvl w:val="0"/>
          <w:numId w:val="2"/>
        </w:numPr>
        <w:spacing w:after="60" w:line="276"/>
        <w:jc w:val="both"/>
      </w:pPr>
      <w:r>
        <w:rPr>
          <w:rFonts w:ascii="Times New Roman" w:cs="Times New Roman" w:eastAsia="Times New Roman" w:hAnsi="Times New Roman"/>
          <w:b/>
          <w:bCs/>
        </w:rPr>
        <w:t xml:space="preserve">Sin análisis de factores asociados.</w:t>
      </w:r>
      <w:r>
        <w:rPr>
          <w:rFonts w:ascii="Times New Roman" w:cs="Times New Roman" w:eastAsia="Times New Roman" w:hAnsi="Times New Roman"/>
        </w:rPr>
        <w:t xml:space="preserve"> SRTM y OpenStreetMap salieron del análisis, así que las variables de pendiente, altitud y distancia a vías no se usan. Quedan como línea futura.</w:t>
      </w:r>
    </w:p>
    <w:p>
      <w:pPr>
        <w:pStyle w:val="ListParagraph"/>
        <w:numPr>
          <w:ilvl w:val="0"/>
          <w:numId w:val="2"/>
        </w:numPr>
        <w:spacing w:after="60" w:line="276"/>
        <w:jc w:val="both"/>
      </w:pPr>
      <w:r>
        <w:rPr>
          <w:rFonts w:ascii="Times New Roman" w:cs="Times New Roman" w:eastAsia="Times New Roman" w:hAnsi="Times New Roman"/>
          <w:b/>
          <w:bCs/>
        </w:rPr>
        <w:t xml:space="preserve">Expansión agrícola.</w:t>
      </w:r>
      <w:r>
        <w:rPr>
          <w:rFonts w:ascii="Times New Roman" w:cs="Times New Roman" w:eastAsia="Times New Roman" w:hAnsi="Times New Roman"/>
        </w:rPr>
        <w:t xml:space="preserve"> LandTrendr no asigna clases de uso; solo se reportaría como referencia de MapBiomas </w:t>
      </w:r>
      <w:r>
        <w:rPr>
          <w:rFonts w:ascii="Times New Roman" w:cs="Times New Roman" w:eastAsia="Times New Roman" w:hAnsi="Times New Roman"/>
          <w:highlight w:val="yellow"/>
          <w:highlightCs w:val="yellow"/>
        </w:rPr>
        <w:t xml:space="preserve">[por confirmar]</w:t>
      </w:r>
      <w:r>
        <w:rPr>
          <w:rFonts w:ascii="Times New Roman" w:cs="Times New Roman" w:eastAsia="Times New Roman" w:hAnsi="Times New Roman"/>
        </w:rPr>
        <w:t xml:space="preserve">.</w:t>
      </w:r>
    </w:p>
    <w:p>
      <w:pPr>
        <w:pStyle w:val="Heading1"/>
        <w:keepNext/>
      </w:pPr>
      <w:r>
        <w:rPr>
          <w:rFonts w:ascii="Times New Roman" w:cs="Times New Roman" w:eastAsia="Times New Roman" w:hAnsi="Times New Roman"/>
        </w:rPr>
        <w:t xml:space="preserve">8. Conclusiones (provisionales)</w:t>
      </w:r>
    </w:p>
    <w:p>
      <w:pPr>
        <w:spacing w:after="120" w:line="276"/>
        <w:jc w:val="both"/>
      </w:pPr>
      <w:r>
        <w:rPr>
          <w:rFonts w:ascii="Times New Roman" w:cs="Times New Roman" w:eastAsia="Times New Roman" w:hAnsi="Times New Roman"/>
        </w:rPr>
        <w:t xml:space="preserve">El diseño propone una serie anual de compuestos Landsat 8 de junio a agosto, procesada con LandTrendr, y contrastada con MapBiomas Perú. Cada decisión de diseño tiene un fundamento y un costo explícito. El valor del trabajo depende de tres definiciones pendientes: qué clases cuentan como bosque, qué índice espectral se usa y qué parámetros de LandTrendr se calibran. Las conclusiones finales se redactarán con los resultados.</w:t>
      </w:r>
    </w:p>
    <w:p>
      <w:pPr>
        <w:pStyle w:val="Heading1"/>
        <w:keepNext/>
      </w:pPr>
      <w:r>
        <w:rPr>
          <w:rFonts w:ascii="Times New Roman" w:cs="Times New Roman" w:eastAsia="Times New Roman" w:hAnsi="Times New Roman"/>
        </w:rPr>
        <w:t xml:space="preserve">Referencias</w:t>
      </w:r>
    </w:p>
    <w:p>
      <w:pPr>
        <w:spacing w:after="100" w:line="264"/>
        <w:ind w:left="567" w:hanging="567"/>
        <w:jc w:val="left"/>
      </w:pPr>
      <w:r>
        <w:rPr>
          <w:rFonts w:ascii="Times New Roman" w:cs="Times New Roman" w:eastAsia="Times New Roman" w:hAnsi="Times New Roman"/>
        </w:rPr>
        <w:t xml:space="preserve">Cohen, W. B., Yang, Z., &amp; Kennedy, R. (2010). Detecting trends in forest disturbance and recovery using yearly Landsat time series: 2. TimeSync—Tools for calibration and validation. </w:t>
      </w:r>
      <w:r>
        <w:rPr>
          <w:rFonts w:ascii="Times New Roman" w:cs="Times New Roman" w:eastAsia="Times New Roman" w:hAnsi="Times New Roman"/>
          <w:i/>
          <w:iCs/>
        </w:rPr>
        <w:t xml:space="preserve">Remote Sensing of Environment, 114</w:t>
      </w:r>
      <w:r>
        <w:rPr>
          <w:rFonts w:ascii="Times New Roman" w:cs="Times New Roman" w:eastAsia="Times New Roman" w:hAnsi="Times New Roman"/>
        </w:rPr>
        <w:t xml:space="preserve">(12), 2911–2924.</w:t>
      </w:r>
    </w:p>
    <w:p>
      <w:pPr>
        <w:spacing w:after="100" w:line="264"/>
        <w:ind w:left="567" w:hanging="567"/>
        <w:jc w:val="left"/>
      </w:pPr>
      <w:r>
        <w:rPr>
          <w:rFonts w:ascii="Times New Roman" w:cs="Times New Roman" w:eastAsia="Times New Roman" w:hAnsi="Times New Roman"/>
        </w:rPr>
        <w:t xml:space="preserve">Gorelick, N., Hancher, M., Dixon, M., Ilyushchenko, S., Thau, D., &amp; Moore, R. (2017). Google Earth Engine: Planetary-scale geospatial analysis for everyone. </w:t>
      </w:r>
      <w:r>
        <w:rPr>
          <w:rFonts w:ascii="Times New Roman" w:cs="Times New Roman" w:eastAsia="Times New Roman" w:hAnsi="Times New Roman"/>
          <w:i/>
          <w:iCs/>
        </w:rPr>
        <w:t xml:space="preserve">Remote Sensing of Environment, 202</w:t>
      </w:r>
      <w:r>
        <w:rPr>
          <w:rFonts w:ascii="Times New Roman" w:cs="Times New Roman" w:eastAsia="Times New Roman" w:hAnsi="Times New Roman"/>
        </w:rPr>
        <w:t xml:space="preserve">, 18–27.</w:t>
      </w:r>
    </w:p>
    <w:p>
      <w:pPr>
        <w:spacing w:after="100" w:line="264"/>
        <w:ind w:left="567" w:hanging="567"/>
        <w:jc w:val="left"/>
      </w:pPr>
      <w:r>
        <w:rPr>
          <w:rFonts w:ascii="Times New Roman" w:cs="Times New Roman" w:eastAsia="Times New Roman" w:hAnsi="Times New Roman"/>
        </w:rPr>
        <w:t xml:space="preserve">Kennedy, R. E., Yang, Z., &amp; Cohen, W. B. (2010). Detecting trends in forest disturbance and recovery using yearly Landsat time series: 1. LandTrendr—Temporal segmentation algorithms. </w:t>
      </w:r>
      <w:r>
        <w:rPr>
          <w:rFonts w:ascii="Times New Roman" w:cs="Times New Roman" w:eastAsia="Times New Roman" w:hAnsi="Times New Roman"/>
          <w:i/>
          <w:iCs/>
        </w:rPr>
        <w:t xml:space="preserve">Remote Sensing of Environment, 114</w:t>
      </w:r>
      <w:r>
        <w:rPr>
          <w:rFonts w:ascii="Times New Roman" w:cs="Times New Roman" w:eastAsia="Times New Roman" w:hAnsi="Times New Roman"/>
        </w:rPr>
        <w:t xml:space="preserve">(12), 2897–2910.</w:t>
      </w:r>
    </w:p>
    <w:p>
      <w:pPr>
        <w:spacing w:after="100" w:line="264"/>
        <w:ind w:left="567" w:hanging="567"/>
        <w:jc w:val="left"/>
      </w:pPr>
      <w:r>
        <w:rPr>
          <w:rFonts w:ascii="Times New Roman" w:cs="Times New Roman" w:eastAsia="Times New Roman" w:hAnsi="Times New Roman"/>
        </w:rPr>
        <w:t xml:space="preserve">Kennedy, R. E., Yang, Z., Gorelick, N., Braaten, J., Cavalcante, L., Cohen, W. B., &amp; Healey, S. (2018). Implementation of the LandTrendr algorithm on Google Earth Engine. </w:t>
      </w:r>
      <w:r>
        <w:rPr>
          <w:rFonts w:ascii="Times New Roman" w:cs="Times New Roman" w:eastAsia="Times New Roman" w:hAnsi="Times New Roman"/>
          <w:i/>
          <w:iCs/>
        </w:rPr>
        <w:t xml:space="preserve">Remote Sensing, 10</w:t>
      </w:r>
      <w:r>
        <w:rPr>
          <w:rFonts w:ascii="Times New Roman" w:cs="Times New Roman" w:eastAsia="Times New Roman" w:hAnsi="Times New Roman"/>
        </w:rPr>
        <w:t xml:space="preserve">(5), 691.</w:t>
      </w:r>
    </w:p>
    <w:p>
      <w:pPr>
        <w:spacing w:after="100" w:line="264"/>
        <w:ind w:left="567" w:hanging="567"/>
        <w:jc w:val="left"/>
      </w:pPr>
      <w:r>
        <w:rPr>
          <w:rFonts w:ascii="Times New Roman" w:cs="Times New Roman" w:eastAsia="Times New Roman" w:hAnsi="Times New Roman"/>
        </w:rPr>
        <w:t xml:space="preserve">Key, C. H., &amp; Benson, N. C. (2006). Landscape assessment (LA). En D. C. Lutes et al. (Eds.), </w:t>
      </w:r>
      <w:r>
        <w:rPr>
          <w:rFonts w:ascii="Times New Roman" w:cs="Times New Roman" w:eastAsia="Times New Roman" w:hAnsi="Times New Roman"/>
          <w:i/>
          <w:iCs/>
        </w:rPr>
        <w:t xml:space="preserve">FIREMON: Fire effects monitoring and inventory system</w:t>
      </w:r>
      <w:r>
        <w:rPr>
          <w:rFonts w:ascii="Times New Roman" w:cs="Times New Roman" w:eastAsia="Times New Roman" w:hAnsi="Times New Roman"/>
        </w:rPr>
        <w:t xml:space="preserve"> (Gen. Tech. Rep. RMRS-GTR-164-CD, pp. LA-1–LA-51). USDA Forest Service.</w:t>
      </w:r>
    </w:p>
    <w:p>
      <w:pPr>
        <w:spacing w:after="100" w:line="264"/>
        <w:ind w:left="567" w:hanging="567"/>
        <w:jc w:val="left"/>
      </w:pPr>
      <w:r>
        <w:rPr>
          <w:rFonts w:ascii="Times New Roman" w:cs="Times New Roman" w:eastAsia="Times New Roman" w:hAnsi="Times New Roman"/>
        </w:rPr>
        <w:t xml:space="preserve">MapBiomas Perú. (s. f.-a). </w:t>
      </w:r>
      <w:r>
        <w:rPr>
          <w:rFonts w:ascii="Times New Roman" w:cs="Times New Roman" w:eastAsia="Times New Roman" w:hAnsi="Times New Roman"/>
          <w:i/>
          <w:iCs/>
        </w:rPr>
        <w:t xml:space="preserve">Apéndice 5: MapBiomas Perú, Colección 4.0</w:t>
      </w:r>
      <w:r>
        <w:rPr>
          <w:rFonts w:ascii="Times New Roman" w:cs="Times New Roman" w:eastAsia="Times New Roman" w:hAnsi="Times New Roman"/>
        </w:rPr>
        <w:t xml:space="preserve"> [Documento técnico]. Red MapBiomas Amazonía. https://amazonia.mapbiomas.org/wp-content/uploads/sites/10/2023/08/Apendice_5_Peru_-_Coleccion_4.0.pdf</w:t>
      </w:r>
    </w:p>
    <w:p>
      <w:pPr>
        <w:spacing w:after="100" w:line="264"/>
        <w:ind w:left="567" w:hanging="567"/>
        <w:jc w:val="left"/>
      </w:pPr>
      <w:r>
        <w:rPr>
          <w:rFonts w:ascii="Times New Roman" w:cs="Times New Roman" w:eastAsia="Times New Roman" w:hAnsi="Times New Roman"/>
        </w:rPr>
        <w:t xml:space="preserve">MapBiomas Perú. (s. f.-b). </w:t>
      </w:r>
      <w:r>
        <w:rPr>
          <w:rFonts w:ascii="Times New Roman" w:cs="Times New Roman" w:eastAsia="Times New Roman" w:hAnsi="Times New Roman"/>
          <w:i/>
          <w:iCs/>
        </w:rPr>
        <w:t xml:space="preserve">Colección 4</w:t>
      </w:r>
      <w:r>
        <w:rPr>
          <w:rFonts w:ascii="Times New Roman" w:cs="Times New Roman" w:eastAsia="Times New Roman" w:hAnsi="Times New Roman"/>
        </w:rPr>
        <w:t xml:space="preserve">. https://peru.mapbiomas.org</w:t>
      </w:r>
    </w:p>
    <w:p>
      <w:pPr>
        <w:spacing w:after="100" w:line="264"/>
        <w:ind w:left="567" w:hanging="567"/>
        <w:jc w:val="left"/>
      </w:pPr>
      <w:r>
        <w:rPr>
          <w:rFonts w:ascii="Times New Roman" w:cs="Times New Roman" w:eastAsia="Times New Roman" w:hAnsi="Times New Roman"/>
        </w:rPr>
        <w:t xml:space="preserve">Olofsson, P., Foody, G. M., Herold, M., Stehman, S. V., Woodcock, C. E., &amp; Wulder, M. A. (2014). Good practices for estimating area and assessing accuracy of land change. </w:t>
      </w:r>
      <w:r>
        <w:rPr>
          <w:rFonts w:ascii="Times New Roman" w:cs="Times New Roman" w:eastAsia="Times New Roman" w:hAnsi="Times New Roman"/>
          <w:i/>
          <w:iCs/>
        </w:rPr>
        <w:t xml:space="preserve">Remote Sensing of Environment, 148</w:t>
      </w:r>
      <w:r>
        <w:rPr>
          <w:rFonts w:ascii="Times New Roman" w:cs="Times New Roman" w:eastAsia="Times New Roman" w:hAnsi="Times New Roman"/>
        </w:rPr>
        <w:t xml:space="preserve">, 42–57.</w:t>
      </w:r>
    </w:p>
    <w:p>
      <w:pPr>
        <w:spacing w:after="100" w:line="264"/>
        <w:ind w:left="567" w:hanging="567"/>
        <w:jc w:val="left"/>
      </w:pPr>
      <w:r>
        <w:rPr>
          <w:rFonts w:ascii="Times New Roman" w:cs="Times New Roman" w:eastAsia="Times New Roman" w:hAnsi="Times New Roman"/>
        </w:rPr>
        <w:t xml:space="preserve">Puyravaud, J.-P. (2003). Standardizing the calculation of the annual rate of deforestation. </w:t>
      </w:r>
      <w:r>
        <w:rPr>
          <w:rFonts w:ascii="Times New Roman" w:cs="Times New Roman" w:eastAsia="Times New Roman" w:hAnsi="Times New Roman"/>
          <w:i/>
          <w:iCs/>
        </w:rPr>
        <w:t xml:space="preserve">Forest Ecology and Management, 177</w:t>
      </w:r>
      <w:r>
        <w:rPr>
          <w:rFonts w:ascii="Times New Roman" w:cs="Times New Roman" w:eastAsia="Times New Roman" w:hAnsi="Times New Roman"/>
        </w:rPr>
        <w:t xml:space="preserve">(1–3), 593–596.</w:t>
      </w:r>
    </w:p>
    <w:p>
      <w:pPr>
        <w:spacing w:after="100" w:line="264"/>
        <w:ind w:left="567" w:hanging="567"/>
        <w:jc w:val="left"/>
      </w:pPr>
      <w:r>
        <w:rPr>
          <w:rFonts w:ascii="Times New Roman" w:cs="Times New Roman" w:eastAsia="Times New Roman" w:hAnsi="Times New Roman"/>
        </w:rPr>
        <w:t xml:space="preserve">Roy, D. P., Wulder, M. A., Loveland, T. R., Woodcock, C. E., Allen, R. G., Anderson, M. C., … Zhu, Z. (2014). Landsat-8: Science and product vision for terrestrial global change research. </w:t>
      </w:r>
      <w:r>
        <w:rPr>
          <w:rFonts w:ascii="Times New Roman" w:cs="Times New Roman" w:eastAsia="Times New Roman" w:hAnsi="Times New Roman"/>
          <w:i/>
          <w:iCs/>
        </w:rPr>
        <w:t xml:space="preserve">Remote Sensing of Environment, 145</w:t>
      </w:r>
      <w:r>
        <w:rPr>
          <w:rFonts w:ascii="Times New Roman" w:cs="Times New Roman" w:eastAsia="Times New Roman" w:hAnsi="Times New Roman"/>
        </w:rPr>
        <w:t xml:space="preserve">, 154–172.</w:t>
      </w:r>
    </w:p>
    <w:p>
      <w:pPr>
        <w:spacing w:after="100" w:line="264"/>
        <w:ind w:left="567" w:hanging="567"/>
        <w:jc w:val="left"/>
      </w:pPr>
      <w:r>
        <w:rPr>
          <w:rFonts w:ascii="Times New Roman" w:cs="Times New Roman" w:eastAsia="Times New Roman" w:hAnsi="Times New Roman"/>
        </w:rPr>
        <w:t xml:space="preserve">Souza, C. M., Jr., Shimbo, J. Z., Rosa, M. R., Parente, L. L., Alencar, A. A., Rudorff, B. F. T., … Azevedo, T. (2020). Reconstructing three decades of land use and land cover changes in Brazilian biomes with Landsat archive and Earth Engine. </w:t>
      </w:r>
      <w:r>
        <w:rPr>
          <w:rFonts w:ascii="Times New Roman" w:cs="Times New Roman" w:eastAsia="Times New Roman" w:hAnsi="Times New Roman"/>
          <w:i/>
          <w:iCs/>
        </w:rPr>
        <w:t xml:space="preserve">Remote Sensing, 12</w:t>
      </w:r>
      <w:r>
        <w:rPr>
          <w:rFonts w:ascii="Times New Roman" w:cs="Times New Roman" w:eastAsia="Times New Roman" w:hAnsi="Times New Roman"/>
        </w:rPr>
        <w:t xml:space="preserve">(17), 2735.</w:t>
      </w:r>
    </w:p>
    <w:p>
      <w:pPr>
        <w:spacing w:after="100" w:line="264"/>
        <w:ind w:left="567" w:hanging="567"/>
        <w:jc w:val="left"/>
      </w:pPr>
      <w:r>
        <w:rPr>
          <w:rFonts w:ascii="Times New Roman" w:cs="Times New Roman" w:eastAsia="Times New Roman" w:hAnsi="Times New Roman"/>
        </w:rPr>
        <w:t xml:space="preserve">Verbesselt, J., Hyndman, R., Newnham, G., &amp; Culvenor, D. (2010). Detecting trend and seasonal changes in satellite image time series. </w:t>
      </w:r>
      <w:r>
        <w:rPr>
          <w:rFonts w:ascii="Times New Roman" w:cs="Times New Roman" w:eastAsia="Times New Roman" w:hAnsi="Times New Roman"/>
          <w:i/>
          <w:iCs/>
        </w:rPr>
        <w:t xml:space="preserve">Remote Sensing of Environment, 114</w:t>
      </w:r>
      <w:r>
        <w:rPr>
          <w:rFonts w:ascii="Times New Roman" w:cs="Times New Roman" w:eastAsia="Times New Roman" w:hAnsi="Times New Roman"/>
        </w:rPr>
        <w:t xml:space="preserve">(1), 106–115.</w:t>
      </w:r>
    </w:p>
    <w:p>
      <w:pPr>
        <w:spacing w:after="100" w:line="264"/>
        <w:ind w:left="567" w:hanging="567"/>
        <w:jc w:val="left"/>
      </w:pPr>
      <w:r>
        <w:rPr>
          <w:rFonts w:ascii="Times New Roman" w:cs="Times New Roman" w:eastAsia="Times New Roman" w:hAnsi="Times New Roman"/>
        </w:rPr>
        <w:t xml:space="preserve">Woodcock, C. E., Allen, R., Anderson, M., Belward, A., Bindschadler, R., Cohen, W., … Wynne, R. (2008). Free access to Landsat imagery. </w:t>
      </w:r>
      <w:r>
        <w:rPr>
          <w:rFonts w:ascii="Times New Roman" w:cs="Times New Roman" w:eastAsia="Times New Roman" w:hAnsi="Times New Roman"/>
          <w:i/>
          <w:iCs/>
        </w:rPr>
        <w:t xml:space="preserve">Science, 320</w:t>
      </w:r>
      <w:r>
        <w:rPr>
          <w:rFonts w:ascii="Times New Roman" w:cs="Times New Roman" w:eastAsia="Times New Roman" w:hAnsi="Times New Roman"/>
        </w:rPr>
        <w:t xml:space="preserve">(5879), 1011.</w:t>
      </w:r>
    </w:p>
    <w:p>
      <w:pPr>
        <w:spacing w:after="100" w:line="264"/>
        <w:ind w:left="567" w:hanging="567"/>
        <w:jc w:val="left"/>
      </w:pPr>
      <w:r>
        <w:rPr>
          <w:rFonts w:ascii="Times New Roman" w:cs="Times New Roman" w:eastAsia="Times New Roman" w:hAnsi="Times New Roman"/>
        </w:rPr>
        <w:t xml:space="preserve">Wulder, M. A., Loveland, T. R., Roy, D. P., Crawford, C. J., Masek, J. G., Woodcock, C. E., … Zhu, Z. (2019). Current status of Landsat program, science, and applications. </w:t>
      </w:r>
      <w:r>
        <w:rPr>
          <w:rFonts w:ascii="Times New Roman" w:cs="Times New Roman" w:eastAsia="Times New Roman" w:hAnsi="Times New Roman"/>
          <w:i/>
          <w:iCs/>
        </w:rPr>
        <w:t xml:space="preserve">Remote Sensing of Environment, 225</w:t>
      </w:r>
      <w:r>
        <w:rPr>
          <w:rFonts w:ascii="Times New Roman" w:cs="Times New Roman" w:eastAsia="Times New Roman" w:hAnsi="Times New Roman"/>
        </w:rPr>
        <w:t xml:space="preserve">, 127–147.</w:t>
      </w:r>
    </w:p>
    <w:p>
      <w:pPr>
        <w:spacing w:after="100" w:line="264"/>
        <w:ind w:left="567" w:hanging="567"/>
        <w:jc w:val="left"/>
      </w:pPr>
      <w:r>
        <w:rPr>
          <w:rFonts w:ascii="Times New Roman" w:cs="Times New Roman" w:eastAsia="Times New Roman" w:hAnsi="Times New Roman"/>
        </w:rPr>
        <w:t xml:space="preserve">Zhu, Z., &amp; Woodcock, C. E. (2014). Continuous change detection and classification of land cover using all available Landsat data. </w:t>
      </w:r>
      <w:r>
        <w:rPr>
          <w:rFonts w:ascii="Times New Roman" w:cs="Times New Roman" w:eastAsia="Times New Roman" w:hAnsi="Times New Roman"/>
          <w:i/>
          <w:iCs/>
        </w:rPr>
        <w:t xml:space="preserve">Remote Sensing of Environment, 144</w:t>
      </w:r>
      <w:r>
        <w:rPr>
          <w:rFonts w:ascii="Times New Roman" w:cs="Times New Roman" w:eastAsia="Times New Roman" w:hAnsi="Times New Roman"/>
        </w:rPr>
        <w:t xml:space="preserve">, 152–171.</w:t>
      </w:r>
    </w:p>
    <w:p>
      <w:pPr>
        <w:spacing w:after="160" w:before="60"/>
      </w:pPr>
      <w:r>
        <w:rPr>
          <w:rFonts w:ascii="Times New Roman" w:cs="Times New Roman" w:eastAsia="Times New Roman" w:hAnsi="Times New Roman"/>
          <w:sz w:val="18"/>
          <w:szCs w:val="18"/>
          <w:highlight w:val="yellow"/>
          <w:highlightCs w:val="yellow"/>
        </w:rPr>
        <w:t xml:space="preserve">[verificar]</w:t>
      </w:r>
      <w:r>
        <w:rPr>
          <w:rFonts w:ascii="Times New Roman" w:cs="Times New Roman" w:eastAsia="Times New Roman" w:hAnsi="Times New Roman"/>
          <w:sz w:val="18"/>
          <w:szCs w:val="18"/>
        </w:rPr>
        <w:t xml:space="preserve"> Verificadas en línea en esta sesión: Kennedy et al. (2010, 2018), Olofsson et al. (2014), Roy et al. (2014) y la documentación de MapBiomas Perú. El resto de las referencias proviene del conocimiento del redactor: confirmar volumen, páginas y DOI antes de enviar.</w:t>
      </w:r>
    </w:p>
    <w:p>
      <w:r>
        <w:br w:type="page"/>
      </w:r>
    </w:p>
    <w:p>
      <w:pPr>
        <w:pStyle w:val="Heading1"/>
        <w:keepNext/>
      </w:pPr>
      <w:r>
        <w:rPr>
          <w:rFonts w:ascii="Times New Roman" w:cs="Times New Roman" w:eastAsia="Times New Roman" w:hAnsi="Times New Roman"/>
        </w:rPr>
        <w:t xml:space="preserve">Anexo A. Decisiones pendientes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3572"/>
      </w:tblGrid>
      <w:tr>
        <w:trPr>
          <w:tblHeader/>
        </w:trPr>
        <w:tc>
          <w:tcPr>
            <w:tcW w:type="dxa" w:w="5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N.º</w:t>
            </w:r>
          </w:p>
        </w:tc>
        <w:tc>
          <w:tcPr>
            <w:tcW w:type="dxa" w:w="50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Decisión</w:t>
            </w:r>
          </w:p>
        </w:tc>
        <w:tc>
          <w:tcPr>
            <w:tcW w:type="dxa" w:w="3572"/>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Dónde afecta</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1</w:t>
            </w:r>
          </w:p>
        </w:tc>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Clases de MapBiomas que cuentan como bosque (3; 4; 9)</w:t>
            </w:r>
          </w:p>
        </w:tc>
        <w:tc>
          <w:tcPr>
            <w:tcW w:type="dxa" w:w="35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4.2.5, 5.5, 5.8</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2</w:t>
            </w:r>
          </w:p>
        </w:tc>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Índice espectral (NBR, NDVI o EVI)</w:t>
            </w:r>
          </w:p>
        </w:tc>
        <w:tc>
          <w:tcPr>
            <w:tcW w:type="dxa" w:w="35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5.3</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3</w:t>
            </w:r>
          </w:p>
        </w:tc>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Parámetros de LandTrendr, con máximo de segmentos bajo</w:t>
            </w:r>
          </w:p>
        </w:tc>
        <w:tc>
          <w:tcPr>
            <w:tcW w:type="dxa" w:w="35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4.2.4, 5.4</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4</w:t>
            </w:r>
          </w:p>
        </w:tc>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Mínimo de observaciones limpias por píxel y año en junio–agosto</w:t>
            </w:r>
          </w:p>
        </w:tc>
        <w:tc>
          <w:tcPr>
            <w:tcW w:type="dxa" w:w="35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4.2.2, 5.2</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5</w:t>
            </w:r>
          </w:p>
        </w:tc>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Conteo real de escenas Landsat 8 de junio a agosto por año</w:t>
            </w:r>
          </w:p>
        </w:tc>
        <w:tc>
          <w:tcPr>
            <w:tcW w:type="dxa" w:w="35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4.2.2</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6</w:t>
            </w:r>
          </w:p>
        </w:tc>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Sensor de MapBiomas en 2022–2025 y último año disponible</w:t>
            </w:r>
          </w:p>
        </w:tc>
        <w:tc>
          <w:tcPr>
            <w:tcW w:type="dxa" w:w="35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4.2.1, 4.2.3</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7</w:t>
            </w:r>
          </w:p>
        </w:tc>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Tamaño de muestra y criterio de interpretación para la validación</w:t>
            </w:r>
          </w:p>
        </w:tc>
        <w:tc>
          <w:tcPr>
            <w:tcW w:type="dxa" w:w="35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5.7</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8</w:t>
            </w:r>
          </w:p>
        </w:tc>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Métricas finales de concordancia con MapBiomas</w:t>
            </w:r>
          </w:p>
        </w:tc>
        <w:tc>
          <w:tcPr>
            <w:tcW w:type="dxa" w:w="35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5.8</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9</w:t>
            </w:r>
          </w:p>
        </w:tc>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Reporte o no de expansión agrícola (solo referencia de MapBiomas)</w:t>
            </w:r>
          </w:p>
        </w:tc>
        <w:tc>
          <w:tcPr>
            <w:tcW w:type="dxa" w:w="35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1, 7</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10</w:t>
            </w:r>
          </w:p>
        </w:tc>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Estudios de antecedentes en los Andes y Cusco</w:t>
            </w:r>
          </w:p>
        </w:tc>
        <w:tc>
          <w:tcPr>
            <w:tcW w:type="dxa" w:w="35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2.6</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11</w:t>
            </w:r>
          </w:p>
        </w:tc>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Autores y afiliación</w:t>
            </w:r>
          </w:p>
        </w:tc>
        <w:tc>
          <w:tcPr>
            <w:tcW w:type="dxa" w:w="357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Portada</w:t>
            </w:r>
          </w:p>
        </w:tc>
      </w:tr>
    </w:tbl>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Pérdida de bosque en la provincia de Cusco (2013–2025)</dc:title>
  <dc:creator>Proyecto Cobertura de suelo – Cusco</dc:creator>
  <cp:lastModifiedBy>Un-named</cp:lastModifiedBy>
  <cp:revision>1</cp:revision>
  <dcterms:created xsi:type="dcterms:W3CDTF">2026-10-11T22:36:17.520Z</dcterms:created>
  <dcterms:modified xsi:type="dcterms:W3CDTF">2026-10-11T22:36:17.530Z</dcterms:modified>
</cp:coreProperties>
</file>

<file path=docProps/custom.xml><?xml version="1.0" encoding="utf-8"?>
<Properties xmlns="http://schemas.openxmlformats.org/officeDocument/2006/custom-properties" xmlns:vt="http://schemas.openxmlformats.org/officeDocument/2006/docPropsVTypes"/>
</file>