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qe3in7yf1i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DMConnectエージェントチーム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9.9764515416887"/>
        <w:gridCol w:w="1776.0482743395396"/>
        <w:gridCol w:w="5009.487085142395"/>
        <w:tblGridChange w:id="0">
          <w:tblGrid>
            <w:gridCol w:w="2239.9764515416887"/>
            <w:gridCol w:w="1776.0482743395396"/>
            <w:gridCol w:w="5009.48708514239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ファイル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役割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主なトリガーワード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dmconnect-strategy.skill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戦略担当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「戦略」「競合分析」「黒字転換」「差別化」「ラクスル対応」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dmconnect-research.skill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リサーチ担当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「調査して」「リサーチ」「競合を調べて」「市場データ」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dmconnect-marketing.skill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マーケティング担当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「マーケティング」「営業資料」「提案書」「コンテンツ」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dmconnect-finance.skill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財務・数値担当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「財務」「P&amp;L」「シミュレーション」「黒字転換に何通必要か」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各スキルには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DMConnectの事業データと財務数値が組み込まれている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ので、毎回背景説明をする必要なく「シャノンが離脱したらどうなる？」「ラクスル対抗の価格戦略は？」といった質問に直接答えられます。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