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F497D"/>
          <w:sz w:val="44"/>
        </w:rPr>
        <w:t>DM Connect</w:t>
      </w:r>
    </w:p>
    <w:p>
      <w:pPr>
        <w:jc w:val="center"/>
      </w:pPr>
      <w:r>
        <w:rPr>
          <w:b/>
          <w:color w:val="2E74B5"/>
          <w:sz w:val="36"/>
        </w:rPr>
        <w:t>成長戦略レポート</w:t>
      </w:r>
    </w:p>
    <w:p>
      <w:pPr>
        <w:jc w:val="center"/>
      </w:pPr>
      <w:r>
        <w:rPr>
          <w:color w:val="606060"/>
          <w:sz w:val="26"/>
        </w:rPr>
        <w:t>顧客横展開戦略 ＆ ラクスル対応差別化戦略</w:t>
      </w:r>
    </w:p>
    <w:p>
      <w:pPr>
        <w:spacing w:after="600"/>
        <w:jc w:val="center"/>
      </w:pPr>
      <w:r>
        <w:rPr>
          <w:color w:val="808080"/>
          <w:sz w:val="20"/>
        </w:rPr>
        <w:t>2026年5月　戦略コンサルティング資料</w:t>
      </w:r>
    </w:p>
    <w:p>
      <w:r>
        <w:br w:type="page"/>
      </w:r>
    </w:p>
    <w:p>
      <w:pPr>
        <w:spacing w:before="360" w:after="120"/>
        <w:pBdr>
          <w:bottom w:val="single" w:sz="6" w:space="4" w:color="1F497D"/>
        </w:pBdr>
      </w:pPr>
      <w:r>
        <w:rPr>
          <w:b/>
          <w:color w:val="1F497D"/>
          <w:sz w:val="32"/>
        </w:rPr>
        <w:t>エグゼクティブサマリー</w:t>
      </w:r>
    </w:p>
    <w:p>
      <w:pPr>
        <w:spacing w:after="80"/>
      </w:pPr>
      <w:r>
        <w:t>本資料では、DM Connectが赤字（2025年度▲1,693万円）から黒字転換するための2つの重点戦略を提示する。</w:t>
      </w:r>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shd w:val="clear" w:color="auto" w:fill="2E74B5"/>
            <w:tcW w:w="1701" w:type="dxa"/>
          </w:tcPr>
          <w:p>
            <w:pPr>
              <w:spacing w:after="0"/>
            </w:pPr>
            <w:r/>
            <w:r>
              <w:rPr>
                <w:b/>
                <w:color w:val="FFFFFF"/>
                <w:sz w:val="20"/>
              </w:rPr>
              <w:t>戦略</w:t>
            </w:r>
          </w:p>
        </w:tc>
        <w:tc>
          <w:tcPr>
            <w:tcW w:type="dxa" w:w="3024"/>
            <w:shd w:val="clear" w:color="auto" w:fill="2E74B5"/>
            <w:tcW w:w="3969" w:type="dxa"/>
          </w:tcPr>
          <w:p>
            <w:pPr>
              <w:spacing w:after="0"/>
            </w:pPr>
            <w:r/>
            <w:r>
              <w:rPr>
                <w:b/>
                <w:color w:val="FFFFFF"/>
                <w:sz w:val="20"/>
              </w:rPr>
              <w:t>核心</w:t>
            </w:r>
          </w:p>
        </w:tc>
        <w:tc>
          <w:tcPr>
            <w:tcW w:type="dxa" w:w="3024"/>
            <w:shd w:val="clear" w:color="auto" w:fill="2E74B5"/>
            <w:tcW w:w="2551" w:type="dxa"/>
          </w:tcPr>
          <w:p>
            <w:pPr>
              <w:spacing w:after="0"/>
            </w:pPr>
            <w:r/>
            <w:r>
              <w:rPr>
                <w:b/>
                <w:color w:val="FFFFFF"/>
                <w:sz w:val="20"/>
              </w:rPr>
              <w:t>期待インパクト</w:t>
            </w:r>
          </w:p>
        </w:tc>
      </w:tr>
      <w:tr>
        <w:tc>
          <w:tcPr>
            <w:tcW w:type="dxa" w:w="3024"/>
            <w:shd w:val="clear" w:color="auto" w:fill="EBF3FB"/>
            <w:tcW w:w="1701" w:type="dxa"/>
          </w:tcPr>
          <w:p>
            <w:pPr>
              <w:spacing w:after="0"/>
            </w:pPr>
            <w:r/>
            <w:r>
              <w:rPr>
                <w:sz w:val="20"/>
              </w:rPr>
              <w:t>B. 顧客横展開</w:t>
            </w:r>
          </w:p>
        </w:tc>
        <w:tc>
          <w:tcPr>
            <w:tcW w:type="dxa" w:w="3024"/>
            <w:shd w:val="clear" w:color="auto" w:fill="EBF3FB"/>
            <w:tcW w:w="3969" w:type="dxa"/>
          </w:tcPr>
          <w:p>
            <w:pPr>
              <w:spacing w:after="0"/>
            </w:pPr>
            <w:r/>
            <w:r>
              <w:rPr>
                <w:sz w:val="20"/>
              </w:rPr>
              <w:t>ベースフードの成功モデル（解約ウィンバック）を同類業種に展開し、エンドクライアント直接売上を創出</w:t>
            </w:r>
          </w:p>
        </w:tc>
        <w:tc>
          <w:tcPr>
            <w:tcW w:type="dxa" w:w="3024"/>
            <w:shd w:val="clear" w:color="auto" w:fill="EBF3FB"/>
            <w:tcW w:w="2551" w:type="dxa"/>
          </w:tcPr>
          <w:p>
            <w:pPr>
              <w:spacing w:after="0"/>
            </w:pPr>
            <w:r/>
            <w:r>
              <w:rPr>
                <w:sz w:val="20"/>
              </w:rPr>
              <w:t>売上＋3,000〜5,000万円/年（目標）</w:t>
            </w:r>
          </w:p>
        </w:tc>
      </w:tr>
      <w:tr>
        <w:tc>
          <w:tcPr>
            <w:tcW w:type="dxa" w:w="3024"/>
            <w:shd w:val="clear" w:color="auto" w:fill="FFFFFF"/>
            <w:tcW w:w="1701" w:type="dxa"/>
          </w:tcPr>
          <w:p>
            <w:pPr>
              <w:spacing w:after="0"/>
            </w:pPr>
            <w:r/>
            <w:r>
              <w:rPr>
                <w:sz w:val="20"/>
              </w:rPr>
              <w:t>C. ラクスル差別化</w:t>
            </w:r>
          </w:p>
        </w:tc>
        <w:tc>
          <w:tcPr>
            <w:tcW w:type="dxa" w:w="3024"/>
            <w:shd w:val="clear" w:color="auto" w:fill="FFFFFF"/>
            <w:tcW w:w="3969" w:type="dxa"/>
          </w:tcPr>
          <w:p>
            <w:pPr>
              <w:spacing w:after="0"/>
            </w:pPr>
            <w:r/>
            <w:r>
              <w:rPr>
                <w:sz w:val="20"/>
              </w:rPr>
              <w:t>低価格・スピードのラクスルに対し「シナリオ設計コンサル＋SHANON深連携」で中堅BtoC市場のポジションを確立</w:t>
            </w:r>
          </w:p>
        </w:tc>
        <w:tc>
          <w:tcPr>
            <w:tcW w:type="dxa" w:w="3024"/>
            <w:shd w:val="clear" w:color="auto" w:fill="FFFFFF"/>
            <w:tcW w:w="2551" w:type="dxa"/>
          </w:tcPr>
          <w:p>
            <w:pPr>
              <w:spacing w:after="0"/>
            </w:pPr>
            <w:r/>
            <w:r>
              <w:rPr>
                <w:sz w:val="20"/>
              </w:rPr>
              <w:t>既存顧客維持＋新規顧客のチャーン防止</w:t>
            </w:r>
          </w:p>
        </w:tc>
      </w:tr>
    </w:tbl>
    <w:p/>
    <w:p>
      <w:pPr>
        <w:spacing w:before="360" w:after="120"/>
        <w:pBdr>
          <w:bottom w:val="single" w:sz="6" w:space="4" w:color="1F497D"/>
        </w:pBdr>
      </w:pPr>
      <w:r>
        <w:rPr>
          <w:b/>
          <w:color w:val="1F497D"/>
          <w:sz w:val="32"/>
        </w:rPr>
        <w:t>戦略B ｜ ベースフード成功モデルの横展開</w:t>
      </w:r>
    </w:p>
    <w:p>
      <w:pPr>
        <w:spacing w:before="240" w:after="80"/>
      </w:pPr>
      <w:r>
        <w:rPr>
          <w:b/>
          <w:color w:val="2E74B5"/>
          <w:sz w:val="26"/>
        </w:rPr>
        <w:t>B-1. ベースフードの成功パターン分析</w:t>
      </w:r>
    </w:p>
    <w:p>
      <w:pPr>
        <w:spacing w:after="80"/>
      </w:pPr>
      <w:r>
        <w:t>ベースフードは、解約直後の顧客に対してウィンバックDMを自動送付するシナリオを構築し、年間20万通の送付で成果を上げている。このパターンは以下の3要素で構成されている：</w:t>
      </w:r>
    </w:p>
    <w:p>
      <w:pPr>
        <w:pStyle w:val="ListBullet"/>
        <w:spacing w:after="40"/>
        <w:ind w:left="454"/>
      </w:pPr>
      <w:r>
        <w:rPr>
          <w:sz w:val="21"/>
        </w:rPr>
        <w:t>トリガー：解約アクションの発生（行動ベースの自動起動）</w:t>
      </w:r>
    </w:p>
    <w:p>
      <w:pPr>
        <w:pStyle w:val="ListBullet"/>
        <w:spacing w:after="40"/>
        <w:ind w:left="454"/>
      </w:pPr>
      <w:r>
        <w:rPr>
          <w:sz w:val="21"/>
        </w:rPr>
        <w:t>コンテンツ：再入会を促す個別メッセージ＋特典オファー（バリアブル印刷）</w:t>
      </w:r>
    </w:p>
    <w:p>
      <w:pPr>
        <w:pStyle w:val="ListBullet"/>
        <w:spacing w:after="40"/>
        <w:ind w:left="454"/>
      </w:pPr>
      <w:r>
        <w:rPr>
          <w:sz w:val="21"/>
        </w:rPr>
        <w:t>タイミング：解約直後〜数日以内（心理的に意思決定が揺れているタイミング）</w:t>
      </w:r>
    </w:p>
    <w:p>
      <w:pPr>
        <w:spacing w:after="80"/>
      </w:pPr>
      <w:r>
        <w:t>このパターンの横展開価値は高い。理由は、サブスクリプションモデルを持つ企業ほど「解約後ウィンバック」のROIが高く、かつDMは感情的な訴求においてメールより効果的だからである。</w:t>
      </w:r>
    </w:p>
    <w:p>
      <w:pPr>
        <w:spacing w:before="240" w:after="80"/>
      </w:pPr>
      <w:r>
        <w:rPr>
          <w:b/>
          <w:color w:val="2E74B5"/>
          <w:sz w:val="26"/>
        </w:rPr>
        <w:t>B-2. 横展開ターゲット業種と優先順位</w:t>
      </w:r>
    </w:p>
    <w:p>
      <w:pPr>
        <w:spacing w:after="80"/>
      </w:pPr>
      <w:r>
        <w:t>以下の業種を、解約ウィンバックニーズの強さと市場規模から優先度付けした。</w:t>
      </w:r>
    </w:p>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shd w:val="clear" w:color="auto" w:fill="2E74B5"/>
            <w:tcW w:w="1984" w:type="dxa"/>
          </w:tcPr>
          <w:p>
            <w:pPr>
              <w:spacing w:after="0"/>
            </w:pPr>
            <w:r/>
            <w:r>
              <w:rPr>
                <w:b/>
                <w:color w:val="FFFFFF"/>
                <w:sz w:val="20"/>
              </w:rPr>
              <w:t>業種</w:t>
            </w:r>
          </w:p>
        </w:tc>
        <w:tc>
          <w:tcPr>
            <w:tcW w:type="dxa" w:w="2268"/>
            <w:shd w:val="clear" w:color="auto" w:fill="2E74B5"/>
            <w:tcW w:w="1984" w:type="dxa"/>
          </w:tcPr>
          <w:p>
            <w:pPr>
              <w:spacing w:after="0"/>
            </w:pPr>
            <w:r/>
            <w:r>
              <w:rPr>
                <w:b/>
                <w:color w:val="FFFFFF"/>
                <w:sz w:val="20"/>
              </w:rPr>
              <w:t>ウィンバックニーズ</w:t>
            </w:r>
          </w:p>
        </w:tc>
        <w:tc>
          <w:tcPr>
            <w:tcW w:type="dxa" w:w="2268"/>
            <w:shd w:val="clear" w:color="auto" w:fill="2E74B5"/>
            <w:tcW w:w="1417" w:type="dxa"/>
          </w:tcPr>
          <w:p>
            <w:pPr>
              <w:spacing w:after="0"/>
            </w:pPr>
            <w:r/>
            <w:r>
              <w:rPr>
                <w:b/>
                <w:color w:val="FFFFFF"/>
                <w:sz w:val="20"/>
              </w:rPr>
              <w:t>DM適合性</w:t>
            </w:r>
          </w:p>
        </w:tc>
        <w:tc>
          <w:tcPr>
            <w:tcW w:type="dxa" w:w="2268"/>
            <w:shd w:val="clear" w:color="auto" w:fill="2E74B5"/>
            <w:tcW w:w="1134" w:type="dxa"/>
          </w:tcPr>
          <w:p>
            <w:pPr>
              <w:spacing w:after="0"/>
            </w:pPr>
            <w:r/>
            <w:r>
              <w:rPr>
                <w:b/>
                <w:color w:val="FFFFFF"/>
                <w:sz w:val="20"/>
              </w:rPr>
              <w:t>優先度</w:t>
            </w:r>
          </w:p>
        </w:tc>
      </w:tr>
      <w:tr>
        <w:tc>
          <w:tcPr>
            <w:tcW w:type="dxa" w:w="2268"/>
            <w:shd w:val="clear" w:color="auto" w:fill="EBF3FB"/>
            <w:tcW w:w="1984" w:type="dxa"/>
          </w:tcPr>
          <w:p>
            <w:pPr>
              <w:spacing w:after="0"/>
            </w:pPr>
            <w:r/>
            <w:r>
              <w:rPr>
                <w:sz w:val="20"/>
              </w:rPr>
              <w:t>配食・ミールキットサブスク</w:t>
            </w:r>
          </w:p>
        </w:tc>
        <w:tc>
          <w:tcPr>
            <w:tcW w:type="dxa" w:w="2268"/>
            <w:shd w:val="clear" w:color="auto" w:fill="EBF3FB"/>
            <w:tcW w:w="1984" w:type="dxa"/>
          </w:tcPr>
          <w:p>
            <w:pPr>
              <w:spacing w:after="0"/>
            </w:pPr>
            <w:r/>
            <w:r>
              <w:rPr>
                <w:sz w:val="20"/>
              </w:rPr>
              <w:t>Oisix、ヨシケイなど大手多数。解約率が高く再獲得単価が重要</w:t>
            </w:r>
          </w:p>
        </w:tc>
        <w:tc>
          <w:tcPr>
            <w:tcW w:type="dxa" w:w="2268"/>
            <w:shd w:val="clear" w:color="auto" w:fill="EBF3FB"/>
            <w:tcW w:w="1417" w:type="dxa"/>
          </w:tcPr>
          <w:p>
            <w:pPr>
              <w:spacing w:after="0"/>
            </w:pPr>
            <w:r/>
            <w:r>
              <w:rPr>
                <w:sz w:val="20"/>
              </w:rPr>
              <w:t>◎ 高単価商品で投資対効果が出やすい</w:t>
            </w:r>
          </w:p>
        </w:tc>
        <w:tc>
          <w:tcPr>
            <w:tcW w:type="dxa" w:w="2268"/>
            <w:shd w:val="clear" w:color="auto" w:fill="EBF3FB"/>
            <w:tcW w:w="1134" w:type="dxa"/>
          </w:tcPr>
          <w:p>
            <w:pPr>
              <w:spacing w:after="0"/>
            </w:pPr>
            <w:r/>
            <w:r>
              <w:rPr>
                <w:sz w:val="20"/>
              </w:rPr>
              <w:t>★★★</w:t>
            </w:r>
          </w:p>
        </w:tc>
      </w:tr>
      <w:tr>
        <w:tc>
          <w:tcPr>
            <w:tcW w:type="dxa" w:w="2268"/>
            <w:shd w:val="clear" w:color="auto" w:fill="FFFFFF"/>
            <w:tcW w:w="1984" w:type="dxa"/>
          </w:tcPr>
          <w:p>
            <w:pPr>
              <w:spacing w:after="0"/>
            </w:pPr>
            <w:r/>
            <w:r>
              <w:rPr>
                <w:sz w:val="20"/>
              </w:rPr>
              <w:t>フィットネス・ジム</w:t>
            </w:r>
          </w:p>
        </w:tc>
        <w:tc>
          <w:tcPr>
            <w:tcW w:type="dxa" w:w="2268"/>
            <w:shd w:val="clear" w:color="auto" w:fill="FFFFFF"/>
            <w:tcW w:w="1984" w:type="dxa"/>
          </w:tcPr>
          <w:p>
            <w:pPr>
              <w:spacing w:after="0"/>
            </w:pPr>
            <w:r/>
            <w:r>
              <w:rPr>
                <w:sz w:val="20"/>
              </w:rPr>
              <w:t>月次解約が常態化。退会後30日以内の復帰率が最も高い</w:t>
            </w:r>
          </w:p>
        </w:tc>
        <w:tc>
          <w:tcPr>
            <w:tcW w:type="dxa" w:w="2268"/>
            <w:shd w:val="clear" w:color="auto" w:fill="FFFFFF"/>
            <w:tcW w:w="1417" w:type="dxa"/>
          </w:tcPr>
          <w:p>
            <w:pPr>
              <w:spacing w:after="0"/>
            </w:pPr>
            <w:r/>
            <w:r>
              <w:rPr>
                <w:sz w:val="20"/>
              </w:rPr>
              <w:t>◎ 感情訴求＋体験価値を訴えやすいメディア</w:t>
            </w:r>
          </w:p>
        </w:tc>
        <w:tc>
          <w:tcPr>
            <w:tcW w:type="dxa" w:w="2268"/>
            <w:shd w:val="clear" w:color="auto" w:fill="FFFFFF"/>
            <w:tcW w:w="1134" w:type="dxa"/>
          </w:tcPr>
          <w:p>
            <w:pPr>
              <w:spacing w:after="0"/>
            </w:pPr>
            <w:r/>
            <w:r>
              <w:rPr>
                <w:sz w:val="20"/>
              </w:rPr>
              <w:t>★★★</w:t>
            </w:r>
          </w:p>
        </w:tc>
      </w:tr>
      <w:tr>
        <w:tc>
          <w:tcPr>
            <w:tcW w:type="dxa" w:w="2268"/>
            <w:shd w:val="clear" w:color="auto" w:fill="EBF3FB"/>
            <w:tcW w:w="1984" w:type="dxa"/>
          </w:tcPr>
          <w:p>
            <w:pPr>
              <w:spacing w:after="0"/>
            </w:pPr>
            <w:r/>
            <w:r>
              <w:rPr>
                <w:sz w:val="20"/>
              </w:rPr>
              <w:t>化粧品・美容定期購入</w:t>
            </w:r>
          </w:p>
        </w:tc>
        <w:tc>
          <w:tcPr>
            <w:tcW w:type="dxa" w:w="2268"/>
            <w:shd w:val="clear" w:color="auto" w:fill="EBF3FB"/>
            <w:tcW w:w="1984" w:type="dxa"/>
          </w:tcPr>
          <w:p>
            <w:pPr>
              <w:spacing w:after="0"/>
            </w:pPr>
            <w:r/>
            <w:r>
              <w:rPr>
                <w:sz w:val="20"/>
              </w:rPr>
              <w:t>EC定期通販市場が急拡大。解約防止が最重要KPI</w:t>
            </w:r>
          </w:p>
        </w:tc>
        <w:tc>
          <w:tcPr>
            <w:tcW w:type="dxa" w:w="2268"/>
            <w:shd w:val="clear" w:color="auto" w:fill="EBF3FB"/>
            <w:tcW w:w="1417" w:type="dxa"/>
          </w:tcPr>
          <w:p>
            <w:pPr>
              <w:spacing w:after="0"/>
            </w:pPr>
            <w:r/>
            <w:r>
              <w:rPr>
                <w:sz w:val="20"/>
              </w:rPr>
              <w:t>○ 視覚的訴求がDMで可能</w:t>
            </w:r>
          </w:p>
        </w:tc>
        <w:tc>
          <w:tcPr>
            <w:tcW w:type="dxa" w:w="2268"/>
            <w:shd w:val="clear" w:color="auto" w:fill="EBF3FB"/>
            <w:tcW w:w="1134" w:type="dxa"/>
          </w:tcPr>
          <w:p>
            <w:pPr>
              <w:spacing w:after="0"/>
            </w:pPr>
            <w:r/>
            <w:r>
              <w:rPr>
                <w:sz w:val="20"/>
              </w:rPr>
              <w:t>★★☆</w:t>
            </w:r>
          </w:p>
        </w:tc>
      </w:tr>
      <w:tr>
        <w:tc>
          <w:tcPr>
            <w:tcW w:type="dxa" w:w="2268"/>
            <w:shd w:val="clear" w:color="auto" w:fill="FFFFFF"/>
            <w:tcW w:w="1984" w:type="dxa"/>
          </w:tcPr>
          <w:p>
            <w:pPr>
              <w:spacing w:after="0"/>
            </w:pPr>
            <w:r/>
            <w:r>
              <w:rPr>
                <w:sz w:val="20"/>
              </w:rPr>
              <w:t>保険（生命・医療）</w:t>
            </w:r>
          </w:p>
        </w:tc>
        <w:tc>
          <w:tcPr>
            <w:tcW w:type="dxa" w:w="2268"/>
            <w:shd w:val="clear" w:color="auto" w:fill="FFFFFF"/>
            <w:tcW w:w="1984" w:type="dxa"/>
          </w:tcPr>
          <w:p>
            <w:pPr>
              <w:spacing w:after="0"/>
            </w:pPr>
            <w:r/>
            <w:r>
              <w:rPr>
                <w:sz w:val="20"/>
              </w:rPr>
              <w:t>更新・継続案内に大量DM活用実績あり</w:t>
            </w:r>
          </w:p>
        </w:tc>
        <w:tc>
          <w:tcPr>
            <w:tcW w:type="dxa" w:w="2268"/>
            <w:shd w:val="clear" w:color="auto" w:fill="FFFFFF"/>
            <w:tcW w:w="1417" w:type="dxa"/>
          </w:tcPr>
          <w:p>
            <w:pPr>
              <w:spacing w:after="0"/>
            </w:pPr>
            <w:r/>
            <w:r>
              <w:rPr>
                <w:sz w:val="20"/>
              </w:rPr>
              <w:t>○ 信頼性・安心感の訴求に紙媒体が有効</w:t>
            </w:r>
          </w:p>
        </w:tc>
        <w:tc>
          <w:tcPr>
            <w:tcW w:type="dxa" w:w="2268"/>
            <w:shd w:val="clear" w:color="auto" w:fill="FFFFFF"/>
            <w:tcW w:w="1134" w:type="dxa"/>
          </w:tcPr>
          <w:p>
            <w:pPr>
              <w:spacing w:after="0"/>
            </w:pPr>
            <w:r/>
            <w:r>
              <w:rPr>
                <w:sz w:val="20"/>
              </w:rPr>
              <w:t>★★☆</w:t>
            </w:r>
          </w:p>
        </w:tc>
      </w:tr>
      <w:tr>
        <w:tc>
          <w:tcPr>
            <w:tcW w:type="dxa" w:w="2268"/>
            <w:shd w:val="clear" w:color="auto" w:fill="EBF3FB"/>
            <w:tcW w:w="1984" w:type="dxa"/>
          </w:tcPr>
          <w:p>
            <w:pPr>
              <w:spacing w:after="0"/>
            </w:pPr>
            <w:r/>
            <w:r>
              <w:rPr>
                <w:sz w:val="20"/>
              </w:rPr>
              <w:t>SaaS・デジタルサービス</w:t>
            </w:r>
          </w:p>
        </w:tc>
        <w:tc>
          <w:tcPr>
            <w:tcW w:type="dxa" w:w="2268"/>
            <w:shd w:val="clear" w:color="auto" w:fill="EBF3FB"/>
            <w:tcW w:w="1984" w:type="dxa"/>
          </w:tcPr>
          <w:p>
            <w:pPr>
              <w:spacing w:after="0"/>
            </w:pPr>
            <w:r/>
            <w:r>
              <w:rPr>
                <w:sz w:val="20"/>
              </w:rPr>
              <w:t>解約ユーザーへのオフライン接点として差別化</w:t>
            </w:r>
          </w:p>
        </w:tc>
        <w:tc>
          <w:tcPr>
            <w:tcW w:type="dxa" w:w="2268"/>
            <w:shd w:val="clear" w:color="auto" w:fill="EBF3FB"/>
            <w:tcW w:w="1417" w:type="dxa"/>
          </w:tcPr>
          <w:p>
            <w:pPr>
              <w:spacing w:after="0"/>
            </w:pPr>
            <w:r/>
            <w:r>
              <w:rPr>
                <w:sz w:val="20"/>
              </w:rPr>
              <w:t>△ 単価に見合うか要検討</w:t>
            </w:r>
          </w:p>
        </w:tc>
        <w:tc>
          <w:tcPr>
            <w:tcW w:type="dxa" w:w="2268"/>
            <w:shd w:val="clear" w:color="auto" w:fill="EBF3FB"/>
            <w:tcW w:w="1134" w:type="dxa"/>
          </w:tcPr>
          <w:p>
            <w:pPr>
              <w:spacing w:after="0"/>
            </w:pPr>
            <w:r/>
            <w:r>
              <w:rPr>
                <w:sz w:val="20"/>
              </w:rPr>
              <w:t>★☆☆</w:t>
            </w:r>
          </w:p>
        </w:tc>
      </w:tr>
    </w:tbl>
    <w:p/>
    <w:p>
      <w:pPr>
        <w:spacing w:before="240" w:after="80"/>
      </w:pPr>
      <w:r>
        <w:rPr>
          <w:b/>
          <w:color w:val="2E74B5"/>
          <w:sz w:val="26"/>
        </w:rPr>
        <w:t>B-3. 営業アプローチ設計</w:t>
      </w:r>
    </w:p>
    <w:p>
      <w:pPr>
        <w:spacing w:before="160" w:after="40"/>
      </w:pPr>
      <w:r>
        <w:rPr>
          <w:b/>
          <w:color w:val="404040"/>
          <w:sz w:val="22"/>
        </w:rPr>
        <w:t>① ベースフードを「名刺」として使う</w:t>
      </w:r>
    </w:p>
    <w:p>
      <w:pPr>
        <w:spacing w:after="80"/>
      </w:pPr>
      <w:r>
        <w:t>ベースフードの事例は、同じ「サブスクB2C企業」への最強の営業ツールになる。「同業種でこれだけの成果が出た」という具体的な数字（年20万通、ウィンバック率X%）を前面に出したケーススタディ資料を作り、アポを取りにいく。</w:t>
      </w:r>
    </w:p>
    <w:p>
      <w:pPr>
        <w:spacing w:before="160" w:after="40"/>
      </w:pPr>
      <w:r>
        <w:rPr>
          <w:b/>
          <w:color w:val="404040"/>
          <w:sz w:val="22"/>
        </w:rPr>
        <w:t>② ターゲット企業の入口はMA担当者</w:t>
      </w:r>
    </w:p>
    <w:p>
      <w:pPr>
        <w:spacing w:after="80"/>
      </w:pPr>
      <w:r>
        <w:t>エンドクライアントの担当者は「MA/CRM運用担当」であることが多い。このペルソナへの訴求文言は「メールだけで解約を取り戻そうとしていませんか？」が刺さる。シャノンSMPとの連携実績をハイライトし、ノーコードで使えることを強調すること。</w:t>
      </w:r>
    </w:p>
    <w:p>
      <w:pPr>
        <w:spacing w:before="160" w:after="40"/>
      </w:pPr>
      <w:r>
        <w:rPr>
          <w:b/>
          <w:color w:val="404040"/>
          <w:sz w:val="22"/>
        </w:rPr>
        <w:t>③ パートナー経由 vs 直接開拓の使い分け</w:t>
      </w:r>
    </w:p>
    <w:p>
      <w:pPr>
        <w:spacing w:after="80"/>
      </w:pPr>
      <w:r>
        <w:t>シャノンやエンバーポイント経由では既存のMA利用者にしかリーチできない。より多くの業種に広げるためには、HubSpotやSalesforce利用企業への直接アプローチも検討すべきだ。ただし直接開拓はAPI実装が必要なパターンAになることが多く、導入ハードルが上がる点に注意。</w:t>
      </w:r>
    </w:p>
    <w:p>
      <w:pPr>
        <w:spacing w:before="240" w:after="80"/>
      </w:pPr>
      <w:r>
        <w:rPr>
          <w:b/>
          <w:color w:val="2E74B5"/>
          <w:sz w:val="26"/>
        </w:rPr>
        <w:t>B-4. 戦略B の数値目標（仮置き）</w:t>
      </w:r>
    </w:p>
    <w:p>
      <w:pPr>
        <w:spacing w:after="80"/>
      </w:pPr>
      <w:r>
        <w:t>以下はウィンバックDMの横展開で積み上げられる売上試算の目安。前提：1顧客あたり年間5万〜30万通、単価80円（利用料＋郵送込み概算）。</w:t>
      </w:r>
    </w:p>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shd w:val="clear" w:color="auto" w:fill="2E74B5"/>
            <w:tcW w:w="1701" w:type="dxa"/>
          </w:tcPr>
          <w:p>
            <w:pPr>
              <w:spacing w:after="0"/>
            </w:pPr>
            <w:r/>
            <w:r>
              <w:rPr>
                <w:b/>
                <w:color w:val="FFFFFF"/>
                <w:sz w:val="20"/>
              </w:rPr>
              <w:t>シナリオ</w:t>
            </w:r>
          </w:p>
        </w:tc>
        <w:tc>
          <w:tcPr>
            <w:tcW w:type="dxa" w:w="2268"/>
            <w:shd w:val="clear" w:color="auto" w:fill="2E74B5"/>
            <w:tcW w:w="1701" w:type="dxa"/>
          </w:tcPr>
          <w:p>
            <w:pPr>
              <w:spacing w:after="0"/>
            </w:pPr>
            <w:r/>
            <w:r>
              <w:rPr>
                <w:b/>
                <w:color w:val="FFFFFF"/>
                <w:sz w:val="20"/>
              </w:rPr>
              <w:t>新規顧客数</w:t>
            </w:r>
          </w:p>
        </w:tc>
        <w:tc>
          <w:tcPr>
            <w:tcW w:type="dxa" w:w="2268"/>
            <w:shd w:val="clear" w:color="auto" w:fill="2E74B5"/>
            <w:tcW w:w="1701" w:type="dxa"/>
          </w:tcPr>
          <w:p>
            <w:pPr>
              <w:spacing w:after="0"/>
            </w:pPr>
            <w:r/>
            <w:r>
              <w:rPr>
                <w:b/>
                <w:color w:val="FFFFFF"/>
                <w:sz w:val="20"/>
              </w:rPr>
              <w:t>年間通数</w:t>
            </w:r>
          </w:p>
        </w:tc>
        <w:tc>
          <w:tcPr>
            <w:tcW w:type="dxa" w:w="2268"/>
            <w:shd w:val="clear" w:color="auto" w:fill="2E74B5"/>
            <w:tcW w:w="1701" w:type="dxa"/>
          </w:tcPr>
          <w:p>
            <w:pPr>
              <w:spacing w:after="0"/>
            </w:pPr>
            <w:r/>
            <w:r>
              <w:rPr>
                <w:b/>
                <w:color w:val="FFFFFF"/>
                <w:sz w:val="20"/>
              </w:rPr>
              <w:t>概算売上増</w:t>
            </w:r>
          </w:p>
        </w:tc>
      </w:tr>
      <w:tr>
        <w:tc>
          <w:tcPr>
            <w:tcW w:type="dxa" w:w="2268"/>
            <w:shd w:val="clear" w:color="auto" w:fill="EBF3FB"/>
            <w:tcW w:w="1701" w:type="dxa"/>
          </w:tcPr>
          <w:p>
            <w:pPr>
              <w:spacing w:after="0"/>
            </w:pPr>
            <w:r/>
            <w:r>
              <w:rPr>
                <w:sz w:val="20"/>
              </w:rPr>
              <w:t>保守</w:t>
            </w:r>
          </w:p>
        </w:tc>
        <w:tc>
          <w:tcPr>
            <w:tcW w:type="dxa" w:w="2268"/>
            <w:shd w:val="clear" w:color="auto" w:fill="EBF3FB"/>
            <w:tcW w:w="1701" w:type="dxa"/>
          </w:tcPr>
          <w:p>
            <w:pPr>
              <w:spacing w:after="0"/>
            </w:pPr>
            <w:r/>
            <w:r>
              <w:rPr>
                <w:sz w:val="20"/>
              </w:rPr>
              <w:t>3社</w:t>
            </w:r>
          </w:p>
        </w:tc>
        <w:tc>
          <w:tcPr>
            <w:tcW w:type="dxa" w:w="2268"/>
            <w:shd w:val="clear" w:color="auto" w:fill="EBF3FB"/>
            <w:tcW w:w="1701" w:type="dxa"/>
          </w:tcPr>
          <w:p>
            <w:pPr>
              <w:spacing w:after="0"/>
            </w:pPr>
            <w:r/>
            <w:r>
              <w:rPr>
                <w:sz w:val="20"/>
              </w:rPr>
              <w:t>30万通</w:t>
            </w:r>
          </w:p>
        </w:tc>
        <w:tc>
          <w:tcPr>
            <w:tcW w:type="dxa" w:w="2268"/>
            <w:shd w:val="clear" w:color="auto" w:fill="EBF3FB"/>
            <w:tcW w:w="1701" w:type="dxa"/>
          </w:tcPr>
          <w:p>
            <w:pPr>
              <w:spacing w:after="0"/>
            </w:pPr>
            <w:r/>
            <w:r>
              <w:rPr>
                <w:sz w:val="20"/>
              </w:rPr>
              <w:t>約2,400万円</w:t>
            </w:r>
          </w:p>
        </w:tc>
      </w:tr>
      <w:tr>
        <w:tc>
          <w:tcPr>
            <w:tcW w:type="dxa" w:w="2268"/>
            <w:shd w:val="clear" w:color="auto" w:fill="FFFFFF"/>
            <w:tcW w:w="1701" w:type="dxa"/>
          </w:tcPr>
          <w:p>
            <w:pPr>
              <w:spacing w:after="0"/>
            </w:pPr>
            <w:r/>
            <w:r>
              <w:rPr>
                <w:sz w:val="20"/>
              </w:rPr>
              <w:t>中位</w:t>
            </w:r>
          </w:p>
        </w:tc>
        <w:tc>
          <w:tcPr>
            <w:tcW w:type="dxa" w:w="2268"/>
            <w:shd w:val="clear" w:color="auto" w:fill="FFFFFF"/>
            <w:tcW w:w="1701" w:type="dxa"/>
          </w:tcPr>
          <w:p>
            <w:pPr>
              <w:spacing w:after="0"/>
            </w:pPr>
            <w:r/>
            <w:r>
              <w:rPr>
                <w:sz w:val="20"/>
              </w:rPr>
              <w:t>5社</w:t>
            </w:r>
          </w:p>
        </w:tc>
        <w:tc>
          <w:tcPr>
            <w:tcW w:type="dxa" w:w="2268"/>
            <w:shd w:val="clear" w:color="auto" w:fill="FFFFFF"/>
            <w:tcW w:w="1701" w:type="dxa"/>
          </w:tcPr>
          <w:p>
            <w:pPr>
              <w:spacing w:after="0"/>
            </w:pPr>
            <w:r/>
            <w:r>
              <w:rPr>
                <w:sz w:val="20"/>
              </w:rPr>
              <w:t>60万通</w:t>
            </w:r>
          </w:p>
        </w:tc>
        <w:tc>
          <w:tcPr>
            <w:tcW w:type="dxa" w:w="2268"/>
            <w:shd w:val="clear" w:color="auto" w:fill="FFFFFF"/>
            <w:tcW w:w="1701" w:type="dxa"/>
          </w:tcPr>
          <w:p>
            <w:pPr>
              <w:spacing w:after="0"/>
            </w:pPr>
            <w:r/>
            <w:r>
              <w:rPr>
                <w:sz w:val="20"/>
              </w:rPr>
              <w:t>約4,800万円</w:t>
            </w:r>
          </w:p>
        </w:tc>
      </w:tr>
      <w:tr>
        <w:tc>
          <w:tcPr>
            <w:tcW w:type="dxa" w:w="2268"/>
            <w:shd w:val="clear" w:color="auto" w:fill="EBF3FB"/>
            <w:tcW w:w="1701" w:type="dxa"/>
          </w:tcPr>
          <w:p>
            <w:pPr>
              <w:spacing w:after="0"/>
            </w:pPr>
            <w:r/>
            <w:r>
              <w:rPr>
                <w:sz w:val="20"/>
              </w:rPr>
              <w:t>強気</w:t>
            </w:r>
          </w:p>
        </w:tc>
        <w:tc>
          <w:tcPr>
            <w:tcW w:type="dxa" w:w="2268"/>
            <w:shd w:val="clear" w:color="auto" w:fill="EBF3FB"/>
            <w:tcW w:w="1701" w:type="dxa"/>
          </w:tcPr>
          <w:p>
            <w:pPr>
              <w:spacing w:after="0"/>
            </w:pPr>
            <w:r/>
            <w:r>
              <w:rPr>
                <w:sz w:val="20"/>
              </w:rPr>
              <w:t>10社</w:t>
            </w:r>
          </w:p>
        </w:tc>
        <w:tc>
          <w:tcPr>
            <w:tcW w:type="dxa" w:w="2268"/>
            <w:shd w:val="clear" w:color="auto" w:fill="EBF3FB"/>
            <w:tcW w:w="1701" w:type="dxa"/>
          </w:tcPr>
          <w:p>
            <w:pPr>
              <w:spacing w:after="0"/>
            </w:pPr>
            <w:r/>
            <w:r>
              <w:rPr>
                <w:sz w:val="20"/>
              </w:rPr>
              <w:t>120万通</w:t>
            </w:r>
          </w:p>
        </w:tc>
        <w:tc>
          <w:tcPr>
            <w:tcW w:type="dxa" w:w="2268"/>
            <w:shd w:val="clear" w:color="auto" w:fill="EBF3FB"/>
            <w:tcW w:w="1701" w:type="dxa"/>
          </w:tcPr>
          <w:p>
            <w:pPr>
              <w:spacing w:after="0"/>
            </w:pPr>
            <w:r/>
            <w:r>
              <w:rPr>
                <w:sz w:val="20"/>
              </w:rPr>
              <w:t>約9,600万円</w:t>
            </w:r>
          </w:p>
        </w:tc>
      </w:tr>
    </w:tbl>
    <w:p/>
    <w:p>
      <w:pPr>
        <w:spacing w:after="80"/>
      </w:pPr>
      <w:r>
        <w:t>※ 変動費率87%を考慮すると、売上増のうち粗利に残るのは13%程度。固定費をカバーするには中位〜強気シナリオが必要。</w:t>
      </w:r>
    </w:p>
    <w:p>
      <w:r>
        <w:br w:type="page"/>
      </w:r>
    </w:p>
    <w:p>
      <w:pPr>
        <w:spacing w:before="360" w:after="120"/>
        <w:pBdr>
          <w:bottom w:val="single" w:sz="6" w:space="4" w:color="1F497D"/>
        </w:pBdr>
      </w:pPr>
      <w:r>
        <w:rPr>
          <w:b/>
          <w:color w:val="1F497D"/>
          <w:sz w:val="32"/>
        </w:rPr>
        <w:t>戦略C ｜ ラクスル参入への差別化対応</w:t>
      </w:r>
    </w:p>
    <w:p>
      <w:pPr>
        <w:spacing w:before="240" w:after="80"/>
      </w:pPr>
      <w:r>
        <w:rPr>
          <w:b/>
          <w:color w:val="2E74B5"/>
          <w:sz w:val="26"/>
        </w:rPr>
        <w:t>C-1. ラクスルの脅威を正確に評価する</w:t>
      </w:r>
    </w:p>
    <w:p>
      <w:pPr>
        <w:spacing w:after="80"/>
      </w:pPr>
      <w:r>
        <w:t>ラクスルは2025年7月にパーソナライズDM市場に参入した。その脅威の深刻さは以下3点から来ている：</w:t>
      </w:r>
    </w:p>
    <w:p>
      <w:pPr>
        <w:pStyle w:val="ListBullet"/>
        <w:spacing w:after="40"/>
        <w:ind w:left="454"/>
      </w:pPr>
      <w:r>
        <w:rPr>
          <w:sz w:val="21"/>
        </w:rPr>
        <w:t>価格優位：59円〜（DM Connectは非公開だが競合水準から推測するとやや高い）</w:t>
      </w:r>
    </w:p>
    <w:p>
      <w:pPr>
        <w:pStyle w:val="ListBullet"/>
        <w:spacing w:after="40"/>
        <w:ind w:left="454"/>
      </w:pPr>
      <w:r>
        <w:rPr>
          <w:sz w:val="21"/>
        </w:rPr>
        <w:t>認知度・ブランド：印刷・デザイン領域での高い知名度。SMBへのリーチが圧倒的</w:t>
      </w:r>
    </w:p>
    <w:p>
      <w:pPr>
        <w:pStyle w:val="ListBullet"/>
        <w:spacing w:after="40"/>
        <w:ind w:left="454"/>
      </w:pPr>
      <w:r>
        <w:rPr>
          <w:sz w:val="21"/>
        </w:rPr>
        <w:t>テクノロジー：送付先ごとの固有QRコードによるリアルタイム反応計測が可能。HubSpot・Salesforceなど7サービスとの連携予定</w:t>
      </w:r>
    </w:p>
    <w:p>
      <w:pPr>
        <w:spacing w:after="80"/>
      </w:pPr>
      <w:r>
        <w:t>2028年に売上100億円を目標としており、これは本気の事業投資であることを示している。「様子見」で対応できる相手ではない。</w:t>
      </w:r>
    </w:p>
    <w:p>
      <w:pPr>
        <w:spacing w:before="240" w:after="80"/>
      </w:pPr>
      <w:r>
        <w:rPr>
          <w:b/>
          <w:color w:val="2E74B5"/>
          <w:sz w:val="26"/>
        </w:rPr>
        <w:t>C-2. DM Connect が勝てる土俵を特定する</w:t>
      </w:r>
    </w:p>
    <w:p>
      <w:pPr>
        <w:spacing w:after="80"/>
      </w:pPr>
      <w:r>
        <w:t>重要な前提：ラクスルと全面競争する必要はない。ラクスルが「取りにくい」顧客層に集中することが正解である。</w:t>
      </w:r>
    </w:p>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shd w:val="clear" w:color="auto" w:fill="2E74B5"/>
            <w:tcW w:w="1984" w:type="dxa"/>
          </w:tcPr>
          <w:p>
            <w:pPr>
              <w:spacing w:after="0"/>
            </w:pPr>
            <w:r/>
            <w:r>
              <w:rPr>
                <w:b/>
                <w:color w:val="FFFFFF"/>
                <w:sz w:val="20"/>
              </w:rPr>
              <w:t>観点</w:t>
            </w:r>
          </w:p>
        </w:tc>
        <w:tc>
          <w:tcPr>
            <w:tcW w:type="dxa" w:w="3024"/>
            <w:shd w:val="clear" w:color="auto" w:fill="2E74B5"/>
            <w:tcW w:w="2268" w:type="dxa"/>
          </w:tcPr>
          <w:p>
            <w:pPr>
              <w:spacing w:after="0"/>
            </w:pPr>
            <w:r/>
            <w:r>
              <w:rPr>
                <w:b/>
                <w:color w:val="FFFFFF"/>
                <w:sz w:val="20"/>
              </w:rPr>
              <w:t>ラクスル</w:t>
            </w:r>
          </w:p>
        </w:tc>
        <w:tc>
          <w:tcPr>
            <w:tcW w:type="dxa" w:w="3024"/>
            <w:shd w:val="clear" w:color="auto" w:fill="2E74B5"/>
            <w:tcW w:w="3402" w:type="dxa"/>
          </w:tcPr>
          <w:p>
            <w:pPr>
              <w:spacing w:after="0"/>
            </w:pPr>
            <w:r/>
            <w:r>
              <w:rPr>
                <w:b/>
                <w:color w:val="FFFFFF"/>
                <w:sz w:val="20"/>
              </w:rPr>
              <w:t>DM Connect の優位性</w:t>
            </w:r>
          </w:p>
        </w:tc>
      </w:tr>
      <w:tr>
        <w:tc>
          <w:tcPr>
            <w:tcW w:type="dxa" w:w="3024"/>
            <w:shd w:val="clear" w:color="auto" w:fill="EBF3FB"/>
            <w:tcW w:w="1984" w:type="dxa"/>
          </w:tcPr>
          <w:p>
            <w:pPr>
              <w:spacing w:after="0"/>
            </w:pPr>
            <w:r/>
            <w:r>
              <w:rPr>
                <w:sz w:val="20"/>
              </w:rPr>
              <w:t>ターゲット</w:t>
            </w:r>
          </w:p>
        </w:tc>
        <w:tc>
          <w:tcPr>
            <w:tcW w:type="dxa" w:w="3024"/>
            <w:shd w:val="clear" w:color="auto" w:fill="EBF3FB"/>
            <w:tcW w:w="2268" w:type="dxa"/>
          </w:tcPr>
          <w:p>
            <w:pPr>
              <w:spacing w:after="0"/>
            </w:pPr>
            <w:r/>
            <w:r>
              <w:rPr>
                <w:sz w:val="20"/>
              </w:rPr>
              <w:t>中堅〜大企業BtoB/BtoC（広範）</w:t>
            </w:r>
          </w:p>
        </w:tc>
        <w:tc>
          <w:tcPr>
            <w:tcW w:type="dxa" w:w="3024"/>
            <w:shd w:val="clear" w:color="auto" w:fill="EBF3FB"/>
            <w:tcW w:w="3402" w:type="dxa"/>
          </w:tcPr>
          <w:p>
            <w:pPr>
              <w:spacing w:after="0"/>
            </w:pPr>
            <w:r/>
            <w:r>
              <w:rPr>
                <w:sz w:val="20"/>
              </w:rPr>
              <w:t>中堅BtoC × MAツール連携済み企業に特化</w:t>
            </w:r>
          </w:p>
        </w:tc>
      </w:tr>
      <w:tr>
        <w:tc>
          <w:tcPr>
            <w:tcW w:type="dxa" w:w="3024"/>
            <w:shd w:val="clear" w:color="auto" w:fill="FFFFFF"/>
            <w:tcW w:w="1984" w:type="dxa"/>
          </w:tcPr>
          <w:p>
            <w:pPr>
              <w:spacing w:after="0"/>
            </w:pPr>
            <w:r/>
            <w:r>
              <w:rPr>
                <w:sz w:val="20"/>
              </w:rPr>
              <w:t>導入形態</w:t>
            </w:r>
          </w:p>
        </w:tc>
        <w:tc>
          <w:tcPr>
            <w:tcW w:type="dxa" w:w="3024"/>
            <w:shd w:val="clear" w:color="auto" w:fill="FFFFFF"/>
            <w:tcW w:w="2268" w:type="dxa"/>
          </w:tcPr>
          <w:p>
            <w:pPr>
              <w:spacing w:after="0"/>
            </w:pPr>
            <w:r/>
            <w:r>
              <w:rPr>
                <w:sz w:val="20"/>
              </w:rPr>
              <w:t>セルフサービス型（手軽さ重視）</w:t>
            </w:r>
          </w:p>
        </w:tc>
        <w:tc>
          <w:tcPr>
            <w:tcW w:type="dxa" w:w="3024"/>
            <w:shd w:val="clear" w:color="auto" w:fill="FFFFFF"/>
            <w:tcW w:w="3402" w:type="dxa"/>
          </w:tcPr>
          <w:p>
            <w:pPr>
              <w:spacing w:after="0"/>
            </w:pPr>
            <w:r/>
            <w:r>
              <w:rPr>
                <w:sz w:val="20"/>
              </w:rPr>
              <w:t>シナリオ設計からコンサル提供（伴走型）</w:t>
            </w:r>
          </w:p>
        </w:tc>
      </w:tr>
      <w:tr>
        <w:tc>
          <w:tcPr>
            <w:tcW w:type="dxa" w:w="3024"/>
            <w:shd w:val="clear" w:color="auto" w:fill="EBF3FB"/>
            <w:tcW w:w="1984" w:type="dxa"/>
          </w:tcPr>
          <w:p>
            <w:pPr>
              <w:spacing w:after="0"/>
            </w:pPr>
            <w:r/>
            <w:r>
              <w:rPr>
                <w:sz w:val="20"/>
              </w:rPr>
              <w:t>連携MA</w:t>
            </w:r>
          </w:p>
        </w:tc>
        <w:tc>
          <w:tcPr>
            <w:tcW w:type="dxa" w:w="3024"/>
            <w:shd w:val="clear" w:color="auto" w:fill="EBF3FB"/>
            <w:tcW w:w="2268" w:type="dxa"/>
          </w:tcPr>
          <w:p>
            <w:pPr>
              <w:spacing w:after="0"/>
            </w:pPr>
            <w:r/>
            <w:r>
              <w:rPr>
                <w:sz w:val="20"/>
              </w:rPr>
              <w:t>HubSpot・Salesforceなど7サービス（汎用）</w:t>
            </w:r>
          </w:p>
        </w:tc>
        <w:tc>
          <w:tcPr>
            <w:tcW w:type="dxa" w:w="3024"/>
            <w:shd w:val="clear" w:color="auto" w:fill="EBF3FB"/>
            <w:tcW w:w="3402" w:type="dxa"/>
          </w:tcPr>
          <w:p>
            <w:pPr>
              <w:spacing w:after="0"/>
            </w:pPr>
            <w:r/>
            <w:r>
              <w:rPr>
                <w:sz w:val="20"/>
              </w:rPr>
              <w:t>SHANONとの深連携（日本最大MA）</w:t>
            </w:r>
          </w:p>
        </w:tc>
      </w:tr>
      <w:tr>
        <w:tc>
          <w:tcPr>
            <w:tcW w:type="dxa" w:w="3024"/>
            <w:shd w:val="clear" w:color="auto" w:fill="FFFFFF"/>
            <w:tcW w:w="1984" w:type="dxa"/>
          </w:tcPr>
          <w:p>
            <w:pPr>
              <w:spacing w:after="0"/>
            </w:pPr>
            <w:r/>
            <w:r>
              <w:rPr>
                <w:sz w:val="20"/>
              </w:rPr>
              <w:t>反応計測</w:t>
            </w:r>
          </w:p>
        </w:tc>
        <w:tc>
          <w:tcPr>
            <w:tcW w:type="dxa" w:w="3024"/>
            <w:shd w:val="clear" w:color="auto" w:fill="FFFFFF"/>
            <w:tcW w:w="2268" w:type="dxa"/>
          </w:tcPr>
          <w:p>
            <w:pPr>
              <w:spacing w:after="0"/>
            </w:pPr>
            <w:r/>
            <w:r>
              <w:rPr>
                <w:sz w:val="20"/>
              </w:rPr>
              <w:t>QRコードによるリアルタイム計測◎</w:t>
            </w:r>
          </w:p>
        </w:tc>
        <w:tc>
          <w:tcPr>
            <w:tcW w:type="dxa" w:w="3024"/>
            <w:shd w:val="clear" w:color="auto" w:fill="FFFFFF"/>
            <w:tcW w:w="3402" w:type="dxa"/>
          </w:tcPr>
          <w:p>
            <w:pPr>
              <w:spacing w:after="0"/>
            </w:pPr>
            <w:r/>
            <w:r>
              <w:rPr>
                <w:sz w:val="20"/>
              </w:rPr>
              <w:t>計測機能は今後の強化余地あり（弱点）</w:t>
            </w:r>
          </w:p>
        </w:tc>
      </w:tr>
      <w:tr>
        <w:tc>
          <w:tcPr>
            <w:tcW w:type="dxa" w:w="3024"/>
            <w:shd w:val="clear" w:color="auto" w:fill="EBF3FB"/>
            <w:tcW w:w="1984" w:type="dxa"/>
          </w:tcPr>
          <w:p>
            <w:pPr>
              <w:spacing w:after="0"/>
            </w:pPr>
            <w:r/>
            <w:r>
              <w:rPr>
                <w:sz w:val="20"/>
              </w:rPr>
              <w:t>納期スピード</w:t>
            </w:r>
          </w:p>
        </w:tc>
        <w:tc>
          <w:tcPr>
            <w:tcW w:type="dxa" w:w="3024"/>
            <w:shd w:val="clear" w:color="auto" w:fill="EBF3FB"/>
            <w:tcW w:w="2268" w:type="dxa"/>
          </w:tcPr>
          <w:p>
            <w:pPr>
              <w:spacing w:after="0"/>
            </w:pPr>
            <w:r/>
            <w:r>
              <w:rPr>
                <w:sz w:val="20"/>
              </w:rPr>
              <w:t>要確認（非公開）</w:t>
            </w:r>
          </w:p>
        </w:tc>
        <w:tc>
          <w:tcPr>
            <w:tcW w:type="dxa" w:w="3024"/>
            <w:shd w:val="clear" w:color="auto" w:fill="EBF3FB"/>
            <w:tcW w:w="3402" w:type="dxa"/>
          </w:tcPr>
          <w:p>
            <w:pPr>
              <w:spacing w:after="0"/>
            </w:pPr>
            <w:r/>
            <w:r>
              <w:rPr>
                <w:sz w:val="20"/>
              </w:rPr>
              <w:t>最短1営業日（強み）</w:t>
            </w:r>
          </w:p>
        </w:tc>
      </w:tr>
      <w:tr>
        <w:tc>
          <w:tcPr>
            <w:tcW w:type="dxa" w:w="3024"/>
            <w:shd w:val="clear" w:color="auto" w:fill="FFFFFF"/>
            <w:tcW w:w="1984" w:type="dxa"/>
          </w:tcPr>
          <w:p>
            <w:pPr>
              <w:spacing w:after="0"/>
            </w:pPr>
            <w:r/>
            <w:r>
              <w:rPr>
                <w:sz w:val="20"/>
              </w:rPr>
              <w:t>コンサル提供</w:t>
            </w:r>
          </w:p>
        </w:tc>
        <w:tc>
          <w:tcPr>
            <w:tcW w:type="dxa" w:w="3024"/>
            <w:shd w:val="clear" w:color="auto" w:fill="FFFFFF"/>
            <w:tcW w:w="2268" w:type="dxa"/>
          </w:tcPr>
          <w:p>
            <w:pPr>
              <w:spacing w:after="0"/>
            </w:pPr>
            <w:r/>
            <w:r>
              <w:rPr>
                <w:sz w:val="20"/>
              </w:rPr>
              <w:t>なし（プロダクト完結）</w:t>
            </w:r>
          </w:p>
        </w:tc>
        <w:tc>
          <w:tcPr>
            <w:tcW w:type="dxa" w:w="3024"/>
            <w:shd w:val="clear" w:color="auto" w:fill="FFFFFF"/>
            <w:tcW w:w="3402" w:type="dxa"/>
          </w:tcPr>
          <w:p>
            <w:pPr>
              <w:spacing w:after="0"/>
            </w:pPr>
            <w:r/>
            <w:r>
              <w:rPr>
                <w:sz w:val="20"/>
              </w:rPr>
              <w:t>シナリオ設計支援が差別化の核心</w:t>
            </w:r>
          </w:p>
        </w:tc>
      </w:tr>
    </w:tbl>
    <w:p/>
    <w:p>
      <w:pPr>
        <w:spacing w:before="240" w:after="80"/>
      </w:pPr>
      <w:r>
        <w:rPr>
          <w:b/>
          <w:color w:val="2E74B5"/>
          <w:sz w:val="26"/>
        </w:rPr>
        <w:t>C-3. 差別化ポジションの言語化</w:t>
      </w:r>
    </w:p>
    <w:p>
      <w:pPr>
        <w:spacing w:after="80"/>
      </w:pPr>
      <w:r>
        <w:t>以下のポジションステートメントを対外メッセージの核に据えるべきである：</w:t>
      </w:r>
    </w:p>
    <w:p>
      <w:pPr>
        <w:spacing w:before="120" w:after="120"/>
        <w:ind w:left="567" w:right="567"/>
      </w:pPr>
      <w:r>
        <w:rPr>
          <w:b/>
          <w:color w:val="1F497D"/>
          <w:sz w:val="22"/>
        </w:rPr>
        <w:t>「DMを"送る"のではなく、"効かせる"ことに特化したパートナー」</w:t>
      </w:r>
    </w:p>
    <w:p>
      <w:pPr>
        <w:spacing w:after="80"/>
      </w:pPr>
      <w:r>
        <w:t>ラクスルは「安く・早く・手軽に送れる」プロダクトである。DM Connectが目指すべきは「送った後に何が起きるか」を設計し、顧客の売上に責任を持つポジションだ。</w:t>
      </w:r>
    </w:p>
    <w:p>
      <w:pPr>
        <w:spacing w:before="240" w:after="80"/>
      </w:pPr>
      <w:r>
        <w:rPr>
          <w:b/>
          <w:color w:val="2E74B5"/>
          <w:sz w:val="26"/>
        </w:rPr>
        <w:t>C-4. 具体的な対抗施策</w:t>
      </w:r>
    </w:p>
    <w:p>
      <w:pPr>
        <w:spacing w:before="160" w:after="40"/>
      </w:pPr>
      <w:r>
        <w:rPr>
          <w:b/>
          <w:color w:val="404040"/>
          <w:sz w:val="22"/>
        </w:rPr>
        <w:t>① SHANON連携の深化と独占的関係の強化</w:t>
      </w:r>
    </w:p>
    <w:p>
      <w:pPr>
        <w:spacing w:after="80"/>
      </w:pPr>
      <w:r>
        <w:t>ラクスルはSHANONとの連携を持っていない。SHANON利用企業（日本最大規模のMAユーザー層）へのリーチはDM Connectの独占的資産である。SHANONとの契約・連携深度を高め、SHANON側のセールスがDM Connectをプッシュする共同営業体制を強化する。</w:t>
      </w:r>
    </w:p>
    <w:p>
      <w:pPr>
        <w:spacing w:before="160" w:after="40"/>
      </w:pPr>
      <w:r>
        <w:rPr>
          <w:b/>
          <w:color w:val="404040"/>
          <w:sz w:val="22"/>
        </w:rPr>
        <w:t>② 反応計測機能の整備（防衛投資）</w:t>
      </w:r>
    </w:p>
    <w:p>
      <w:pPr>
        <w:spacing w:after="80"/>
      </w:pPr>
      <w:r>
        <w:t>ラクスルの最大の差別化は「QRコードによるリアルタイム反応計測」である。現状DM Connectにこの機能が弱ければ、顧客がラクスルに乗り換える最大の動機になる。この機能の自社実装、またはパートナー連携による早期提供を検討すること。</w:t>
      </w:r>
    </w:p>
    <w:p>
      <w:pPr>
        <w:spacing w:before="160" w:after="40"/>
      </w:pPr>
      <w:r>
        <w:rPr>
          <w:b/>
          <w:color w:val="404040"/>
          <w:sz w:val="22"/>
        </w:rPr>
        <w:t>③ 成功事例の組織的な蓄積と開示</w:t>
      </w:r>
    </w:p>
    <w:p>
      <w:pPr>
        <w:spacing w:after="80"/>
      </w:pPr>
      <w:r>
        <w:t>ラクスルは新参者であり、業種別・シナリオ別の成功事例がまだ少ない。DM Connectはベースフード、配食、点検案内など複数の実績を持っている。これらをケーススタディ資料として整備し、「実績のある設計力」を可視化することが急務である。</w:t>
      </w:r>
    </w:p>
    <w:p>
      <w:pPr>
        <w:spacing w:before="160" w:after="40"/>
      </w:pPr>
      <w:r>
        <w:rPr>
          <w:b/>
          <w:color w:val="404040"/>
          <w:sz w:val="22"/>
        </w:rPr>
        <w:t>④ 価格での正面衝突を避ける</w:t>
      </w:r>
    </w:p>
    <w:p>
      <w:pPr>
        <w:spacing w:after="80"/>
      </w:pPr>
      <w:r>
        <w:t>59円というラクスルの価格に合わせようとすると、現在87%の変動費率では採算が取れない。価格で戦わず、「コンサル＋シナリオ設計費込みで見ればROIが高い」という価値訴求に徹すること。ただし単純なDM発注（シナリオ設計不要）の案件はラクスルに任せ、自社はハイタッチな顧客に集中するセグメント戦略が現実的である。</w:t>
      </w:r>
    </w:p>
    <w:p>
      <w:r>
        <w:br w:type="page"/>
      </w:r>
    </w:p>
    <w:p>
      <w:pPr>
        <w:spacing w:before="360" w:after="120"/>
        <w:pBdr>
          <w:bottom w:val="single" w:sz="6" w:space="4" w:color="1F497D"/>
        </w:pBdr>
      </w:pPr>
      <w:r>
        <w:rPr>
          <w:b/>
          <w:color w:val="1F497D"/>
          <w:sz w:val="32"/>
        </w:rPr>
        <w:t>総括：戦略B × C の相乗効果</w:t>
      </w:r>
    </w:p>
    <w:p>
      <w:pPr>
        <w:spacing w:after="80"/>
      </w:pPr>
      <w:r>
        <w:t>戦略BとCは独立した施策ではなく、相互に強化し合う。</w:t>
      </w:r>
    </w:p>
    <w:p>
      <w:pPr>
        <w:pStyle w:val="ListBullet"/>
        <w:spacing w:after="40"/>
        <w:ind w:left="454"/>
      </w:pPr>
      <w:r>
        <w:rPr>
          <w:sz w:val="21"/>
        </w:rPr>
        <w:t>戦略B（横展開）で積み上げた多業種の成功事例が、戦略C（ラクスル差別化）の「実績の厚み」として機能する</w:t>
      </w:r>
    </w:p>
    <w:p>
      <w:pPr>
        <w:pStyle w:val="ListBullet"/>
        <w:spacing w:after="40"/>
        <w:ind w:left="454"/>
      </w:pPr>
      <w:r>
        <w:rPr>
          <w:sz w:val="21"/>
        </w:rPr>
        <w:t>戦略C（ポジション確立）によって「コンサルできるDMサービス」として認知されることが、戦略Bの新規開拓トークを強化する</w:t>
      </w:r>
    </w:p>
    <w:p>
      <w:pPr>
        <w:spacing w:after="80"/>
      </w:pPr>
    </w:p>
    <w:p>
      <w:pPr>
        <w:spacing w:after="80"/>
      </w:pPr>
      <w:r>
        <w:t>最優先アクション（今後90日）：</w:t>
      </w:r>
    </w:p>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shd w:val="clear" w:color="auto" w:fill="2E74B5"/>
            <w:tcW w:w="1134" w:type="dxa"/>
          </w:tcPr>
          <w:p>
            <w:pPr>
              <w:spacing w:after="0"/>
            </w:pPr>
            <w:r/>
            <w:r>
              <w:rPr>
                <w:b/>
                <w:color w:val="FFFFFF"/>
                <w:sz w:val="20"/>
              </w:rPr>
              <w:t>優先度</w:t>
            </w:r>
          </w:p>
        </w:tc>
        <w:tc>
          <w:tcPr>
            <w:tcW w:type="dxa" w:w="3024"/>
            <w:shd w:val="clear" w:color="auto" w:fill="2E74B5"/>
            <w:tcW w:w="4252" w:type="dxa"/>
          </w:tcPr>
          <w:p>
            <w:pPr>
              <w:spacing w:after="0"/>
            </w:pPr>
            <w:r/>
            <w:r>
              <w:rPr>
                <w:b/>
                <w:color w:val="FFFFFF"/>
                <w:sz w:val="20"/>
              </w:rPr>
              <w:t>アクション</w:t>
            </w:r>
          </w:p>
        </w:tc>
        <w:tc>
          <w:tcPr>
            <w:tcW w:type="dxa" w:w="3024"/>
            <w:shd w:val="clear" w:color="auto" w:fill="2E74B5"/>
            <w:tcW w:w="2268" w:type="dxa"/>
          </w:tcPr>
          <w:p>
            <w:pPr>
              <w:spacing w:after="0"/>
            </w:pPr>
            <w:r/>
            <w:r>
              <w:rPr>
                <w:b/>
                <w:color w:val="FFFFFF"/>
                <w:sz w:val="20"/>
              </w:rPr>
              <w:t>期限目安</w:t>
            </w:r>
          </w:p>
        </w:tc>
      </w:tr>
      <w:tr>
        <w:tc>
          <w:tcPr>
            <w:tcW w:type="dxa" w:w="3024"/>
            <w:shd w:val="clear" w:color="auto" w:fill="EBF3FB"/>
            <w:tcW w:w="1134" w:type="dxa"/>
          </w:tcPr>
          <w:p>
            <w:pPr>
              <w:spacing w:after="0"/>
            </w:pPr>
            <w:r/>
            <w:r>
              <w:rPr>
                <w:sz w:val="20"/>
              </w:rPr>
              <w:t>P0</w:t>
            </w:r>
          </w:p>
        </w:tc>
        <w:tc>
          <w:tcPr>
            <w:tcW w:type="dxa" w:w="3024"/>
            <w:shd w:val="clear" w:color="auto" w:fill="EBF3FB"/>
            <w:tcW w:w="4252" w:type="dxa"/>
          </w:tcPr>
          <w:p>
            <w:pPr>
              <w:spacing w:after="0"/>
            </w:pPr>
            <w:r/>
            <w:r>
              <w:rPr>
                <w:sz w:val="20"/>
              </w:rPr>
              <w:t>ベースフード事例のケーススタディ資料を作成し、配食・フィットネス5社にアポ取得</w:t>
            </w:r>
          </w:p>
        </w:tc>
        <w:tc>
          <w:tcPr>
            <w:tcW w:type="dxa" w:w="3024"/>
            <w:shd w:val="clear" w:color="auto" w:fill="EBF3FB"/>
            <w:tcW w:w="2268" w:type="dxa"/>
          </w:tcPr>
          <w:p>
            <w:pPr>
              <w:spacing w:after="0"/>
            </w:pPr>
            <w:r/>
            <w:r>
              <w:rPr>
                <w:sz w:val="20"/>
              </w:rPr>
              <w:t>1ヶ月以内</w:t>
            </w:r>
          </w:p>
        </w:tc>
      </w:tr>
      <w:tr>
        <w:tc>
          <w:tcPr>
            <w:tcW w:type="dxa" w:w="3024"/>
            <w:shd w:val="clear" w:color="auto" w:fill="EBF3FB"/>
            <w:tcW w:w="1134" w:type="dxa"/>
          </w:tcPr>
          <w:p>
            <w:pPr>
              <w:spacing w:after="0"/>
            </w:pPr>
            <w:r/>
            <w:r>
              <w:rPr>
                <w:sz w:val="20"/>
              </w:rPr>
              <w:t>P0</w:t>
            </w:r>
          </w:p>
        </w:tc>
        <w:tc>
          <w:tcPr>
            <w:tcW w:type="dxa" w:w="3024"/>
            <w:shd w:val="clear" w:color="auto" w:fill="EBF3FB"/>
            <w:tcW w:w="4252" w:type="dxa"/>
          </w:tcPr>
          <w:p>
            <w:pPr>
              <w:spacing w:after="0"/>
            </w:pPr>
            <w:r/>
            <w:r>
              <w:rPr>
                <w:sz w:val="20"/>
              </w:rPr>
              <w:t>SHANON担当者と共同営業プログラムの合意形成（紹介フィー・共同事例作成）</w:t>
            </w:r>
          </w:p>
        </w:tc>
        <w:tc>
          <w:tcPr>
            <w:tcW w:type="dxa" w:w="3024"/>
            <w:shd w:val="clear" w:color="auto" w:fill="EBF3FB"/>
            <w:tcW w:w="2268" w:type="dxa"/>
          </w:tcPr>
          <w:p>
            <w:pPr>
              <w:spacing w:after="0"/>
            </w:pPr>
            <w:r/>
            <w:r>
              <w:rPr>
                <w:sz w:val="20"/>
              </w:rPr>
              <w:t>1ヶ月以内</w:t>
            </w:r>
          </w:p>
        </w:tc>
      </w:tr>
      <w:tr>
        <w:tc>
          <w:tcPr>
            <w:tcW w:type="dxa" w:w="3024"/>
            <w:shd w:val="clear" w:color="auto" w:fill="FFFFFF"/>
            <w:tcW w:w="1134" w:type="dxa"/>
          </w:tcPr>
          <w:p>
            <w:pPr>
              <w:spacing w:after="0"/>
            </w:pPr>
            <w:r/>
            <w:r>
              <w:rPr>
                <w:sz w:val="20"/>
              </w:rPr>
              <w:t>P1</w:t>
            </w:r>
          </w:p>
        </w:tc>
        <w:tc>
          <w:tcPr>
            <w:tcW w:type="dxa" w:w="3024"/>
            <w:shd w:val="clear" w:color="auto" w:fill="FFFFFF"/>
            <w:tcW w:w="4252" w:type="dxa"/>
          </w:tcPr>
          <w:p>
            <w:pPr>
              <w:spacing w:after="0"/>
            </w:pPr>
            <w:r/>
            <w:r>
              <w:rPr>
                <w:sz w:val="20"/>
              </w:rPr>
              <w:t>反応計測機能（QRコード追跡）の実装可否をエンジニアと検討・見積もり</w:t>
            </w:r>
          </w:p>
        </w:tc>
        <w:tc>
          <w:tcPr>
            <w:tcW w:type="dxa" w:w="3024"/>
            <w:shd w:val="clear" w:color="auto" w:fill="FFFFFF"/>
            <w:tcW w:w="2268" w:type="dxa"/>
          </w:tcPr>
          <w:p>
            <w:pPr>
              <w:spacing w:after="0"/>
            </w:pPr>
            <w:r/>
            <w:r>
              <w:rPr>
                <w:sz w:val="20"/>
              </w:rPr>
              <w:t>2ヶ月以内</w:t>
            </w:r>
          </w:p>
        </w:tc>
      </w:tr>
      <w:tr>
        <w:tc>
          <w:tcPr>
            <w:tcW w:type="dxa" w:w="3024"/>
            <w:shd w:val="clear" w:color="auto" w:fill="FFFFFF"/>
            <w:tcW w:w="1134" w:type="dxa"/>
          </w:tcPr>
          <w:p>
            <w:pPr>
              <w:spacing w:after="0"/>
            </w:pPr>
            <w:r/>
            <w:r>
              <w:rPr>
                <w:sz w:val="20"/>
              </w:rPr>
              <w:t>P1</w:t>
            </w:r>
          </w:p>
        </w:tc>
        <w:tc>
          <w:tcPr>
            <w:tcW w:type="dxa" w:w="3024"/>
            <w:shd w:val="clear" w:color="auto" w:fill="FFFFFF"/>
            <w:tcW w:w="4252" w:type="dxa"/>
          </w:tcPr>
          <w:p>
            <w:pPr>
              <w:spacing w:after="0"/>
            </w:pPr>
            <w:r/>
            <w:r>
              <w:rPr>
                <w:sz w:val="20"/>
              </w:rPr>
              <w:t>ラクスル参入を踏まえた価格・パッケージの見直し（コンサル付きプランの設計）</w:t>
            </w:r>
          </w:p>
        </w:tc>
        <w:tc>
          <w:tcPr>
            <w:tcW w:type="dxa" w:w="3024"/>
            <w:shd w:val="clear" w:color="auto" w:fill="FFFFFF"/>
            <w:tcW w:w="2268" w:type="dxa"/>
          </w:tcPr>
          <w:p>
            <w:pPr>
              <w:spacing w:after="0"/>
            </w:pPr>
            <w:r/>
            <w:r>
              <w:rPr>
                <w:sz w:val="20"/>
              </w:rPr>
              <w:t>2ヶ月以内</w:t>
            </w:r>
          </w:p>
        </w:tc>
      </w:tr>
      <w:tr>
        <w:tc>
          <w:tcPr>
            <w:tcW w:type="dxa" w:w="3024"/>
            <w:shd w:val="clear" w:color="auto" w:fill="EBF3FB"/>
            <w:tcW w:w="1134" w:type="dxa"/>
          </w:tcPr>
          <w:p>
            <w:pPr>
              <w:spacing w:after="0"/>
            </w:pPr>
            <w:r/>
            <w:r>
              <w:rPr>
                <w:sz w:val="20"/>
              </w:rPr>
              <w:t>P2</w:t>
            </w:r>
          </w:p>
        </w:tc>
        <w:tc>
          <w:tcPr>
            <w:tcW w:type="dxa" w:w="3024"/>
            <w:shd w:val="clear" w:color="auto" w:fill="EBF3FB"/>
            <w:tcW w:w="4252" w:type="dxa"/>
          </w:tcPr>
          <w:p>
            <w:pPr>
              <w:spacing w:after="0"/>
            </w:pPr>
            <w:r/>
            <w:r>
              <w:rPr>
                <w:sz w:val="20"/>
              </w:rPr>
              <w:t>競合比較資料のアップデートとセールスへの展開</w:t>
            </w:r>
          </w:p>
        </w:tc>
        <w:tc>
          <w:tcPr>
            <w:tcW w:type="dxa" w:w="3024"/>
            <w:shd w:val="clear" w:color="auto" w:fill="EBF3FB"/>
            <w:tcW w:w="2268" w:type="dxa"/>
          </w:tcPr>
          <w:p>
            <w:pPr>
              <w:spacing w:after="0"/>
            </w:pPr>
            <w:r/>
            <w:r>
              <w:rPr>
                <w:sz w:val="20"/>
              </w:rPr>
              <w:t>3ヶ月以内</w:t>
            </w:r>
          </w:p>
        </w:tc>
      </w:tr>
    </w:tbl>
    <w:p/>
    <w:p>
      <w:pPr>
        <w:spacing w:after="80"/>
      </w:pPr>
      <w:r>
        <w:t>※ 本資料は2025年度実績データ（台帳管理）・競合分析資料・社内説明資料をもとに作成。</w:t>
      </w:r>
    </w:p>
    <w:p>
      <w:r>
        <w:br w:type="page"/>
      </w:r>
    </w:p>
    <w:p>
      <w:pPr>
        <w:spacing w:before="360" w:after="120"/>
        <w:pBdr>
          <w:bottom w:val="single" w:sz="6" w:space="4" w:color="1F497D"/>
        </w:pBdr>
      </w:pPr>
      <w:r>
        <w:rPr>
          <w:b/>
          <w:color w:val="1F497D"/>
          <w:sz w:val="32"/>
        </w:rPr>
        <w:t>戦略B×C 補完 ｜ Webリード獲得戦略</w:t>
      </w:r>
    </w:p>
    <w:p>
      <w:pPr>
        <w:spacing w:before="240" w:after="80"/>
      </w:pPr>
      <w:r>
        <w:rPr>
          <w:b/>
          <w:color w:val="2E74B5"/>
          <w:sz w:val="26"/>
        </w:rPr>
        <w:t>現LP（https://www.jp-md.co.jp/dm_connect/）の課題診断</w:t>
      </w:r>
    </w:p>
    <w:p>
      <w:pPr>
        <w:spacing w:after="80"/>
      </w:pPr>
      <w:r>
        <w:t>戦略B（顧客横展開）・C（ラクスル差別化）を推進するにあたり、現状のLPを確認した。結論として、Webからのリード獲得戦略は必要だが、今すぐ広告費を投じる段階ではない。理由は現在のLPが「来た人を逃す構造」になっているためで、まずLP改善が最優先である。</w:t>
      </w:r>
    </w:p>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shd w:val="clear" w:color="auto" w:fill="2E74B5"/>
            <w:tcW w:w="2268" w:type="dxa"/>
          </w:tcPr>
          <w:p>
            <w:pPr>
              <w:spacing w:after="0"/>
            </w:pPr>
            <w:r/>
            <w:r>
              <w:rPr>
                <w:b/>
                <w:color w:val="FFFFFF"/>
                <w:sz w:val="20"/>
              </w:rPr>
              <w:t>問題点</w:t>
            </w:r>
          </w:p>
        </w:tc>
        <w:tc>
          <w:tcPr>
            <w:tcW w:type="dxa" w:w="3024"/>
            <w:shd w:val="clear" w:color="auto" w:fill="2E74B5"/>
            <w:tcW w:w="3402" w:type="dxa"/>
          </w:tcPr>
          <w:p>
            <w:pPr>
              <w:spacing w:after="0"/>
            </w:pPr>
            <w:r/>
            <w:r>
              <w:rPr>
                <w:b/>
                <w:color w:val="FFFFFF"/>
                <w:sz w:val="20"/>
              </w:rPr>
              <w:t>現状</w:t>
            </w:r>
          </w:p>
        </w:tc>
        <w:tc>
          <w:tcPr>
            <w:tcW w:type="dxa" w:w="3024"/>
            <w:shd w:val="clear" w:color="auto" w:fill="2E74B5"/>
            <w:tcW w:w="3118" w:type="dxa"/>
          </w:tcPr>
          <w:p>
            <w:pPr>
              <w:spacing w:after="0"/>
            </w:pPr>
            <w:r/>
            <w:r>
              <w:rPr>
                <w:b/>
                <w:color w:val="FFFFFF"/>
                <w:sz w:val="20"/>
              </w:rPr>
              <w:t>影響</w:t>
            </w:r>
          </w:p>
        </w:tc>
      </w:tr>
      <w:tr>
        <w:tc>
          <w:tcPr>
            <w:tcW w:type="dxa" w:w="3024"/>
            <w:shd w:val="clear" w:color="auto" w:fill="FFDDC1"/>
            <w:tcW w:w="2268" w:type="dxa"/>
          </w:tcPr>
          <w:p>
            <w:pPr>
              <w:spacing w:after="0"/>
            </w:pPr>
            <w:r/>
            <w:r>
              <w:rPr>
                <w:sz w:val="20"/>
              </w:rPr>
              <w:t>実績・数値がゼロ</w:t>
            </w:r>
          </w:p>
        </w:tc>
        <w:tc>
          <w:tcPr>
            <w:tcW w:type="dxa" w:w="3024"/>
            <w:shd w:val="clear" w:color="auto" w:fill="FFDDC1"/>
            <w:tcW w:w="3402" w:type="dxa"/>
          </w:tcPr>
          <w:p>
            <w:pPr>
              <w:spacing w:after="0"/>
            </w:pPr>
            <w:r/>
            <w:r>
              <w:rPr>
                <w:sz w:val="20"/>
              </w:rPr>
              <w:t>ベースフードの「年間20万通・ウィンバック成功」という強力な事例があるのにLP上には載っていない</w:t>
            </w:r>
          </w:p>
        </w:tc>
        <w:tc>
          <w:tcPr>
            <w:tcW w:type="dxa" w:w="3024"/>
            <w:shd w:val="clear" w:color="auto" w:fill="FFDDC1"/>
            <w:tcW w:w="3118" w:type="dxa"/>
          </w:tcPr>
          <w:p>
            <w:pPr>
              <w:spacing w:after="0"/>
            </w:pPr>
            <w:r/>
            <w:r>
              <w:rPr>
                <w:sz w:val="20"/>
              </w:rPr>
              <w:t>訪問者の信頼獲得ができない</w:t>
            </w:r>
          </w:p>
        </w:tc>
      </w:tr>
      <w:tr>
        <w:tc>
          <w:tcPr>
            <w:tcW w:type="dxa" w:w="3024"/>
            <w:shd w:val="clear" w:color="auto" w:fill="FFDDC1"/>
            <w:tcW w:w="2268" w:type="dxa"/>
          </w:tcPr>
          <w:p>
            <w:pPr>
              <w:spacing w:after="0"/>
            </w:pPr>
            <w:r/>
            <w:r>
              <w:rPr>
                <w:sz w:val="20"/>
              </w:rPr>
              <w:t>CTAが「お問い合わせ」一本</w:t>
            </w:r>
          </w:p>
        </w:tc>
        <w:tc>
          <w:tcPr>
            <w:tcW w:type="dxa" w:w="3024"/>
            <w:shd w:val="clear" w:color="auto" w:fill="FFDDC1"/>
            <w:tcW w:w="3402" w:type="dxa"/>
          </w:tcPr>
          <w:p>
            <w:pPr>
              <w:spacing w:after="0"/>
            </w:pPr>
            <w:r/>
            <w:r>
              <w:rPr>
                <w:sz w:val="20"/>
              </w:rPr>
              <w:t>今すぐ検討していない潜在層を取りこぼしている</w:t>
            </w:r>
          </w:p>
        </w:tc>
        <w:tc>
          <w:tcPr>
            <w:tcW w:type="dxa" w:w="3024"/>
            <w:shd w:val="clear" w:color="auto" w:fill="FFDDC1"/>
            <w:tcW w:w="3118" w:type="dxa"/>
          </w:tcPr>
          <w:p>
            <w:pPr>
              <w:spacing w:after="0"/>
            </w:pPr>
            <w:r/>
            <w:r>
              <w:rPr>
                <w:sz w:val="20"/>
              </w:rPr>
              <w:t>資料ダウンロード等のマイクロCVが存在しない</w:t>
            </w:r>
          </w:p>
        </w:tc>
      </w:tr>
      <w:tr>
        <w:tc>
          <w:tcPr>
            <w:tcW w:type="dxa" w:w="3024"/>
            <w:shd w:val="clear" w:color="auto" w:fill="FFDDC1"/>
            <w:tcW w:w="2268" w:type="dxa"/>
          </w:tcPr>
          <w:p>
            <w:pPr>
              <w:spacing w:after="0"/>
            </w:pPr>
            <w:r/>
            <w:r>
              <w:rPr>
                <w:sz w:val="20"/>
              </w:rPr>
              <w:t>差別化訴求がない</w:t>
            </w:r>
          </w:p>
        </w:tc>
        <w:tc>
          <w:tcPr>
            <w:tcW w:type="dxa" w:w="3024"/>
            <w:shd w:val="clear" w:color="auto" w:fill="FFDDC1"/>
            <w:tcW w:w="3402" w:type="dxa"/>
          </w:tcPr>
          <w:p>
            <w:pPr>
              <w:spacing w:after="0"/>
            </w:pPr>
            <w:r/>
            <w:r>
              <w:rPr>
                <w:sz w:val="20"/>
              </w:rPr>
              <w:t>ラクスル・セルマーケと並べて検討されたとき選ぶ理由がLPに書かれていない</w:t>
            </w:r>
          </w:p>
        </w:tc>
        <w:tc>
          <w:tcPr>
            <w:tcW w:type="dxa" w:w="3024"/>
            <w:shd w:val="clear" w:color="auto" w:fill="FFDDC1"/>
            <w:tcW w:w="3118" w:type="dxa"/>
          </w:tcPr>
          <w:p>
            <w:pPr>
              <w:spacing w:after="0"/>
            </w:pPr>
            <w:r/>
            <w:r>
              <w:rPr>
                <w:sz w:val="20"/>
              </w:rPr>
              <w:t>競合比較で負ける</w:t>
            </w:r>
          </w:p>
        </w:tc>
      </w:tr>
      <w:tr>
        <w:tc>
          <w:tcPr>
            <w:tcW w:type="dxa" w:w="3024"/>
            <w:shd w:val="clear" w:color="auto" w:fill="FFDDC1"/>
            <w:tcW w:w="2268" w:type="dxa"/>
          </w:tcPr>
          <w:p>
            <w:pPr>
              <w:spacing w:after="0"/>
            </w:pPr>
            <w:r/>
            <w:r>
              <w:rPr>
                <w:sz w:val="20"/>
              </w:rPr>
              <w:t>ターゲットが混在</w:t>
            </w:r>
          </w:p>
        </w:tc>
        <w:tc>
          <w:tcPr>
            <w:tcW w:type="dxa" w:w="3024"/>
            <w:shd w:val="clear" w:color="auto" w:fill="FFDDC1"/>
            <w:tcW w:w="3402" w:type="dxa"/>
          </w:tcPr>
          <w:p>
            <w:pPr>
              <w:spacing w:after="0"/>
            </w:pPr>
            <w:r/>
            <w:r>
              <w:rPr>
                <w:sz w:val="20"/>
              </w:rPr>
              <w:t>地方自治体・医療機器・サブスク企業が同列に並ぶ</w:t>
            </w:r>
          </w:p>
        </w:tc>
        <w:tc>
          <w:tcPr>
            <w:tcW w:type="dxa" w:w="3024"/>
            <w:shd w:val="clear" w:color="auto" w:fill="FFDDC1"/>
            <w:tcW w:w="3118" w:type="dxa"/>
          </w:tcPr>
          <w:p>
            <w:pPr>
              <w:spacing w:after="0"/>
            </w:pPr>
            <w:r/>
            <w:r>
              <w:rPr>
                <w:sz w:val="20"/>
              </w:rPr>
              <w:t>訪問者が「自分向けか」を判断できない</w:t>
            </w:r>
          </w:p>
        </w:tc>
      </w:tr>
    </w:tbl>
    <w:p/>
    <w:p>
      <w:pPr>
        <w:spacing w:before="240" w:after="80"/>
      </w:pPr>
      <w:r>
        <w:rPr>
          <w:b/>
          <w:color w:val="2E74B5"/>
          <w:sz w:val="26"/>
        </w:rPr>
        <w:t>Webリード獲得施策の優先順位</w:t>
      </w:r>
    </w:p>
    <w:p>
      <w:pPr>
        <w:spacing w:after="80"/>
      </w:pPr>
      <w:r>
        <w:t>戦略B×Cとの連動で整理した場合、以下の優先順位が最も合理的である。</w:t>
      </w:r>
    </w:p>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shd w:val="clear" w:color="auto" w:fill="2E74B5"/>
            <w:tcW w:w="2268" w:type="dxa"/>
          </w:tcPr>
          <w:p>
            <w:pPr>
              <w:spacing w:after="0"/>
            </w:pPr>
            <w:r/>
            <w:r>
              <w:rPr>
                <w:b/>
                <w:color w:val="FFFFFF"/>
                <w:sz w:val="20"/>
              </w:rPr>
              <w:t>施策</w:t>
            </w:r>
          </w:p>
        </w:tc>
        <w:tc>
          <w:tcPr>
            <w:tcW w:type="dxa" w:w="2268"/>
            <w:shd w:val="clear" w:color="auto" w:fill="2E74B5"/>
            <w:tcW w:w="1417" w:type="dxa"/>
          </w:tcPr>
          <w:p>
            <w:pPr>
              <w:spacing w:after="0"/>
            </w:pPr>
            <w:r/>
            <w:r>
              <w:rPr>
                <w:b/>
                <w:color w:val="FFFFFF"/>
                <w:sz w:val="20"/>
              </w:rPr>
              <w:t>優先度</w:t>
            </w:r>
          </w:p>
        </w:tc>
        <w:tc>
          <w:tcPr>
            <w:tcW w:type="dxa" w:w="2268"/>
            <w:shd w:val="clear" w:color="auto" w:fill="2E74B5"/>
            <w:tcW w:w="1701" w:type="dxa"/>
          </w:tcPr>
          <w:p>
            <w:pPr>
              <w:spacing w:after="0"/>
            </w:pPr>
            <w:r/>
            <w:r>
              <w:rPr>
                <w:b/>
                <w:color w:val="FFFFFF"/>
                <w:sz w:val="20"/>
              </w:rPr>
              <w:t>実施タイミング</w:t>
            </w:r>
          </w:p>
        </w:tc>
        <w:tc>
          <w:tcPr>
            <w:tcW w:type="dxa" w:w="2268"/>
            <w:shd w:val="clear" w:color="auto" w:fill="2E74B5"/>
            <w:tcW w:w="3402" w:type="dxa"/>
          </w:tcPr>
          <w:p>
            <w:pPr>
              <w:spacing w:after="0"/>
            </w:pPr>
            <w:r/>
            <w:r>
              <w:rPr>
                <w:b/>
                <w:color w:val="FFFFFF"/>
                <w:sz w:val="20"/>
              </w:rPr>
              <w:t>戦略B×Cとの連動</w:t>
            </w:r>
          </w:p>
        </w:tc>
      </w:tr>
      <w:tr>
        <w:tc>
          <w:tcPr>
            <w:tcW w:type="dxa" w:w="2268"/>
            <w:shd w:val="clear" w:color="auto" w:fill="E2EFDA"/>
            <w:tcW w:w="2268" w:type="dxa"/>
          </w:tcPr>
          <w:p>
            <w:pPr>
              <w:spacing w:after="0"/>
            </w:pPr>
            <w:r/>
            <w:r>
              <w:rPr>
                <w:sz w:val="20"/>
              </w:rPr>
              <w:t>LP改善（数値・CTA・差別化）</w:t>
            </w:r>
          </w:p>
        </w:tc>
        <w:tc>
          <w:tcPr>
            <w:tcW w:type="dxa" w:w="2268"/>
            <w:shd w:val="clear" w:color="auto" w:fill="E2EFDA"/>
            <w:tcW w:w="1417" w:type="dxa"/>
          </w:tcPr>
          <w:p>
            <w:pPr>
              <w:spacing w:after="0"/>
            </w:pPr>
            <w:r/>
            <w:r>
              <w:rPr>
                <w:sz w:val="20"/>
              </w:rPr>
              <w:t>P0（最優先）</w:t>
            </w:r>
          </w:p>
        </w:tc>
        <w:tc>
          <w:tcPr>
            <w:tcW w:type="dxa" w:w="2268"/>
            <w:shd w:val="clear" w:color="auto" w:fill="E2EFDA"/>
            <w:tcW w:w="1701" w:type="dxa"/>
          </w:tcPr>
          <w:p>
            <w:pPr>
              <w:spacing w:after="0"/>
            </w:pPr>
            <w:r/>
            <w:r>
              <w:rPr>
                <w:sz w:val="20"/>
              </w:rPr>
              <w:t>今すぐ</w:t>
            </w:r>
          </w:p>
        </w:tc>
        <w:tc>
          <w:tcPr>
            <w:tcW w:type="dxa" w:w="2268"/>
            <w:shd w:val="clear" w:color="auto" w:fill="E2EFDA"/>
            <w:tcW w:w="3402" w:type="dxa"/>
          </w:tcPr>
          <w:p>
            <w:pPr>
              <w:spacing w:after="0"/>
            </w:pPr>
            <w:r/>
            <w:r>
              <w:rPr>
                <w:sz w:val="20"/>
              </w:rPr>
              <w:t>広告・SEO投資前の必須前提。CV率ゼロのLPに流入を増やしても無駄</w:t>
            </w:r>
          </w:p>
        </w:tc>
      </w:tr>
      <w:tr>
        <w:tc>
          <w:tcPr>
            <w:tcW w:type="dxa" w:w="2268"/>
            <w:shd w:val="clear" w:color="auto" w:fill="EBF3FB"/>
            <w:tcW w:w="2268" w:type="dxa"/>
          </w:tcPr>
          <w:p>
            <w:pPr>
              <w:spacing w:after="0"/>
            </w:pPr>
            <w:r/>
            <w:r>
              <w:rPr>
                <w:sz w:val="20"/>
              </w:rPr>
              <w:t>事例コンテンツ作成</w:t>
            </w:r>
          </w:p>
        </w:tc>
        <w:tc>
          <w:tcPr>
            <w:tcW w:type="dxa" w:w="2268"/>
            <w:shd w:val="clear" w:color="auto" w:fill="EBF3FB"/>
            <w:tcW w:w="1417" w:type="dxa"/>
          </w:tcPr>
          <w:p>
            <w:pPr>
              <w:spacing w:after="0"/>
            </w:pPr>
            <w:r/>
            <w:r>
              <w:rPr>
                <w:sz w:val="20"/>
              </w:rPr>
              <w:t>P1</w:t>
            </w:r>
          </w:p>
        </w:tc>
        <w:tc>
          <w:tcPr>
            <w:tcW w:type="dxa" w:w="2268"/>
            <w:shd w:val="clear" w:color="auto" w:fill="EBF3FB"/>
            <w:tcW w:w="1701" w:type="dxa"/>
          </w:tcPr>
          <w:p>
            <w:pPr>
              <w:spacing w:after="0"/>
            </w:pPr>
            <w:r/>
            <w:r>
              <w:rPr>
                <w:sz w:val="20"/>
              </w:rPr>
              <w:t>1〜3ヶ月</w:t>
            </w:r>
          </w:p>
        </w:tc>
        <w:tc>
          <w:tcPr>
            <w:tcW w:type="dxa" w:w="2268"/>
            <w:shd w:val="clear" w:color="auto" w:fill="EBF3FB"/>
            <w:tcW w:w="3402" w:type="dxa"/>
          </w:tcPr>
          <w:p>
            <w:pPr>
              <w:spacing w:after="0"/>
            </w:pPr>
            <w:r/>
            <w:r>
              <w:rPr>
                <w:sz w:val="20"/>
              </w:rPr>
              <w:t>B戦略の横展開営業と直接連動。ケーススタディが営業ツールにもなる</w:t>
            </w:r>
          </w:p>
        </w:tc>
      </w:tr>
      <w:tr>
        <w:tc>
          <w:tcPr>
            <w:tcW w:type="dxa" w:w="2268"/>
            <w:shd w:val="clear" w:color="auto" w:fill="EBF3FB"/>
            <w:tcW w:w="2268" w:type="dxa"/>
          </w:tcPr>
          <w:p>
            <w:pPr>
              <w:spacing w:after="0"/>
            </w:pPr>
            <w:r/>
            <w:r>
              <w:rPr>
                <w:sz w:val="20"/>
              </w:rPr>
              <w:t>SEO（特化キーワード）</w:t>
            </w:r>
          </w:p>
        </w:tc>
        <w:tc>
          <w:tcPr>
            <w:tcW w:type="dxa" w:w="2268"/>
            <w:shd w:val="clear" w:color="auto" w:fill="EBF3FB"/>
            <w:tcW w:w="1417" w:type="dxa"/>
          </w:tcPr>
          <w:p>
            <w:pPr>
              <w:spacing w:after="0"/>
            </w:pPr>
            <w:r/>
            <w:r>
              <w:rPr>
                <w:sz w:val="20"/>
              </w:rPr>
              <w:t>P1</w:t>
            </w:r>
          </w:p>
        </w:tc>
        <w:tc>
          <w:tcPr>
            <w:tcW w:type="dxa" w:w="2268"/>
            <w:shd w:val="clear" w:color="auto" w:fill="EBF3FB"/>
            <w:tcW w:w="1701" w:type="dxa"/>
          </w:tcPr>
          <w:p>
            <w:pPr>
              <w:spacing w:after="0"/>
            </w:pPr>
            <w:r/>
            <w:r>
              <w:rPr>
                <w:sz w:val="20"/>
              </w:rPr>
              <w:t>3〜6ヶ月</w:t>
            </w:r>
          </w:p>
        </w:tc>
        <w:tc>
          <w:tcPr>
            <w:tcW w:type="dxa" w:w="2268"/>
            <w:shd w:val="clear" w:color="auto" w:fill="EBF3FB"/>
            <w:tcW w:w="3402" w:type="dxa"/>
          </w:tcPr>
          <w:p>
            <w:pPr>
              <w:spacing w:after="0"/>
            </w:pPr>
            <w:r/>
            <w:r>
              <w:rPr>
                <w:sz w:val="20"/>
              </w:rPr>
              <w:t>C戦略（ラクスル対抗）に必要。競合が手薄な特化KWを狙う</w:t>
            </w:r>
          </w:p>
        </w:tc>
      </w:tr>
      <w:tr>
        <w:tc>
          <w:tcPr>
            <w:tcW w:type="dxa" w:w="2268"/>
            <w:shd w:val="clear" w:color="auto" w:fill="FFFFFF"/>
            <w:tcW w:w="2268" w:type="dxa"/>
          </w:tcPr>
          <w:p>
            <w:pPr>
              <w:spacing w:after="0"/>
            </w:pPr>
            <w:r/>
            <w:r>
              <w:rPr>
                <w:sz w:val="20"/>
              </w:rPr>
              <w:t>Web広告（リスティング等）</w:t>
            </w:r>
          </w:p>
        </w:tc>
        <w:tc>
          <w:tcPr>
            <w:tcW w:type="dxa" w:w="2268"/>
            <w:shd w:val="clear" w:color="auto" w:fill="FFFFFF"/>
            <w:tcW w:w="1417" w:type="dxa"/>
          </w:tcPr>
          <w:p>
            <w:pPr>
              <w:spacing w:after="0"/>
            </w:pPr>
            <w:r/>
            <w:r>
              <w:rPr>
                <w:sz w:val="20"/>
              </w:rPr>
              <w:t>P2</w:t>
            </w:r>
          </w:p>
        </w:tc>
        <w:tc>
          <w:tcPr>
            <w:tcW w:type="dxa" w:w="2268"/>
            <w:shd w:val="clear" w:color="auto" w:fill="FFFFFF"/>
            <w:tcW w:w="1701" w:type="dxa"/>
          </w:tcPr>
          <w:p>
            <w:pPr>
              <w:spacing w:after="0"/>
            </w:pPr>
            <w:r/>
            <w:r>
              <w:rPr>
                <w:sz w:val="20"/>
              </w:rPr>
              <w:t>LP改善・SEO確立後</w:t>
            </w:r>
          </w:p>
        </w:tc>
        <w:tc>
          <w:tcPr>
            <w:tcW w:type="dxa" w:w="2268"/>
            <w:shd w:val="clear" w:color="auto" w:fill="FFFFFF"/>
            <w:tcW w:w="3402" w:type="dxa"/>
          </w:tcPr>
          <w:p>
            <w:pPr>
              <w:spacing w:after="0"/>
            </w:pPr>
            <w:r/>
            <w:r>
              <w:rPr>
                <w:sz w:val="20"/>
              </w:rPr>
              <w:t>CVR確認前の出稿はROI不明。後回しが正解</w:t>
            </w:r>
          </w:p>
        </w:tc>
      </w:tr>
    </w:tbl>
    <w:p/>
    <w:p>
      <w:pPr>
        <w:spacing w:before="240" w:after="80"/>
      </w:pPr>
      <w:r>
        <w:rPr>
          <w:b/>
          <w:color w:val="2E74B5"/>
          <w:sz w:val="26"/>
        </w:rPr>
        <w:t>LP改善：具体的な3つのアクション（P0）</w:t>
      </w:r>
    </w:p>
    <w:p>
      <w:pPr>
        <w:spacing w:before="160" w:after="40"/>
      </w:pPr>
      <w:r>
        <w:rPr>
          <w:b/>
          <w:color w:val="404040"/>
          <w:sz w:val="22"/>
        </w:rPr>
        <w:t>① ベースフードの成果数値をファーストビューに入れる</w:t>
      </w:r>
    </w:p>
    <w:p>
      <w:pPr>
        <w:spacing w:after="80"/>
      </w:pPr>
      <w:r>
        <w:t>「解約後ウィンバック率X%・年間20万通の自動送付」という具体的な実績を、LP冒頭のキャッチコピーに組み込む。現状は「自動化できます」という機能訴求に終始しており、成果訴求に変えるだけで問い合わせ率は上がる。ベースフードの許諾が取れれば社名も出す。</w:t>
      </w:r>
    </w:p>
    <w:p>
      <w:pPr>
        <w:spacing w:before="160" w:after="40"/>
      </w:pPr>
      <w:r>
        <w:rPr>
          <w:b/>
          <w:color w:val="404040"/>
          <w:sz w:val="22"/>
        </w:rPr>
        <w:t>② CTAに「事例資料ダウンロード」を追加する</w:t>
      </w:r>
    </w:p>
    <w:p>
      <w:pPr>
        <w:spacing w:after="80"/>
      </w:pPr>
      <w:r>
        <w:t>「お問い合わせ」はハードルが高い。「まず事例を見たい」層のためにダウンロード型CTAを設ける。これにより、まだ検討初期の潜在顧客のメールアドレスを獲得でき、ナーチャリング（育成）につなげられる。戦略BのターゲットであるEC・配食担当者は「他社の成功事例」に最も反応する。</w:t>
      </w:r>
    </w:p>
    <w:p>
      <w:pPr>
        <w:spacing w:before="160" w:after="40"/>
      </w:pPr>
      <w:r>
        <w:rPr>
          <w:b/>
          <w:color w:val="404040"/>
          <w:sz w:val="22"/>
        </w:rPr>
        <w:t>③「なぜDM Connectか」の比較セクションを追加する</w:t>
      </w:r>
    </w:p>
    <w:p>
      <w:pPr>
        <w:spacing w:after="80"/>
      </w:pPr>
      <w:r>
        <w:t>「ラクスルとの違い」「セルフサービス型との違い」を1セクションで明示する。訴求軸は「シナリオ設計コンサル＋SHANON連携の深さ＋実績事例の多様さ」。C戦略のポジショニングとLP上のメッセージを一致させることが重要。</w:t>
      </w:r>
    </w:p>
    <w:p>
      <w:pPr>
        <w:spacing w:before="240" w:after="80"/>
      </w:pPr>
      <w:r>
        <w:rPr>
          <w:b/>
          <w:color w:val="2E74B5"/>
          <w:sz w:val="26"/>
        </w:rPr>
        <w:t>SEOで狙うべき特化キーワード</w:t>
      </w:r>
    </w:p>
    <w:p>
      <w:pPr>
        <w:spacing w:after="80"/>
      </w:pPr>
      <w:r>
        <w:t>ラクスル・セルマーケが支配する汎用キーワード（「DM 自動送付」「はがき 印刷 発送」等）は避ける。DM Connectが優位に立てる以下の特化キーワードを中心にコンテンツを設計する。</w:t>
      </w:r>
    </w:p>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shd w:val="clear" w:color="auto" w:fill="2E74B5"/>
            <w:tcW w:w="3402" w:type="dxa"/>
          </w:tcPr>
          <w:p>
            <w:pPr>
              <w:spacing w:after="0"/>
            </w:pPr>
            <w:r/>
            <w:r>
              <w:rPr>
                <w:b/>
                <w:color w:val="FFFFFF"/>
                <w:sz w:val="20"/>
              </w:rPr>
              <w:t>キーワード</w:t>
            </w:r>
          </w:p>
        </w:tc>
        <w:tc>
          <w:tcPr>
            <w:tcW w:type="dxa" w:w="3024"/>
            <w:shd w:val="clear" w:color="auto" w:fill="2E74B5"/>
            <w:tcW w:w="2835" w:type="dxa"/>
          </w:tcPr>
          <w:p>
            <w:pPr>
              <w:spacing w:after="0"/>
            </w:pPr>
            <w:r/>
            <w:r>
              <w:rPr>
                <w:b/>
                <w:color w:val="FFFFFF"/>
                <w:sz w:val="20"/>
              </w:rPr>
              <w:t>ターゲット読者</w:t>
            </w:r>
          </w:p>
        </w:tc>
        <w:tc>
          <w:tcPr>
            <w:tcW w:type="dxa" w:w="3024"/>
            <w:shd w:val="clear" w:color="auto" w:fill="2E74B5"/>
            <w:tcW w:w="3118" w:type="dxa"/>
          </w:tcPr>
          <w:p>
            <w:pPr>
              <w:spacing w:after="0"/>
            </w:pPr>
            <w:r/>
            <w:r>
              <w:rPr>
                <w:b/>
                <w:color w:val="FFFFFF"/>
                <w:sz w:val="20"/>
              </w:rPr>
              <w:t>戦略との連動</w:t>
            </w:r>
          </w:p>
        </w:tc>
      </w:tr>
      <w:tr>
        <w:tc>
          <w:tcPr>
            <w:tcW w:type="dxa" w:w="3024"/>
            <w:shd w:val="clear" w:color="auto" w:fill="EBF3FB"/>
            <w:tcW w:w="3402" w:type="dxa"/>
          </w:tcPr>
          <w:p>
            <w:pPr>
              <w:spacing w:after="0"/>
            </w:pPr>
            <w:r/>
            <w:r>
              <w:rPr>
                <w:sz w:val="20"/>
              </w:rPr>
              <w:t>解約ウィンバック DM 自動化</w:t>
            </w:r>
          </w:p>
        </w:tc>
        <w:tc>
          <w:tcPr>
            <w:tcW w:type="dxa" w:w="3024"/>
            <w:shd w:val="clear" w:color="auto" w:fill="EBF3FB"/>
            <w:tcW w:w="2835" w:type="dxa"/>
          </w:tcPr>
          <w:p>
            <w:pPr>
              <w:spacing w:after="0"/>
            </w:pPr>
            <w:r/>
            <w:r>
              <w:rPr>
                <w:sz w:val="20"/>
              </w:rPr>
              <w:t>サブスク系企業のMA担当者</w:t>
            </w:r>
          </w:p>
        </w:tc>
        <w:tc>
          <w:tcPr>
            <w:tcW w:type="dxa" w:w="3024"/>
            <w:shd w:val="clear" w:color="auto" w:fill="EBF3FB"/>
            <w:tcW w:w="3118" w:type="dxa"/>
          </w:tcPr>
          <w:p>
            <w:pPr>
              <w:spacing w:after="0"/>
            </w:pPr>
            <w:r/>
            <w:r>
              <w:rPr>
                <w:sz w:val="20"/>
              </w:rPr>
              <w:t>戦略B（横展開）の最優先ターゲット層</w:t>
            </w:r>
          </w:p>
        </w:tc>
      </w:tr>
      <w:tr>
        <w:tc>
          <w:tcPr>
            <w:tcW w:type="dxa" w:w="3024"/>
            <w:shd w:val="clear" w:color="auto" w:fill="EBF3FB"/>
            <w:tcW w:w="3402" w:type="dxa"/>
          </w:tcPr>
          <w:p>
            <w:pPr>
              <w:spacing w:after="0"/>
            </w:pPr>
            <w:r/>
            <w:r>
              <w:rPr>
                <w:sz w:val="20"/>
              </w:rPr>
              <w:t>MA連携 DM 印刷 SHANON</w:t>
            </w:r>
          </w:p>
        </w:tc>
        <w:tc>
          <w:tcPr>
            <w:tcW w:type="dxa" w:w="3024"/>
            <w:shd w:val="clear" w:color="auto" w:fill="EBF3FB"/>
            <w:tcW w:w="2835" w:type="dxa"/>
          </w:tcPr>
          <w:p>
            <w:pPr>
              <w:spacing w:after="0"/>
            </w:pPr>
            <w:r/>
            <w:r>
              <w:rPr>
                <w:sz w:val="20"/>
              </w:rPr>
              <w:t>SHANONユーザー企業</w:t>
            </w:r>
          </w:p>
        </w:tc>
        <w:tc>
          <w:tcPr>
            <w:tcW w:type="dxa" w:w="3024"/>
            <w:shd w:val="clear" w:color="auto" w:fill="EBF3FB"/>
            <w:tcW w:w="3118" w:type="dxa"/>
          </w:tcPr>
          <w:p>
            <w:pPr>
              <w:spacing w:after="0"/>
            </w:pPr>
            <w:r/>
            <w:r>
              <w:rPr>
                <w:sz w:val="20"/>
              </w:rPr>
              <w:t>戦略C（SHANON独占的連携）の強化</w:t>
            </w:r>
          </w:p>
        </w:tc>
      </w:tr>
      <w:tr>
        <w:tc>
          <w:tcPr>
            <w:tcW w:type="dxa" w:w="3024"/>
            <w:shd w:val="clear" w:color="auto" w:fill="EBF3FB"/>
            <w:tcW w:w="3402" w:type="dxa"/>
          </w:tcPr>
          <w:p>
            <w:pPr>
              <w:spacing w:after="0"/>
            </w:pPr>
            <w:r/>
            <w:r>
              <w:rPr>
                <w:sz w:val="20"/>
              </w:rPr>
              <w:t>トリガーDM サービス 比較</w:t>
            </w:r>
          </w:p>
        </w:tc>
        <w:tc>
          <w:tcPr>
            <w:tcW w:type="dxa" w:w="3024"/>
            <w:shd w:val="clear" w:color="auto" w:fill="EBF3FB"/>
            <w:tcW w:w="2835" w:type="dxa"/>
          </w:tcPr>
          <w:p>
            <w:pPr>
              <w:spacing w:after="0"/>
            </w:pPr>
            <w:r/>
            <w:r>
              <w:rPr>
                <w:sz w:val="20"/>
              </w:rPr>
              <w:t>競合比較中の検討者</w:t>
            </w:r>
          </w:p>
        </w:tc>
        <w:tc>
          <w:tcPr>
            <w:tcW w:type="dxa" w:w="3024"/>
            <w:shd w:val="clear" w:color="auto" w:fill="EBF3FB"/>
            <w:tcW w:w="3118" w:type="dxa"/>
          </w:tcPr>
          <w:p>
            <w:pPr>
              <w:spacing w:after="0"/>
            </w:pPr>
            <w:r/>
            <w:r>
              <w:rPr>
                <w:sz w:val="20"/>
              </w:rPr>
              <w:t>戦略C（差別化訴求）に直結</w:t>
            </w:r>
          </w:p>
        </w:tc>
      </w:tr>
      <w:tr>
        <w:tc>
          <w:tcPr>
            <w:tcW w:type="dxa" w:w="3024"/>
            <w:shd w:val="clear" w:color="auto" w:fill="EBF3FB"/>
            <w:tcW w:w="3402" w:type="dxa"/>
          </w:tcPr>
          <w:p>
            <w:pPr>
              <w:spacing w:after="0"/>
            </w:pPr>
            <w:r/>
            <w:r>
              <w:rPr>
                <w:sz w:val="20"/>
              </w:rPr>
              <w:t>サブスク 離脱防止 DM</w:t>
            </w:r>
          </w:p>
        </w:tc>
        <w:tc>
          <w:tcPr>
            <w:tcW w:type="dxa" w:w="3024"/>
            <w:shd w:val="clear" w:color="auto" w:fill="EBF3FB"/>
            <w:tcW w:w="2835" w:type="dxa"/>
          </w:tcPr>
          <w:p>
            <w:pPr>
              <w:spacing w:after="0"/>
            </w:pPr>
            <w:r/>
            <w:r>
              <w:rPr>
                <w:sz w:val="20"/>
              </w:rPr>
              <w:t>EC・配食・美容定期の担当者</w:t>
            </w:r>
          </w:p>
        </w:tc>
        <w:tc>
          <w:tcPr>
            <w:tcW w:type="dxa" w:w="3024"/>
            <w:shd w:val="clear" w:color="auto" w:fill="EBF3FB"/>
            <w:tcW w:w="3118" w:type="dxa"/>
          </w:tcPr>
          <w:p>
            <w:pPr>
              <w:spacing w:after="0"/>
            </w:pPr>
            <w:r/>
            <w:r>
              <w:rPr>
                <w:sz w:val="20"/>
              </w:rPr>
              <w:t>戦略B（横展開）の集客</w:t>
            </w:r>
          </w:p>
        </w:tc>
      </w:tr>
      <w:tr>
        <w:tc>
          <w:tcPr>
            <w:tcW w:type="dxa" w:w="3024"/>
            <w:shd w:val="clear" w:color="auto" w:fill="EBF3FB"/>
            <w:tcW w:w="3402" w:type="dxa"/>
          </w:tcPr>
          <w:p>
            <w:pPr>
              <w:spacing w:after="0"/>
            </w:pPr>
            <w:r/>
            <w:r>
              <w:rPr>
                <w:sz w:val="20"/>
              </w:rPr>
              <w:t>パーソナライズDM ラクスル 違い</w:t>
            </w:r>
          </w:p>
        </w:tc>
        <w:tc>
          <w:tcPr>
            <w:tcW w:type="dxa" w:w="3024"/>
            <w:shd w:val="clear" w:color="auto" w:fill="EBF3FB"/>
            <w:tcW w:w="2835" w:type="dxa"/>
          </w:tcPr>
          <w:p>
            <w:pPr>
              <w:spacing w:after="0"/>
            </w:pPr>
            <w:r/>
            <w:r>
              <w:rPr>
                <w:sz w:val="20"/>
              </w:rPr>
              <w:t>ラクスルと比較中の検討者</w:t>
            </w:r>
          </w:p>
        </w:tc>
        <w:tc>
          <w:tcPr>
            <w:tcW w:type="dxa" w:w="3024"/>
            <w:shd w:val="clear" w:color="auto" w:fill="EBF3FB"/>
            <w:tcW w:w="3118" w:type="dxa"/>
          </w:tcPr>
          <w:p>
            <w:pPr>
              <w:spacing w:after="0"/>
            </w:pPr>
            <w:r/>
            <w:r>
              <w:rPr>
                <w:sz w:val="20"/>
              </w:rPr>
              <w:t>戦略C（ラクスル対抗）</w:t>
            </w:r>
          </w:p>
        </w:tc>
      </w:tr>
    </w:tbl>
    <w:p/>
    <w:p>
      <w:pPr>
        <w:spacing w:before="240" w:after="80"/>
      </w:pPr>
      <w:r>
        <w:rPr>
          <w:b/>
          <w:color w:val="2E74B5"/>
          <w:sz w:val="26"/>
        </w:rPr>
        <w:t>Web施策全体の投資判断基準</w:t>
      </w:r>
    </w:p>
    <w:p>
      <w:pPr>
        <w:spacing w:after="80"/>
      </w:pPr>
      <w:r>
        <w:t>重要な前提として、DM Connectの現在の売上構造はパートナー経由（シャノン・エンバーポイント）と直接営業が中心であり、WebからのインバウンドリードのCVRは未測定である。したがって以下の順序で投資判断を行うべきだ。</w:t>
      </w:r>
    </w:p>
    <w:p>
      <w:pPr>
        <w:pStyle w:val="ListBullet"/>
        <w:spacing w:after="40"/>
        <w:ind w:left="454"/>
      </w:pPr>
      <w:r>
        <w:rPr>
          <w:sz w:val="21"/>
        </w:rPr>
        <w:t>Step 1：LP改善（コスト最小・効果最大）→ 問い合わせ数・資料DL数を計測し、CVR基準値を取得する</w:t>
      </w:r>
    </w:p>
    <w:p>
      <w:pPr>
        <w:pStyle w:val="ListBullet"/>
        <w:spacing w:after="40"/>
        <w:ind w:left="454"/>
      </w:pPr>
      <w:r>
        <w:rPr>
          <w:sz w:val="21"/>
        </w:rPr>
        <w:t>Step 2：SEOコンテンツ（3〜6ヶ月）→ 有機流入数・リード単価を確認する</w:t>
      </w:r>
    </w:p>
    <w:p>
      <w:pPr>
        <w:pStyle w:val="ListBullet"/>
        <w:spacing w:after="40"/>
        <w:ind w:left="454"/>
      </w:pPr>
      <w:r>
        <w:rPr>
          <w:sz w:val="21"/>
        </w:rPr>
        <w:t>Step 3：Web広告（LP改善後）→ リード単価が許容範囲（目安：LTV/3以下）になったタイミングで出稿開始</w:t>
      </w:r>
    </w:p>
    <w:p>
      <w:pPr>
        <w:spacing w:after="80"/>
      </w:pPr>
      <w:r>
        <w:t>LP改善前に広告費を投じると、クリック単価のみ発生してリードが獲得できないという最悪の状態になる。順序を守ることが最重要。</w:t>
      </w:r>
    </w:p>
    <w:p/>
    <w:p>
      <w:pPr>
        <w:spacing w:after="80"/>
      </w:pPr>
      <w:r>
        <w:t>※ 本資料は2025年度実績データ（台帳管理）・競合分析資料・社内説明資料・現LP（https://www.jp-md.co.jp/dm_connect/）をもとに作成。</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