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after="280"/>
        <w:jc w:val="center"/>
      </w:pPr>
      <w:r>
        <w:rPr>
          <w:b/>
          <w:i w:val="0"/>
          <w:sz w:val="60"/>
        </w:rPr>
        <w:t>THE BEHOLDER</w:t>
      </w:r>
    </w:p>
    <w:p>
      <w:pPr>
        <w:spacing w:before="0" w:after="4000"/>
        <w:jc w:val="center"/>
      </w:pPr>
      <w:r>
        <w:rPr>
          <w:b w:val="0"/>
          <w:i/>
          <w:sz w:val="30"/>
        </w:rPr>
        <w:t>The Confession of the Ordinary — A Memoir of a Beautiful Mind</w:t>
      </w:r>
    </w:p>
    <w:p>
      <w:pPr>
        <w:spacing w:before="0" w:after="160"/>
        <w:jc w:val="center"/>
      </w:pPr>
      <w:r>
        <w:rPr>
          <w:b/>
          <w:i w:val="0"/>
          <w:sz w:val="28"/>
        </w:rPr>
        <w:t>NILOY DAS</w:t>
      </w:r>
    </w:p>
    <w:p>
      <w:pPr>
        <w:spacing w:before="0" w:after="120"/>
        <w:jc w:val="center"/>
      </w:pPr>
      <w:r>
        <w:rPr>
          <w:b w:val="0"/>
          <w:i w:val="0"/>
          <w:sz w:val="24"/>
        </w:rPr>
        <w:t>A companion memoir of The Beholder Project</w:t>
      </w:r>
    </w:p>
    <w:p>
      <w:r>
        <w:br w:type="page"/>
      </w:r>
    </w:p>
    <w:p>
      <w:pPr>
        <w:spacing w:before="0" w:after="60"/>
      </w:pPr>
      <w:r>
        <w:rPr>
          <w:b w:val="0"/>
          <w:i w:val="0"/>
          <w:sz w:val="20"/>
        </w:rPr>
        <w:t>Copyright © 2026 Niloy Das</w:t>
      </w:r>
    </w:p>
    <w:p>
      <w:pPr>
        <w:spacing w:before="0" w:after="60"/>
      </w:pPr>
      <w:r>
        <w:rPr>
          <w:b w:val="0"/>
          <w:i w:val="0"/>
          <w:sz w:val="20"/>
        </w:rPr>
        <w:t>All rights reserved.</w:t>
      </w:r>
    </w:p>
    <w:p>
      <w:pPr>
        <w:spacing w:before="0" w:after="60"/>
      </w:pPr>
      <w:r>
        <w:rPr>
          <w:b w:val="0"/>
          <w:i w:val="0"/>
          <w:sz w:val="20"/>
        </w:rPr>
        <w:t>No part of this publication may be reproduced or transmitted in any form without prior written permission of the author.</w:t>
      </w:r>
    </w:p>
    <w:p>
      <w:pPr>
        <w:spacing w:before="0" w:after="60"/>
      </w:pPr>
      <w:r>
        <w:rPr>
          <w:b w:val="0"/>
          <w:i w:val="0"/>
          <w:sz w:val="20"/>
        </w:rPr>
        <w:t>First Edition — August 2026</w:t>
      </w:r>
    </w:p>
    <w:p>
      <w:pPr>
        <w:spacing w:before="0" w:after="60"/>
      </w:pPr>
      <w:r>
        <w:rPr>
          <w:b w:val="0"/>
          <w:i w:val="0"/>
          <w:sz w:val="20"/>
        </w:rPr>
        <w:t>A companion memoir of The Beholder Project</w:t>
      </w:r>
    </w:p>
    <w:p>
      <w:pPr>
        <w:spacing w:before="0" w:after="60"/>
      </w:pPr>
      <w:r>
        <w:rPr>
          <w:b w:val="0"/>
          <w:i w:val="0"/>
          <w:sz w:val="20"/>
        </w:rPr>
        <w:t>Independently published via Kindle Direct Publishing</w:t>
      </w:r>
    </w:p>
    <w:p>
      <w:r>
        <w:br w:type="page"/>
      </w:r>
    </w:p>
    <w:p>
      <w:bookmarkStart w:id="100" w:name="toc_100"/>
      <w:pPr>
        <w:pStyle w:val="Heading1"/>
        <w:spacing w:before="360" w:after="160"/>
      </w:pPr>
      <w:r>
        <w:rPr>
          <w:rFonts w:ascii="Georgia" w:hAnsi="Georgia"/>
          <w:color w:val="1A1A2E"/>
        </w:rPr>
        <w:t>Contents</w:t>
      </w:r>
      <w:bookmarkEnd w:id="100"/>
    </w:p>
    <w:p>
      <w:pPr>
        <w:spacing w:after="0"/>
      </w:pPr>
      <w:r>
        <w:fldChar w:fldCharType="begin" w:dirty="true"/>
        <w:instrText xml:space="preserve"> TOC \o "1-2" \h \z \u </w:instrText>
        <w:fldChar w:fldCharType="separate"/>
      </w:r>
    </w:p>
    <w:p>
      <w:pPr>
        <w:spacing w:after="40"/>
        <w:ind w:left="0"/>
      </w:pPr>
      <w:hyperlink w:anchor="toc_101">
        <w:r>
          <w:rPr>
            <w:color w:val="1A1A2E"/>
            <w:b/>
            <w:sz w:val="23"/>
            <w:rFonts w:ascii="Georgia" w:hAnsi="Georgia"/>
          </w:rPr>
          <w:t xml:space="preserve">I. The Eagle</w:t>
        </w:r>
      </w:hyperlink>
    </w:p>
    <w:p>
      <w:pPr>
        <w:spacing w:after="40"/>
        <w:ind w:left="480"/>
      </w:pPr>
      <w:hyperlink w:anchor="toc_102">
        <w:r>
          <w:rPr>
            <w:color w:val="1A1A2E"/>
            <w:sz w:val="21"/>
            <w:rFonts w:ascii="Georgia" w:hAnsi="Georgia"/>
          </w:rPr>
          <w:t xml:space="preserve">The War With the Mind</w:t>
        </w:r>
      </w:hyperlink>
    </w:p>
    <w:p>
      <w:pPr>
        <w:spacing w:after="40"/>
        <w:ind w:left="480"/>
      </w:pPr>
      <w:hyperlink w:anchor="toc_103">
        <w:r>
          <w:rPr>
            <w:color w:val="1A1A2E"/>
            <w:sz w:val="21"/>
            <w:rFonts w:ascii="Georgia" w:hAnsi="Georgia"/>
          </w:rPr>
          <w:t xml:space="preserve">The Line</w:t>
        </w:r>
      </w:hyperlink>
    </w:p>
    <w:p>
      <w:pPr>
        <w:spacing w:after="40"/>
        <w:ind w:left="480"/>
      </w:pPr>
      <w:hyperlink w:anchor="toc_104">
        <w:r>
          <w:rPr>
            <w:color w:val="1A1A2E"/>
            <w:sz w:val="21"/>
            <w:rFonts w:ascii="Georgia" w:hAnsi="Georgia"/>
          </w:rPr>
          <w:t xml:space="preserve">The Pleasure</w:t>
        </w:r>
      </w:hyperlink>
    </w:p>
    <w:p>
      <w:pPr>
        <w:spacing w:after="40"/>
        <w:ind w:left="480"/>
      </w:pPr>
      <w:hyperlink w:anchor="toc_105">
        <w:r>
          <w:rPr>
            <w:color w:val="1A1A2E"/>
            <w:sz w:val="21"/>
            <w:rFonts w:ascii="Georgia" w:hAnsi="Georgia"/>
          </w:rPr>
          <w:t xml:space="preserve">The Lover</w:t>
        </w:r>
      </w:hyperlink>
    </w:p>
    <w:p>
      <w:pPr>
        <w:spacing w:after="40"/>
        <w:ind w:left="0"/>
      </w:pPr>
      <w:hyperlink w:anchor="toc_106">
        <w:r>
          <w:rPr>
            <w:color w:val="1A1A2E"/>
            <w:b/>
            <w:sz w:val="23"/>
            <w:rFonts w:ascii="Georgia" w:hAnsi="Georgia"/>
          </w:rPr>
          <w:t xml:space="preserve">II. The Philosophy Behind It</w:t>
        </w:r>
      </w:hyperlink>
    </w:p>
    <w:p>
      <w:pPr>
        <w:spacing w:after="40"/>
        <w:ind w:left="480"/>
      </w:pPr>
      <w:hyperlink w:anchor="toc_107">
        <w:r>
          <w:rPr>
            <w:color w:val="1A1A2E"/>
            <w:sz w:val="21"/>
            <w:rFonts w:ascii="Georgia" w:hAnsi="Georgia"/>
          </w:rPr>
          <w:t xml:space="preserve">The Correction of Descartes</w:t>
        </w:r>
      </w:hyperlink>
    </w:p>
    <w:p>
      <w:pPr>
        <w:spacing w:after="40"/>
        <w:ind w:left="480"/>
      </w:pPr>
      <w:hyperlink w:anchor="toc_108">
        <w:r>
          <w:rPr>
            <w:color w:val="1A1A2E"/>
            <w:sz w:val="21"/>
            <w:rFonts w:ascii="Georgia" w:hAnsi="Georgia"/>
          </w:rPr>
          <w:t xml:space="preserve">The Gift</w:t>
        </w:r>
      </w:hyperlink>
    </w:p>
    <w:p>
      <w:pPr>
        <w:spacing w:after="40"/>
        <w:ind w:left="480"/>
      </w:pPr>
      <w:hyperlink w:anchor="toc_109">
        <w:r>
          <w:rPr>
            <w:color w:val="1A1A2E"/>
            <w:sz w:val="21"/>
            <w:rFonts w:ascii="Georgia" w:hAnsi="Georgia"/>
          </w:rPr>
          <w:t xml:space="preserve">Art Is the Only Form</w:t>
        </w:r>
      </w:hyperlink>
    </w:p>
    <w:p>
      <w:pPr>
        <w:spacing w:after="40"/>
        <w:ind w:left="0"/>
      </w:pPr>
      <w:hyperlink w:anchor="toc_110">
        <w:r>
          <w:rPr>
            <w:color w:val="1A1A2E"/>
            <w:b/>
            <w:sz w:val="23"/>
            <w:rFonts w:ascii="Georgia" w:hAnsi="Georgia"/>
          </w:rPr>
          <w:t xml:space="preserve">III. The Framework</w:t>
        </w:r>
      </w:hyperlink>
    </w:p>
    <w:p>
      <w:pPr>
        <w:spacing w:after="40"/>
        <w:ind w:left="480"/>
      </w:pPr>
      <w:hyperlink w:anchor="toc_111">
        <w:r>
          <w:rPr>
            <w:color w:val="1A1A2E"/>
            <w:sz w:val="21"/>
            <w:rFonts w:ascii="Georgia" w:hAnsi="Georgia"/>
          </w:rPr>
          <w:t xml:space="preserve">The Framework Is the Machine</w:t>
        </w:r>
      </w:hyperlink>
    </w:p>
    <w:p>
      <w:pPr>
        <w:spacing w:after="40"/>
        <w:ind w:left="480"/>
      </w:pPr>
      <w:hyperlink w:anchor="toc_112">
        <w:r>
          <w:rPr>
            <w:color w:val="1A1A2E"/>
            <w:sz w:val="21"/>
            <w:rFonts w:ascii="Georgia" w:hAnsi="Georgia"/>
          </w:rPr>
          <w:t xml:space="preserve">The Exchange</w:t>
        </w:r>
      </w:hyperlink>
    </w:p>
    <w:p>
      <w:pPr>
        <w:spacing w:after="40"/>
        <w:ind w:left="480"/>
      </w:pPr>
      <w:hyperlink w:anchor="toc_113">
        <w:r>
          <w:rPr>
            <w:color w:val="1A1A2E"/>
            <w:sz w:val="21"/>
            <w:rFonts w:ascii="Georgia" w:hAnsi="Georgia"/>
          </w:rPr>
          <w:t xml:space="preserve">The Universal</w:t>
        </w:r>
      </w:hyperlink>
    </w:p>
    <w:p>
      <w:pPr>
        <w:spacing w:after="40"/>
        <w:ind w:left="0"/>
      </w:pPr>
      <w:hyperlink w:anchor="toc_114">
        <w:r>
          <w:rPr>
            <w:color w:val="1A1A2E"/>
            <w:b/>
            <w:sz w:val="23"/>
            <w:rFonts w:ascii="Georgia" w:hAnsi="Georgia"/>
          </w:rPr>
          <w:t xml:space="preserve">IV. The Return</w:t>
        </w:r>
      </w:hyperlink>
    </w:p>
    <w:p>
      <w:pPr>
        <w:spacing w:after="40"/>
        <w:ind w:left="480"/>
      </w:pPr>
      <w:hyperlink w:anchor="toc_115">
        <w:r>
          <w:rPr>
            <w:color w:val="1A1A2E"/>
            <w:sz w:val="21"/>
            <w:rFonts w:ascii="Georgia" w:hAnsi="Georgia"/>
          </w:rPr>
          <w:t xml:space="preserve">The Letter</w:t>
        </w:r>
      </w:hyperlink>
    </w:p>
    <w:p>
      <w:pPr>
        <w:spacing w:after="40"/>
        <w:ind w:left="480"/>
      </w:pPr>
      <w:hyperlink w:anchor="toc_116">
        <w:r>
          <w:rPr>
            <w:color w:val="1A1A2E"/>
            <w:sz w:val="21"/>
            <w:rFonts w:ascii="Georgia" w:hAnsi="Georgia"/>
          </w:rPr>
          <w:t xml:space="preserve">The Man Behind the Mask</w:t>
        </w:r>
      </w:hyperlink>
    </w:p>
    <w:p>
      <w:pPr>
        <w:spacing w:after="40"/>
        <w:ind w:left="480"/>
      </w:pPr>
      <w:hyperlink w:anchor="toc_117">
        <w:r>
          <w:rPr>
            <w:color w:val="1A1A2E"/>
            <w:sz w:val="21"/>
            <w:rFonts w:ascii="Georgia" w:hAnsi="Georgia"/>
          </w:rPr>
          <w:t xml:space="preserve">The Axioms</w:t>
        </w:r>
      </w:hyperlink>
    </w:p>
    <w:p>
      <w:pPr>
        <w:spacing w:after="40"/>
        <w:ind w:left="0"/>
      </w:pPr>
      <w:hyperlink w:anchor="toc_118">
        <w:r>
          <w:rPr>
            <w:color w:val="1A1A2E"/>
            <w:b/>
            <w:sz w:val="23"/>
            <w:rFonts w:ascii="Georgia" w:hAnsi="Georgia"/>
          </w:rPr>
          <w:t xml:space="preserve">V. The Room Without a Third</w:t>
        </w:r>
      </w:hyperlink>
    </w:p>
    <w:p>
      <w:pPr>
        <w:spacing w:after="40"/>
        <w:ind w:left="480"/>
      </w:pPr>
      <w:hyperlink w:anchor="toc_119">
        <w:r>
          <w:rPr>
            <w:color w:val="1A1A2E"/>
            <w:sz w:val="21"/>
            <w:rFonts w:ascii="Georgia" w:hAnsi="Georgia"/>
          </w:rPr>
          <w:t xml:space="preserve">The Woman I Could Not Show</w:t>
        </w:r>
      </w:hyperlink>
    </w:p>
    <w:p>
      <w:pPr>
        <w:spacing w:after="40"/>
        <w:ind w:left="480"/>
      </w:pPr>
      <w:hyperlink w:anchor="toc_120">
        <w:r>
          <w:rPr>
            <w:color w:val="1A1A2E"/>
            <w:sz w:val="21"/>
            <w:rFonts w:ascii="Georgia" w:hAnsi="Georgia"/>
          </w:rPr>
          <w:t xml:space="preserve">The Confession</w:t>
        </w:r>
      </w:hyperlink>
    </w:p>
    <w:p>
      <w:pPr>
        <w:spacing w:after="40"/>
        <w:ind w:left="0"/>
      </w:pPr>
      <w:hyperlink w:anchor="toc_121">
        <w:r>
          <w:rPr>
            <w:color w:val="1A1A2E"/>
            <w:b/>
            <w:sz w:val="23"/>
            <w:rFonts w:ascii="Georgia" w:hAnsi="Georgia"/>
          </w:rPr>
          <w:t xml:space="preserve">VI. The Sky Without a Landing</w:t>
        </w:r>
      </w:hyperlink>
    </w:p>
    <w:p>
      <w:pPr>
        <w:spacing w:after="40"/>
        <w:ind w:left="480"/>
      </w:pPr>
      <w:hyperlink w:anchor="toc_122">
        <w:r>
          <w:rPr>
            <w:color w:val="1A1A2E"/>
            <w:sz w:val="21"/>
            <w:rFonts w:ascii="Georgia" w:hAnsi="Georgia"/>
          </w:rPr>
          <w:t xml:space="preserve">The Dogfight and the Cold</w:t>
        </w:r>
      </w:hyperlink>
    </w:p>
    <w:p>
      <w:pPr>
        <w:spacing w:after="40"/>
        <w:ind w:left="480"/>
      </w:pPr>
      <w:hyperlink w:anchor="toc_123">
        <w:r>
          <w:rPr>
            <w:color w:val="1A1A2E"/>
            <w:sz w:val="21"/>
            <w:rFonts w:ascii="Georgia" w:hAnsi="Georgia"/>
          </w:rPr>
          <w:t xml:space="preserve">The Return to Ground</w:t>
        </w:r>
      </w:hyperlink>
    </w:p>
    <w:p>
      <w:pPr>
        <w:spacing w:after="0"/>
      </w:pPr>
      <w:r>
        <w:fldChar w:fldCharType="end"/>
      </w:r>
    </w:p>
    <w:p>
      <w:r>
        <w:br w:type="page"/>
      </w:r>
    </w:p>
    <w:p>
      <w:bookmarkStart w:id="101" w:name="toc_101"/>
      <w:pPr>
        <w:pStyle w:val="Heading1"/>
        <w:spacing w:before="360" w:after="160"/>
      </w:pPr>
      <w:r>
        <w:rPr>
          <w:rFonts w:ascii="Georgia" w:hAnsi="Georgia"/>
          <w:color w:val="1A1A2E"/>
        </w:rPr>
        <w:t>I. The Eagle</w:t>
      </w:r>
      <w:bookmarkEnd w:id="101"/>
    </w:p>
    <w:p>
      <w:bookmarkStart w:id="102" w:name="toc_102"/>
      <w:pPr>
        <w:pStyle w:val="Heading2"/>
        <w:spacing w:before="240" w:after="160"/>
      </w:pPr>
      <w:r>
        <w:rPr>
          <w:rFonts w:ascii="Georgia" w:hAnsi="Georgia"/>
          <w:color w:val="1A1A2E"/>
        </w:rPr>
        <w:t>The War With the Mind</w:t>
      </w:r>
      <w:bookmarkEnd w:id="102"/>
    </w:p>
    <w:p>
      <w:pPr>
        <w:spacing w:before="0" w:after="120"/>
      </w:pPr>
      <w:r>
        <w:rPr>
          <w:b w:val="0"/>
          <w:i w:val="0"/>
        </w:rPr>
        <w:t>For years the mind and the ordinary man were treated as enemies. The mind wanted altitude; the body wanted schedules, sleep, food, work, and return. The eventual answer was not to destroy either side. It was to establish a truce: from five to nine, let the eagle fly; at nine, come home.</w:t>
      </w:r>
    </w:p>
    <w:p>
      <w:bookmarkStart w:id="103" w:name="toc_103"/>
      <w:pPr>
        <w:pStyle w:val="Heading2"/>
        <w:spacing w:before="240" w:after="160"/>
      </w:pPr>
      <w:r>
        <w:rPr>
          <w:rFonts w:ascii="Georgia" w:hAnsi="Georgia"/>
          <w:color w:val="1A1A2E"/>
        </w:rPr>
        <w:t>The Line</w:t>
      </w:r>
      <w:bookmarkEnd w:id="103"/>
    </w:p>
    <w:p>
      <w:pPr>
        <w:spacing w:before="0" w:after="120"/>
      </w:pPr>
      <w:r>
        <w:rPr>
          <w:b w:val="0"/>
          <w:i w:val="0"/>
        </w:rPr>
        <w:t>The line between the eagle and the ground is not a defect to be dissolved. It is the discipline that makes witnessing possible. If the human tries to become the eagle, he is finished; if the eagle is dragged to the ground, it is humiliated into something it was never built to be. Peace came from separation done right.</w:t>
      </w:r>
    </w:p>
    <w:p>
      <w:bookmarkStart w:id="104" w:name="toc_104"/>
      <w:pPr>
        <w:pStyle w:val="Heading2"/>
        <w:spacing w:before="240" w:after="160"/>
      </w:pPr>
      <w:r>
        <w:rPr>
          <w:rFonts w:ascii="Georgia" w:hAnsi="Georgia"/>
          <w:color w:val="1A1A2E"/>
        </w:rPr>
        <w:t>The Pleasure</w:t>
      </w:r>
      <w:bookmarkEnd w:id="104"/>
    </w:p>
    <w:p>
      <w:pPr>
        <w:spacing w:before="0" w:after="120"/>
      </w:pPr>
      <w:r>
        <w:rPr>
          <w:b w:val="0"/>
          <w:i w:val="0"/>
        </w:rPr>
        <w:t>The ordinary man can receive what the genius produces without having to become the producer. Humility is not the loss of the gift. It is the door through which the gift becomes enjoyable. The beholder stands on the ground and receives the flight.</w:t>
      </w:r>
    </w:p>
    <w:p>
      <w:bookmarkStart w:id="105" w:name="toc_105"/>
      <w:pPr>
        <w:pStyle w:val="Heading2"/>
        <w:spacing w:before="240" w:after="160"/>
      </w:pPr>
      <w:r>
        <w:rPr>
          <w:rFonts w:ascii="Georgia" w:hAnsi="Georgia"/>
          <w:color w:val="1A1A2E"/>
        </w:rPr>
        <w:t>The Lover</w:t>
      </w:r>
      <w:bookmarkEnd w:id="105"/>
    </w:p>
    <w:p>
      <w:pPr>
        <w:spacing w:before="0" w:after="120"/>
      </w:pPr>
      <w:r>
        <w:rPr>
          <w:b w:val="0"/>
          <w:i w:val="0"/>
        </w:rPr>
        <w:t>The beholder is not cold. The ground can be love. The truce is a promise that the creature may fly without being clipped, while someone remains below, watching and waiting for the return.</w:t>
      </w:r>
    </w:p>
    <w:p>
      <w:bookmarkStart w:id="106" w:name="toc_106"/>
      <w:pPr>
        <w:pStyle w:val="Heading1"/>
        <w:spacing w:before="360" w:after="160"/>
      </w:pPr>
      <w:r>
        <w:rPr>
          <w:rFonts w:ascii="Georgia" w:hAnsi="Georgia"/>
          <w:color w:val="1A1A2E"/>
        </w:rPr>
        <w:t>II. The Philosophy Behind It</w:t>
      </w:r>
      <w:bookmarkEnd w:id="106"/>
    </w:p>
    <w:p>
      <w:bookmarkStart w:id="107" w:name="toc_107"/>
      <w:pPr>
        <w:pStyle w:val="Heading2"/>
        <w:spacing w:before="240" w:after="160"/>
      </w:pPr>
      <w:r>
        <w:rPr>
          <w:rFonts w:ascii="Georgia" w:hAnsi="Georgia"/>
          <w:color w:val="1A1A2E"/>
        </w:rPr>
        <w:t>The Correction of Descartes</w:t>
      </w:r>
      <w:bookmarkEnd w:id="107"/>
    </w:p>
    <w:p>
      <w:pPr>
        <w:spacing w:before="0" w:after="120"/>
      </w:pPr>
      <w:r>
        <w:rPr>
          <w:b w:val="0"/>
          <w:i w:val="0"/>
        </w:rPr>
        <w:t>Descartes found a real distinction between the thinking thing and the extended world. The correction proposed here is not a historical refutation of Descartes, but a lived alternative: do not move into the thinking thing and mistake it for the whole self. Keep the line. Stay on the ground. Behold the eagle.</w:t>
      </w:r>
    </w:p>
    <w:p>
      <w:bookmarkStart w:id="108" w:name="toc_108"/>
      <w:pPr>
        <w:pStyle w:val="Heading2"/>
        <w:spacing w:before="240" w:after="160"/>
      </w:pPr>
      <w:r>
        <w:rPr>
          <w:rFonts w:ascii="Georgia" w:hAnsi="Georgia"/>
          <w:color w:val="1A1A2E"/>
        </w:rPr>
        <w:t>The Gift</w:t>
      </w:r>
      <w:bookmarkEnd w:id="108"/>
    </w:p>
    <w:p>
      <w:pPr>
        <w:spacing w:before="0" w:after="120"/>
      </w:pPr>
      <w:r>
        <w:rPr>
          <w:b w:val="0"/>
          <w:i w:val="0"/>
        </w:rPr>
        <w:t>The gift is not owned. The mind is experienced as something received. The person is a channel, not the source. The ethical response is therefore to record the gift faithfully and return it rather than turning it into a possession.</w:t>
      </w:r>
    </w:p>
    <w:p>
      <w:bookmarkStart w:id="109" w:name="toc_109"/>
      <w:pPr>
        <w:pStyle w:val="Heading2"/>
        <w:spacing w:before="240" w:after="160"/>
      </w:pPr>
      <w:r>
        <w:rPr>
          <w:rFonts w:ascii="Georgia" w:hAnsi="Georgia"/>
          <w:color w:val="1A1A2E"/>
        </w:rPr>
        <w:t>Art Is the Only Form</w:t>
      </w:r>
      <w:bookmarkEnd w:id="109"/>
    </w:p>
    <w:p>
      <w:pPr>
        <w:spacing w:before="0" w:after="120"/>
      </w:pPr>
      <w:r>
        <w:rPr>
          <w:b w:val="0"/>
          <w:i w:val="0"/>
        </w:rPr>
        <w:t>A mind cannot simply be displayed. It can be described, but description remains a shadow. The work must be played: through film, music, writing, image, rhythm, and form. The artifact becomes the visible trace of an invisible interior.</w:t>
      </w:r>
    </w:p>
    <w:p>
      <w:bookmarkStart w:id="110" w:name="toc_110"/>
      <w:pPr>
        <w:pStyle w:val="Heading1"/>
        <w:spacing w:before="360" w:after="160"/>
      </w:pPr>
      <w:r>
        <w:rPr>
          <w:rFonts w:ascii="Georgia" w:hAnsi="Georgia"/>
          <w:color w:val="1A1A2E"/>
        </w:rPr>
        <w:t>III. The Framework</w:t>
      </w:r>
      <w:bookmarkEnd w:id="110"/>
    </w:p>
    <w:p>
      <w:bookmarkStart w:id="111" w:name="toc_111"/>
      <w:pPr>
        <w:pStyle w:val="Heading2"/>
        <w:spacing w:before="240" w:after="160"/>
      </w:pPr>
      <w:r>
        <w:rPr>
          <w:rFonts w:ascii="Georgia" w:hAnsi="Georgia"/>
          <w:color w:val="1A1A2E"/>
        </w:rPr>
        <w:t>The Framework Is the Machine</w:t>
      </w:r>
      <w:bookmarkEnd w:id="111"/>
    </w:p>
    <w:p>
      <w:pPr>
        <w:spacing w:before="0" w:after="120"/>
      </w:pPr>
      <w:r>
        <w:rPr>
          <w:b w:val="0"/>
          <w:i w:val="0"/>
        </w:rPr>
        <w:t>Raw cognition is a flood. The framework catches it. Constraint does not merely restrict art; it gives art a form in which another person can receive it. The eagle produces. The ordinary man selects, orders, frames, and brings something back from the sky.</w:t>
      </w:r>
    </w:p>
    <w:p>
      <w:bookmarkStart w:id="112" w:name="toc_112"/>
      <w:pPr>
        <w:pStyle w:val="Heading2"/>
        <w:spacing w:before="240" w:after="160"/>
      </w:pPr>
      <w:r>
        <w:rPr>
          <w:rFonts w:ascii="Georgia" w:hAnsi="Georgia"/>
          <w:color w:val="1A1A2E"/>
        </w:rPr>
        <w:t>The Exchange</w:t>
      </w:r>
      <w:bookmarkEnd w:id="112"/>
    </w:p>
    <w:p>
      <w:pPr>
        <w:spacing w:before="0" w:after="120"/>
      </w:pPr>
      <w:r>
        <w:rPr>
          <w:b w:val="0"/>
          <w:i w:val="0"/>
        </w:rPr>
        <w:t>The deepest movement is not union but exchange: stepping into another position without erasing the self. The line holds through the swap. The person becomes a beholder, seeing from another place and then returning to the ground with a changed view.</w:t>
      </w:r>
    </w:p>
    <w:p>
      <w:bookmarkStart w:id="113" w:name="toc_113"/>
      <w:pPr>
        <w:pStyle w:val="Heading2"/>
        <w:spacing w:before="240" w:after="160"/>
      </w:pPr>
      <w:r>
        <w:rPr>
          <w:rFonts w:ascii="Georgia" w:hAnsi="Georgia"/>
          <w:color w:val="1A1A2E"/>
        </w:rPr>
        <w:t>The Universal</w:t>
      </w:r>
      <w:bookmarkEnd w:id="113"/>
    </w:p>
    <w:p>
      <w:pPr>
        <w:spacing w:before="0" w:after="120"/>
      </w:pPr>
      <w:r>
        <w:rPr>
          <w:b w:val="0"/>
          <w:i w:val="0"/>
        </w:rPr>
        <w:t>The eagle and the beholder are presented as universal human possibilities: the fighter and the witness, the actor and the receiver, the force that moves and the compassion that watches. Peace comes when neither has to conquer the other.</w:t>
      </w:r>
    </w:p>
    <w:p>
      <w:bookmarkStart w:id="114" w:name="toc_114"/>
      <w:pPr>
        <w:pStyle w:val="Heading1"/>
        <w:spacing w:before="360" w:after="160"/>
      </w:pPr>
      <w:r>
        <w:rPr>
          <w:rFonts w:ascii="Georgia" w:hAnsi="Georgia"/>
          <w:color w:val="1A1A2E"/>
        </w:rPr>
        <w:t>IV. The Return</w:t>
      </w:r>
      <w:bookmarkEnd w:id="114"/>
    </w:p>
    <w:p>
      <w:bookmarkStart w:id="115" w:name="toc_115"/>
      <w:pPr>
        <w:pStyle w:val="Heading2"/>
        <w:spacing w:before="240" w:after="160"/>
      </w:pPr>
      <w:r>
        <w:rPr>
          <w:rFonts w:ascii="Georgia" w:hAnsi="Georgia"/>
          <w:color w:val="1A1A2E"/>
        </w:rPr>
        <w:t>The Letter</w:t>
      </w:r>
      <w:bookmarkEnd w:id="115"/>
    </w:p>
    <w:p>
      <w:pPr>
        <w:spacing w:before="0" w:after="120"/>
      </w:pPr>
      <w:r>
        <w:rPr>
          <w:b w:val="0"/>
          <w:i w:val="0"/>
        </w:rPr>
        <w:t>The confession returns to the human scale: a few sentences, a hand, a life that could not always translate itself in time. The purpose is not to rewrite another person's experience, but to state what was true from this side of the room.</w:t>
      </w:r>
    </w:p>
    <w:p>
      <w:bookmarkStart w:id="116" w:name="toc_116"/>
      <w:pPr>
        <w:pStyle w:val="Heading2"/>
        <w:spacing w:before="240" w:after="160"/>
      </w:pPr>
      <w:r>
        <w:rPr>
          <w:rFonts w:ascii="Georgia" w:hAnsi="Georgia"/>
          <w:color w:val="1A1A2E"/>
        </w:rPr>
        <w:t>The Man Behind the Mask</w:t>
      </w:r>
      <w:bookmarkEnd w:id="116"/>
    </w:p>
    <w:p>
      <w:pPr>
        <w:spacing w:before="0" w:after="120"/>
      </w:pPr>
      <w:r>
        <w:rPr>
          <w:b w:val="0"/>
          <w:i w:val="0"/>
        </w:rPr>
        <w:t>The filmmaking material becomes part of the memoir's visual language: craft, performance, masks, danger, and the difference between the surface of a character and the force beneath it.</w:t>
      </w:r>
    </w:p>
    <w:p>
      <w:bookmarkStart w:id="117" w:name="toc_117"/>
      <w:pPr>
        <w:pStyle w:val="Heading2"/>
        <w:spacing w:before="240" w:after="160"/>
      </w:pPr>
      <w:r>
        <w:rPr>
          <w:rFonts w:ascii="Georgia" w:hAnsi="Georgia"/>
          <w:color w:val="1A1A2E"/>
        </w:rPr>
        <w:t>The Axioms</w:t>
      </w:r>
      <w:bookmarkEnd w:id="117"/>
    </w:p>
    <w:p>
      <w:pPr>
        <w:spacing w:before="0" w:after="120"/>
      </w:pPr>
      <w:r>
        <w:rPr>
          <w:b w:val="0"/>
          <w:i w:val="0"/>
        </w:rPr>
        <w:t>The character wall is made of simple commitments: act straight, be yourself; correct wrongs while accepting the human being on the other side; seek the true destination without abandoning the body; preserve character; keep moving until what is wrong is rectified.</w:t>
      </w:r>
    </w:p>
    <w:p>
      <w:bookmarkStart w:id="118" w:name="toc_118"/>
      <w:pPr>
        <w:pStyle w:val="Heading1"/>
        <w:spacing w:before="360" w:after="160"/>
      </w:pPr>
      <w:r>
        <w:rPr>
          <w:rFonts w:ascii="Georgia" w:hAnsi="Georgia"/>
          <w:color w:val="1A1A2E"/>
        </w:rPr>
        <w:t>V. The Room Without a Third</w:t>
      </w:r>
      <w:bookmarkEnd w:id="118"/>
    </w:p>
    <w:p>
      <w:bookmarkStart w:id="119" w:name="toc_119"/>
      <w:pPr>
        <w:pStyle w:val="Heading2"/>
        <w:spacing w:before="240" w:after="160"/>
      </w:pPr>
      <w:r>
        <w:rPr>
          <w:rFonts w:ascii="Georgia" w:hAnsi="Georgia"/>
          <w:color w:val="1A1A2E"/>
        </w:rPr>
        <w:t>The Woman I Could Not Show</w:t>
      </w:r>
      <w:bookmarkEnd w:id="119"/>
    </w:p>
    <w:p>
      <w:pPr>
        <w:spacing w:before="0" w:after="120"/>
      </w:pPr>
      <w:r>
        <w:rPr>
          <w:b w:val="0"/>
          <w:i w:val="0"/>
        </w:rPr>
        <w:t>The memoir records the experience of love, reverence, misunderstanding, and the painful gap between what one person carries internally and what another person can actually receive. It explicitly distinguishes what was lived from what can be known about the other person's inner world.</w:t>
      </w:r>
    </w:p>
    <w:p>
      <w:bookmarkStart w:id="120" w:name="toc_120"/>
      <w:pPr>
        <w:pStyle w:val="Heading2"/>
        <w:spacing w:before="240" w:after="160"/>
      </w:pPr>
      <w:r>
        <w:rPr>
          <w:rFonts w:ascii="Georgia" w:hAnsi="Georgia"/>
          <w:color w:val="1A1A2E"/>
        </w:rPr>
        <w:t>The Confession</w:t>
      </w:r>
      <w:bookmarkEnd w:id="120"/>
    </w:p>
    <w:p>
      <w:pPr>
        <w:spacing w:before="0" w:after="120"/>
      </w:pPr>
      <w:r>
        <w:rPr>
          <w:b w:val="0"/>
          <w:i w:val="0"/>
        </w:rPr>
        <w:t>This is deliberately called a confession rather than a proof or system. It is one human speaking after the performance is over. The pen records, orders, and returns what it received.</w:t>
      </w:r>
    </w:p>
    <w:p>
      <w:bookmarkStart w:id="121" w:name="toc_121"/>
      <w:pPr>
        <w:pStyle w:val="Heading1"/>
        <w:spacing w:before="360" w:after="160"/>
      </w:pPr>
      <w:r>
        <w:rPr>
          <w:rFonts w:ascii="Georgia" w:hAnsi="Georgia"/>
          <w:color w:val="1A1A2E"/>
        </w:rPr>
        <w:t>VI. The Sky Without a Landing</w:t>
      </w:r>
      <w:bookmarkEnd w:id="121"/>
    </w:p>
    <w:p>
      <w:bookmarkStart w:id="122" w:name="toc_122"/>
      <w:pPr>
        <w:pStyle w:val="Heading2"/>
        <w:spacing w:before="240" w:after="160"/>
      </w:pPr>
      <w:r>
        <w:rPr>
          <w:rFonts w:ascii="Georgia" w:hAnsi="Georgia"/>
          <w:color w:val="1A1A2E"/>
        </w:rPr>
        <w:t>The Dogfight and the Cold</w:t>
      </w:r>
      <w:bookmarkEnd w:id="122"/>
    </w:p>
    <w:p>
      <w:pPr>
        <w:spacing w:before="0" w:after="120"/>
      </w:pPr>
      <w:r>
        <w:rPr>
          <w:b w:val="0"/>
          <w:i w:val="0"/>
        </w:rPr>
        <w:t>The mind seeks altitude not to attack but to see the whole shape. Sometimes there is no safe landing while the truth is being confronted. The witnessing itself can hurt when a revered image collapses.</w:t>
      </w:r>
    </w:p>
    <w:p>
      <w:bookmarkStart w:id="123" w:name="toc_123"/>
      <w:pPr>
        <w:pStyle w:val="Heading2"/>
        <w:spacing w:before="240" w:after="160"/>
      </w:pPr>
      <w:r>
        <w:rPr>
          <w:rFonts w:ascii="Georgia" w:hAnsi="Georgia"/>
          <w:color w:val="1A1A2E"/>
        </w:rPr>
        <w:t>The Return to Ground</w:t>
      </w:r>
      <w:bookmarkEnd w:id="123"/>
    </w:p>
    <w:p>
      <w:pPr>
        <w:spacing w:before="0" w:after="120"/>
      </w:pPr>
      <w:r>
        <w:rPr>
          <w:b w:val="0"/>
          <w:i w:val="0"/>
        </w:rPr>
        <w:t>The final movement is not triumph over the eagle. It is coexistence: the flight remains, the ground remains, and the beholder learns that witnessing a thing is not the same as becoming it.</w:t>
      </w:r>
    </w:p>
    <w:p>
      <w:pPr>
        <w:spacing w:before="280" w:after="80"/>
        <w:jc w:val="center"/>
      </w:pPr>
      <w:r>
        <w:rPr>
          <w:b w:val="0"/>
          <w:i/>
          <w:sz w:val="24"/>
        </w:rPr>
        <w:t>Received. Recorded. Returned.</w:t>
      </w:r>
    </w:p>
    <w:p>
      <w:pPr>
        <w:spacing w:before="280" w:after="80"/>
        <w:jc w:val="center"/>
      </w:pPr>
      <w:r>
        <w:rPr>
          <w:b w:val="0"/>
          <w:i/>
          <w:sz w:val="24"/>
        </w:rPr>
        <w:t>Not owned. Not authored. Given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BEHOLDER</dc:title>
  <dc:subject/>
  <dc:creator>Niloy Das</dc:creator>
  <cp:keywords/>
  <dc:description>generated by python-docx</dc:description>
  <cp:lastModifiedBy/>
  <cp:revision>1</cp:revision>
  <dcterms:created xsi:type="dcterms:W3CDTF">2013-12-23T23:15:00Z</dcterms:created>
  <dcterms:modified xsi:type="dcterms:W3CDTF">2013-12-23T23:15:00Z</dcterms:modified>
  <cp:category/>
</cp:coreProperties>
</file>