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42.12 +/- 0.04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5,620 (3.38)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9,013 (5.42)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3,343 (2.01)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79,925 (48.09)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85,587 (51.50)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671 (0.40)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6,254 (3.76)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10,269 (6.18)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20,592 (12.39)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714 (0.43)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5,808 (3.49)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10,785 (6.49)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111,761 (67.25)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Private insurance</w:t>
            </w:r>
          </w:p>
        </w:tc>
        <w:tc>
          <w:tcPr>
            <w:tcW w:type="dxa" w:w="4320"/>
          </w:tcPr>
          <w:p>
            <w:r>
              <w:t>166,183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15,993 (9.62)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64,772 (38.98)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85,418 (51.40)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32,212 (19.38)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36,347 (21.87)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55,757 (33.55)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41,867 (25.19)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31,180 (18.76)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37,043 (22.29)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45,660 (27.48)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52,300 (31.47)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641 (0.39)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23,287 (14.01)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105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40,025 (24.08)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