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43.09 +/- 0.03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0 (0.00)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11,218 (5.93)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3,584 (1.90)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89,296 (47.24)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99,066 (52.41)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675 (0.36)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6,207 (3.28)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12,024 (6.36)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22,704 (12.01)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811 (0.43)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6,213 (3.29)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11,147 (5.90)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129,931 (68.73)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189,037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17,903 (9.47)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69,436 (36.73)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101,698 (53.80)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38,226 (20.22)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40,760 (21.56)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65,081 (34.43)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44,970 (23.79)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35,451 (18.75)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42,906 (22.70)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52,302 (27.67)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58,378 (30.88)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705 (0.37)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15,695 (8.30)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98 (0.05)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48,384 (25.59)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155 (0.08)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1,518 (0.80)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1,357 (0.72)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227 (0.12)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445 (0.24)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640 (0.34)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7,315 (3.87)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8,012 (4.24)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1,227 (0.65)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28,084 (14.86)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23,097 (12.22)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8,945 (4.73)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14,949 (7.91)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756 (0.40)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6,944 (3.67)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