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Characteristic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All (n=321074)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Private Insurance Group (n=189037)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rPr>
                <w:b/>
              </w:rPr>
              <w:t>Self-pay Group (n=43373)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Age -- yr.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41.69±13.33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43.09±13.18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37.14±12.34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Race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Asian or Pacific Islander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9942 (3.10)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6207 (3.28)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986 (2.27)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Black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27678 (8.62)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12024 (6.36)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4642 (10.70)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Hispanic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61841 (19.26)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22704 (12.01)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14162 (32.65)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Native American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1820 (0.57)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811 (0.43)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224 (0.52)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Other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12486 (3.89)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6213 (3.29)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2238 (5.16)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17234 (5.37)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11147 (5.90)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1948 (4.49)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White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190073 (59.20)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129931 (68.73)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19173 (44.20)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Sex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Female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150170 (46.77)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89296 (47.24)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16445 (37.92)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Male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169783 (52.88)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99066 (52.41)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26755 (61.69)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Unknown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1121 (0.35)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675 (0.36)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Income Quartile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82920 (25.83)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35451 (18.75)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16114 (37.15)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79085 (24.63)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42906 (22.70)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11997 (27.66)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82094 (25.57)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52302 (27.67)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9607 (22.15)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76975 (23.97)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58378 (30.88)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5655 (13.04)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Status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Rural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32121 (10.00)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17903 (9.47)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5106 (11.77)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nonteaching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114867 (35.78)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69436 (36.73)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16020 (36.94)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Urban teaching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174086 (54.22)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101698 (53.80)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22247 (51.29)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Hospital Region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Midwest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58818 (18.32)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38226 (20.22)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6385 (14.72)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Northeast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66028 (20.56)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40760 (21.56)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5572 (12.85)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South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115219 (35.89)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65081 (34.43)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23608 (54.43)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West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81009 (25.23)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44970 (23.79)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7808 (18.00)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Presenting Condition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Appendicitis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229820 (71.58)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136045 (71.97)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33575 (77.41)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Acute Cholecystitis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40947 (12.75)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19983 (10.57)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5451 (12.57)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Perforated Diverticulitis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50307 (15.67)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33009 (17.46)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4347 (10.02)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Severity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 (0.00)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 (0.00)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 (0.00)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174816 (54.45)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104335 (55.19)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25525 (58.85)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123812 (38.56)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73483 (38.87)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15609 (35.99)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19338 (6.02)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9780 (5.17)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1912 (4.41)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3107 (0.97)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1438 (0.76)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327 (0.75)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APRDRG Risk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  <w:tc>
          <w:tcPr>
            <w:tcW w:type="dxa" w:w="2160"/>
          </w:tcPr>
          <w:p>
            <w:pPr>
              <w:pStyle w:val="MyTableText"/>
            </w:pP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 (0.00)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 (0.00)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 (0.00)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1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290181 (90.38)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173376 (91.72)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40465 (93.30)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2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23045 (7.18)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12076 (6.39)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2167 (5.00)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3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6239 (1.94)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2843 (1.50)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568 (1.31)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 xml:space="preserve">  4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1608 (0.50)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741 (0.39)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173 (0.40)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CCI Score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0.37±1.20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0.31±1.10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0.19±0.71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Mortality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289 (0.09)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98 (0.05)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28 (0.06)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Reoperation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83865 (26.12)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48384 (25.59)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10085 (23.25)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Prolonged LOS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29708 (9.25)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15695 (8.30)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4110 (9.48)</w:t>
            </w:r>
          </w:p>
        </w:tc>
      </w:tr>
      <w:tr>
        <w:tc>
          <w:tcPr>
            <w:tcW w:type="dxa" w:w="2160"/>
          </w:tcPr>
          <w:p>
            <w:pPr>
              <w:pStyle w:val="MyTableText"/>
            </w:pPr>
            <w:r>
              <w:t>In-hospital Surgical Site Infection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1269 (0.40)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705 (0.37)</w:t>
            </w:r>
          </w:p>
        </w:tc>
        <w:tc>
          <w:tcPr>
            <w:tcW w:type="dxa" w:w="2160"/>
          </w:tcPr>
          <w:p>
            <w:pPr>
              <w:pStyle w:val="MyTableText"/>
            </w:pPr>
            <w:r>
              <w:t>191 (0.44)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TableText">
    <w:name w:val="My Table Text"/>
    <w:rPr>
      <w:rFonts w:ascii="Calibri" w:hAnsi="Calibri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