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52.96 +/- 0.05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27,041 (23.67)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9,535 (8.35)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6,134 (5.37)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Private insurance</w:t>
            </w:r>
          </w:p>
        </w:tc>
        <w:tc>
          <w:tcPr>
            <w:tcW w:type="dxa" w:w="4320"/>
          </w:tcPr>
          <w:p>
            <w:r>
              <w:t>64,470 (56.44)</w:t>
            </w:r>
          </w:p>
        </w:tc>
      </w:tr>
      <w:tr>
        <w:tc>
          <w:tcPr>
            <w:tcW w:type="dxa" w:w="4320"/>
          </w:tcPr>
          <w:p>
            <w:r>
              <w:t>Medicare</w:t>
            </w:r>
          </w:p>
        </w:tc>
        <w:tc>
          <w:tcPr>
            <w:tcW w:type="dxa" w:w="4320"/>
          </w:tcPr>
          <w:p>
            <w:r>
              <w:t>31,483 (27.56)</w:t>
            </w:r>
          </w:p>
        </w:tc>
      </w:tr>
      <w:tr>
        <w:tc>
          <w:tcPr>
            <w:tcW w:type="dxa" w:w="4320"/>
          </w:tcPr>
          <w:p>
            <w:r>
              <w:t>Medicaid</w:t>
            </w:r>
          </w:p>
        </w:tc>
        <w:tc>
          <w:tcPr>
            <w:tcW w:type="dxa" w:w="4320"/>
          </w:tcPr>
          <w:p>
            <w:r>
              <w:t>11,225 (9.83)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3,552 (3.11)</w:t>
            </w:r>
          </w:p>
        </w:tc>
      </w:tr>
      <w:tr>
        <w:tc>
          <w:tcPr>
            <w:tcW w:type="dxa" w:w="4320"/>
          </w:tcPr>
          <w:p>
            <w:r>
              <w:t>Self-pay</w:t>
            </w:r>
          </w:p>
        </w:tc>
        <w:tc>
          <w:tcPr>
            <w:tcW w:type="dxa" w:w="4320"/>
          </w:tcPr>
          <w:p>
            <w:r>
              <w:t>2,866 (2.51)</w:t>
            </w:r>
          </w:p>
        </w:tc>
      </w:tr>
      <w:tr>
        <w:tc>
          <w:tcPr>
            <w:tcW w:type="dxa" w:w="4320"/>
          </w:tcPr>
          <w:p>
            <w:r>
              <w:t>No charge</w:t>
            </w:r>
          </w:p>
        </w:tc>
        <w:tc>
          <w:tcPr>
            <w:tcW w:type="dxa" w:w="4320"/>
          </w:tcPr>
          <w:p>
            <w:r>
              <w:t>633 (0.55)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63,677 (55.75)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17,260 (15.11)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14,508 (12.70)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10,485 (9.18)</w:t>
            </w:r>
          </w:p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4,267 (3.74)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3,585 (3.14)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447 (0.39)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87,931 (76.98)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25,563 (22.38)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735 (0.64)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73,710 (64.53)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34,338 (30.06)</w:t>
            </w:r>
          </w:p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6,181 (5.41)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36,738 (32.16)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29,120 (25.49)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27,336 (23.93)</w:t>
            </w:r>
          </w:p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21,035 (18.41)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34,458 (30.17)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28,231 (24.71)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26,438 (23.14)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25,102 (21.98)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