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Outcome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DIED</w:t>
            </w:r>
          </w:p>
        </w:tc>
        <w:tc>
          <w:tcPr>
            <w:tcW w:type="dxa" w:w="4320"/>
          </w:tcPr>
          <w:p>
            <w:r>
              <w:t>473 (0.41)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PROLONGED_LOS</w:t>
            </w:r>
          </w:p>
        </w:tc>
        <w:tc>
          <w:tcPr>
            <w:tcW w:type="dxa" w:w="4320"/>
          </w:tcPr>
          <w:p>
            <w:r>
              <w:t>45,532 (39.86)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OR_RETURN</w:t>
            </w:r>
          </w:p>
        </w:tc>
        <w:tc>
          <w:tcPr>
            <w:tcW w:type="dxa" w:w="4320"/>
          </w:tcPr>
          <w:p>
            <w:r>
              <w:t>348 (0.30)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LOS</w:t>
            </w:r>
          </w:p>
        </w:tc>
        <w:tc>
          <w:tcPr>
            <w:tcW w:type="dxa" w:w="4320"/>
          </w:tcPr>
          <w:p>
            <w:r>
              <w:t>3.01 +/- 0.02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