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3-Accent1"/>
        <w:tblW w:type="auto" w:w="0"/>
        <w:tblLayout w:type="autofit"/>
        <w:tblLook w:firstColumn="1" w:firstRow="1" w:lastColumn="0" w:lastRow="0" w:noHBand="0" w:noVBand="1" w:val="04A0"/>
      </w:tblPr>
      <w:tblGrid>
        <w:gridCol w:w="8640"/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DIED</w:t>
            </w:r>
          </w:p>
        </w:tc>
        <w:tc>
          <w:tcPr>
            <w:tcW w:type="dxa" w:w="2880"/>
          </w:tcPr>
          <w:p>
            <w:r>
              <w:t>PROLONGED_LOS</w:t>
            </w:r>
          </w:p>
        </w:tc>
        <w:tc>
          <w:tcPr>
            <w:tcW w:type="dxa" w:w="2880"/>
          </w:tcPr>
          <w:p>
            <w:r>
              <w:t>OR_RETURN</w:t>
            </w:r>
          </w:p>
        </w:tc>
      </w:tr>
      <w:tr>
        <w:tc>
          <w:tcPr>
            <w:tcW w:type="dxa" w:w="2880"/>
          </w:tcPr>
          <w:p>
            <w:r>
              <w:t>Midwest (compared to: South)</w:t>
            </w:r>
          </w:p>
        </w:tc>
        <w:tc>
          <w:tcPr>
            <w:tcW w:type="dxa" w:w="2880"/>
          </w:tcPr>
          <w:p>
            <w:r>
              <w:t>0.70 (0.52, 0.93); 0.02</w:t>
            </w:r>
          </w:p>
        </w:tc>
        <w:tc>
          <w:tcPr>
            <w:tcW w:type="dxa" w:w="2880"/>
          </w:tcPr>
          <w:p>
            <w:r>
              <w:t>0.68 (0.66, 0.71); &lt; 0.01</w:t>
            </w:r>
          </w:p>
        </w:tc>
        <w:tc>
          <w:tcPr>
            <w:tcW w:type="dxa" w:w="2880"/>
          </w:tcPr>
          <w:p>
            <w:r>
              <w:t>1.42 (1.08, 1.88); 0.01</w:t>
            </w:r>
          </w:p>
        </w:tc>
      </w:tr>
      <w:tr>
        <w:tc>
          <w:tcPr>
            <w:tcW w:type="dxa" w:w="2880"/>
          </w:tcPr>
          <w:p>
            <w:r>
              <w:t>Northeast (compared to: South)</w:t>
            </w:r>
          </w:p>
        </w:tc>
        <w:tc>
          <w:tcPr>
            <w:tcW w:type="dxa" w:w="2880"/>
          </w:tcPr>
          <w:p>
            <w:r>
              <w:t>1.70 (1.33, 2.18); &lt; 0.01</w:t>
            </w:r>
          </w:p>
        </w:tc>
        <w:tc>
          <w:tcPr>
            <w:tcW w:type="dxa" w:w="2880"/>
          </w:tcPr>
          <w:p>
            <w:r>
              <w:t>0.54 (0.52, 0.56); &lt; 0.01</w:t>
            </w:r>
          </w:p>
        </w:tc>
        <w:tc>
          <w:tcPr>
            <w:tcW w:type="dxa" w:w="2880"/>
          </w:tcPr>
          <w:p>
            <w:r>
              <w:t>0.56 (0.40, 0.78); &lt; 0.01</w:t>
            </w:r>
          </w:p>
        </w:tc>
      </w:tr>
      <w:tr>
        <w:tc>
          <w:tcPr>
            <w:tcW w:type="dxa" w:w="2880"/>
          </w:tcPr>
          <w:p>
            <w:r>
              <w:t>West (compared to: South)</w:t>
            </w:r>
          </w:p>
        </w:tc>
        <w:tc>
          <w:tcPr>
            <w:tcW w:type="dxa" w:w="2880"/>
          </w:tcPr>
          <w:p>
            <w:r>
              <w:t>0.70 (0.52, 0.94); 0.02</w:t>
            </w:r>
          </w:p>
        </w:tc>
        <w:tc>
          <w:tcPr>
            <w:tcW w:type="dxa" w:w="2880"/>
          </w:tcPr>
          <w:p>
            <w:r>
              <w:t>0.73 (0.71, 0.76); &lt; 0.01</w:t>
            </w:r>
          </w:p>
        </w:tc>
        <w:tc>
          <w:tcPr>
            <w:tcW w:type="dxa" w:w="2880"/>
          </w:tcPr>
          <w:p>
            <w:r>
              <w:t>0.87 (0.63, 1.18); 0.36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