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eiryo" w:hAnsi="Meiryo" w:eastAsia="Meiryo"/>
        </w:rPr>
        <w:t>SlotSettingAnalyzer 詳細設計書（更新版）</w:t>
      </w:r>
    </w:p>
    <w:p>
      <w:pPr>
        <w:jc w:val="left"/>
      </w:pPr>
      <w:r>
        <w:rPr>
          <w:rFonts w:ascii="Meiryo" w:hAnsi="Meiryo" w:eastAsia="Meiryo"/>
          <w:color w:val="5A5A5A"/>
          <w:sz w:val="20"/>
        </w:rPr>
        <w:t>対象パッケージ: SlotSettingAnalyzerCompleteV2.zip / 作成日: 2026-04-04</w:t>
      </w:r>
    </w:p>
    <w:p>
      <w:r>
        <w:t>本書は、情報源へ再アップロードされた現行パッケージを再監査し、アプリ構成・機種マスタ資産・精度フェーズ到達状況を現物ベースで整理した更新版である。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manifest登録機種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115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machine_details と件数整合</w:t>
            </w:r>
          </w:p>
        </w:tc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assets内JSON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130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manifest外JSON 15件を含む</w:t>
            </w:r>
          </w:p>
        </w:tc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機種リスト照合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94件中 74件 exact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表記差分込み 78件</w:t>
            </w:r>
          </w:p>
        </w:tc>
      </w:tr>
    </w:tbl>
    <w:p/>
    <w:p>
      <w:pPr>
        <w:pStyle w:val="Heading1"/>
      </w:pPr>
      <w:r>
        <w:t>1. 現行アーキテクチャ概要</w:t>
      </w:r>
    </w:p>
    <w:p>
      <w:r>
        <w:t>アプリ本体は Kotlin / Jetpack Compose / Room / Hilt / Navigation Compose 構成で、`core / data / domain / di / feature` の責務分割を採用している。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領域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主な役割</w:t>
            </w:r>
          </w:p>
        </w:tc>
        <w:tc>
          <w:tcPr>
            <w:tcW w:type="dxa" w:w="5443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確認した代表ファイル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core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画面遷移・UI共通部品</w:t>
            </w:r>
          </w:p>
        </w:tc>
        <w:tc>
          <w:tcPr>
            <w:tcW w:type="dxa" w:w="5443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AppNavHost.kt / ScoreBarComponents.kt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Room・JSON読込・Repository</w:t>
            </w:r>
          </w:p>
        </w:tc>
        <w:tc>
          <w:tcPr>
            <w:tcW w:type="dxa" w:w="5443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AppDatabase.kt / MachineMasterParser.kt / MachineRepositoryImpl.kt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domain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モデル・Repository IF・UseCase</w:t>
            </w:r>
          </w:p>
        </w:tc>
        <w:tc>
          <w:tcPr>
            <w:tcW w:type="dxa" w:w="5443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ConfidenceLabel.kt / CalculateCeilingStatusUseCase.kt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feature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Home / Machine / Session / Inference / History</w:t>
            </w:r>
          </w:p>
        </w:tc>
        <w:tc>
          <w:tcPr>
            <w:tcW w:type="dxa" w:w="5443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HomeViewModel.kt / SessionInputScreen.kt / InferenceViewModel.kt</w:t>
            </w:r>
          </w:p>
        </w:tc>
      </w:tr>
    </w:tbl>
    <w:p/>
    <w:p>
      <w:pPr>
        <w:pStyle w:val="Heading1"/>
      </w:pPr>
      <w:r>
        <w:t>2. 機種マスタ資産の配置</w:t>
      </w:r>
    </w:p>
    <w:p>
      <w:r>
        <w:t>機種データは3系統で保持されている。現パッケージでは件数整合は取れているが、正本と補助JSONが併存している。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配置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件数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説明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app/src/main/assets/machines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130 JSON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manifest対象 115件 + 非manifest 15件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app/src/main/assets/machines/*.json.bak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105件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旧バックアップ。監査時は非正本扱い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app/src/main/assets/master/machine_details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115 JSON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manifest登録機種に対応する詳細ファイル</w:t>
            </w:r>
          </w:p>
        </w:tc>
      </w:tr>
    </w:tbl>
    <w:p/>
    <w:p>
      <w:pPr>
        <w:pStyle w:val="Heading1"/>
      </w:pPr>
      <w:r>
        <w:t>3. 現行監査の主要所見</w:t>
      </w:r>
    </w:p>
    <w:p>
      <w:r>
        <w:t>今回の再監査で、manifest・machine_details の件数整合は確認できた。一方で、assets/machines 直下には manifest 未採用の legacy_simple JSON が15件残存している。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指標</w:t>
            </w:r>
          </w:p>
        </w:tc>
        <w:tc>
          <w:tcPr>
            <w:tcW w:type="dxa" w:w="153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値</w:t>
            </w:r>
          </w:p>
        </w:tc>
        <w:tc>
          <w:tcPr>
            <w:tcW w:type="dxa" w:w="572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補足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manifest登録機種数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115</w:t>
            </w:r>
          </w:p>
        </w:tc>
        <w:tc>
          <w:tcPr>
            <w:tcW w:type="dxa" w:w="572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machine_master_manifest.json 基準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manifest full_machine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95</w:t>
            </w:r>
          </w:p>
        </w:tc>
        <w:tc>
          <w:tcPr>
            <w:tcW w:type="dxa" w:w="572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machine / counterDefinitions / ceilingRules を保持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manifest legacy_simple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20</w:t>
            </w:r>
          </w:p>
        </w:tc>
        <w:tc>
          <w:tcPr>
            <w:tcW w:type="dxa" w:w="572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name / id / settingReferenceValues 中心の旧形式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manifest未登録JSON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15</w:t>
            </w:r>
          </w:p>
        </w:tc>
        <w:tc>
          <w:tcPr>
            <w:tcW w:type="dxa" w:w="572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code_geass_fukkatsu / monkey_turn_v / toaru など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機種リスト exact一致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74 / 94</w:t>
            </w:r>
          </w:p>
        </w:tc>
        <w:tc>
          <w:tcPr>
            <w:tcW w:type="dxa" w:w="572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正式名称が完全一致した件数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機種リスト 表記差分込み一致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78 / 94</w:t>
            </w:r>
          </w:p>
        </w:tc>
        <w:tc>
          <w:tcPr>
            <w:tcW w:type="dxa" w:w="572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空白・記号差分を吸収した件数</w:t>
            </w:r>
          </w:p>
        </w:tc>
      </w:tr>
    </w:tbl>
    <w:p/>
    <w:p>
      <w:pPr>
        <w:pStyle w:val="Heading1"/>
      </w:pPr>
      <w:r>
        <w:t>4. 機種リスト整合の解釈</w:t>
      </w:r>
    </w:p>
    <w:p>
      <w:r>
        <w:t>機種リスト未一致 20件のうち、一部は単純な表記差分ではなく、manifest外JSONのみ存在するケースや、正本名称が別表記になっているケースである。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38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未一致タイプ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件数</w:t>
            </w:r>
          </w:p>
        </w:tc>
        <w:tc>
          <w:tcPr>
            <w:tcW w:type="dxa" w:w="6350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代表例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表記差分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4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スマスロ モンキーターンV / スマスロ攻殻機動隊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manifest外JSONのみ存在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7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Lコードギアス 復活のルルーシュ / ラブ嬢3 / 海門決戦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現パッケージ未確認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9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ニューシオサイ-30 / JAC INバージョン など</w:t>
            </w:r>
          </w:p>
        </w:tc>
      </w:tr>
    </w:tbl>
    <w:p/>
    <w:p>
      <w:pPr>
        <w:pStyle w:val="Heading1"/>
      </w:pPr>
      <w:r>
        <w:t>5. 運用ルール（更新版）</w:t>
      </w:r>
    </w:p>
    <w:p>
      <w:r>
        <w:t>今後の更新では、①ID固定 ②正式名称固定 ③manifest・machine_details・assets/machines の三点整合 ④legacy_simple の段階的縮退 ⑤差分zipでの受け渡し、を維持する。</w:t>
      </w:r>
    </w:p>
    <w:p>
      <w:r>
        <w:t>特に、manifest未登録JSONは「資料用」「再構成候補」「削除待ち」の区分を設け、正本運用と混同しないことを推奨する。</w:t>
      </w:r>
    </w:p>
    <w:p>
      <w:pPr>
        <w:pStyle w:val="Heading1"/>
      </w:pPr>
      <w:r>
        <w:t>6. 参照ファイル</w:t>
      </w:r>
    </w:p>
    <w:p>
      <w:r>
        <w:t>監査結果の詳細は以下CSVを参照。</w:t>
      </w:r>
    </w:p>
    <w:p>
      <w:pPr>
        <w:pStyle w:val="ListBullet"/>
      </w:pPr>
      <w:r>
        <w:t>reports/package_refresh_manifest_inventory_2026-04-04.csv</w:t>
      </w:r>
    </w:p>
    <w:p>
      <w:pPr>
        <w:pStyle w:val="ListBullet"/>
      </w:pPr>
      <w:r>
        <w:t>reports/package_refresh_non_manifest_audit_2026-04-04.csv</w:t>
      </w:r>
    </w:p>
    <w:p>
      <w:pPr>
        <w:pStyle w:val="ListBullet"/>
      </w:pPr>
      <w:r>
        <w:t>reports/package_refresh_machine_list_alignment_2026-04-04.csv</w:t>
      </w:r>
    </w:p>
    <w:sectPr w:rsidR="00FC693F" w:rsidRPr="0006063C" w:rsidSect="00034616"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" w:hAnsi="Meiryo" w:eastAsia="Meiryo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