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eiryo" w:hAnsi="Meiryo" w:eastAsia="Meiryo"/>
        </w:rPr>
        <w:t>機種マスタJSON設計書（更新版）</w:t>
      </w:r>
    </w:p>
    <w:p>
      <w:pPr>
        <w:jc w:val="left"/>
      </w:pPr>
      <w:r>
        <w:rPr>
          <w:rFonts w:ascii="Meiryo" w:hAnsi="Meiryo" w:eastAsia="Meiryo"/>
          <w:color w:val="5A5A5A"/>
          <w:sz w:val="20"/>
        </w:rPr>
        <w:t>manifest / machine_details / assets/machines の現物監査ベース / 2026-04-04</w:t>
      </w:r>
    </w:p>
    <w:p>
      <w:r>
        <w:t>本書は、現在のパッケージに存在する機種マスタJSONの実運用ルールと、full_machine / legacy_simple 混在状態を前提とした保守指針をまとめる。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  <w:vAlign w:val="center"/>
            <w:shd w:fill="D9EAF7"/>
          </w:tcPr>
          <w:p/>
          <w:p>
            <w:pPr>
              <w:jc w:val="center"/>
            </w:pPr>
            <w:r>
              <w:rPr>
                <w:rFonts w:ascii="Meiryo" w:hAnsi="Meiryo" w:eastAsia="Meiryo"/>
                <w:b w:val="0"/>
                <w:sz w:val="18"/>
              </w:rPr>
              <w:t>full_machine</w:t>
            </w:r>
          </w:p>
          <w:p>
            <w:pPr>
              <w:jc w:val="center"/>
            </w:pPr>
            <w:r>
              <w:rPr>
                <w:rFonts w:ascii="Meiryo" w:hAnsi="Meiryo" w:eastAsia="Meiryo"/>
                <w:b/>
                <w:sz w:val="36"/>
              </w:rPr>
              <w:t>95</w:t>
            </w:r>
          </w:p>
          <w:p>
            <w:pPr>
              <w:jc w:val="center"/>
            </w:pPr>
            <w:r>
              <w:rPr>
                <w:rFonts w:ascii="Meiryo" w:hAnsi="Meiryo" w:eastAsia="Meiryo"/>
                <w:b w:val="0"/>
                <w:sz w:val="16"/>
              </w:rPr>
              <w:t>manifest内正本の主流</w:t>
            </w:r>
          </w:p>
        </w:tc>
        <w:tc>
          <w:tcPr>
            <w:tcW w:type="dxa" w:w="3175"/>
            <w:vAlign w:val="center"/>
            <w:shd w:fill="D9EAF7"/>
          </w:tcPr>
          <w:p/>
          <w:p>
            <w:pPr>
              <w:jc w:val="center"/>
            </w:pPr>
            <w:r>
              <w:rPr>
                <w:rFonts w:ascii="Meiryo" w:hAnsi="Meiryo" w:eastAsia="Meiryo"/>
                <w:b w:val="0"/>
                <w:sz w:val="18"/>
              </w:rPr>
              <w:t>legacy_simple</w:t>
            </w:r>
          </w:p>
          <w:p>
            <w:pPr>
              <w:jc w:val="center"/>
            </w:pPr>
            <w:r>
              <w:rPr>
                <w:rFonts w:ascii="Meiryo" w:hAnsi="Meiryo" w:eastAsia="Meiryo"/>
                <w:b/>
                <w:sz w:val="36"/>
              </w:rPr>
              <w:t>20</w:t>
            </w:r>
          </w:p>
          <w:p>
            <w:pPr>
              <w:jc w:val="center"/>
            </w:pPr>
            <w:r>
              <w:rPr>
                <w:rFonts w:ascii="Meiryo" w:hAnsi="Meiryo" w:eastAsia="Meiryo"/>
                <w:b w:val="0"/>
                <w:sz w:val="16"/>
              </w:rPr>
              <w:t>manifest内に残る旧形式</w:t>
            </w:r>
          </w:p>
        </w:tc>
        <w:tc>
          <w:tcPr>
            <w:tcW w:type="dxa" w:w="3175"/>
            <w:vAlign w:val="center"/>
            <w:shd w:fill="D9EAF7"/>
          </w:tcPr>
          <w:p/>
          <w:p>
            <w:pPr>
              <w:jc w:val="center"/>
            </w:pPr>
            <w:r>
              <w:rPr>
                <w:rFonts w:ascii="Meiryo" w:hAnsi="Meiryo" w:eastAsia="Meiryo"/>
                <w:b w:val="0"/>
                <w:sz w:val="18"/>
              </w:rPr>
              <w:t>non-manifest legacy</w:t>
            </w:r>
          </w:p>
          <w:p>
            <w:pPr>
              <w:jc w:val="center"/>
            </w:pPr>
            <w:r>
              <w:rPr>
                <w:rFonts w:ascii="Meiryo" w:hAnsi="Meiryo" w:eastAsia="Meiryo"/>
                <w:b/>
                <w:sz w:val="36"/>
              </w:rPr>
              <w:t>15</w:t>
            </w:r>
          </w:p>
          <w:p>
            <w:pPr>
              <w:jc w:val="center"/>
            </w:pPr>
            <w:r>
              <w:rPr>
                <w:rFonts w:ascii="Meiryo" w:hAnsi="Meiryo" w:eastAsia="Meiryo"/>
                <w:b w:val="0"/>
                <w:sz w:val="16"/>
              </w:rPr>
              <w:t>補助JSONとして残存</w:t>
            </w:r>
          </w:p>
        </w:tc>
      </w:tr>
    </w:tbl>
    <w:p/>
    <w:p>
      <w:pPr>
        <w:pStyle w:val="Heading1"/>
      </w:pPr>
      <w:r>
        <w:t>1. 正本系ファイルの構成</w:t>
      </w:r>
    </w:p>
    <w:p>
      <w:r>
        <w:t>正本更新時は、`app/src/main/assets/machines/machine_master_manifest.json`、`app/src/main/assets/machines/&lt;file&gt;.json`、`app/src/main/assets/master/machine_details/&lt;file&gt;.json` を同時整合させる。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ファイル</w:t>
            </w:r>
          </w:p>
        </w:tc>
        <w:tc>
          <w:tcPr>
            <w:tcW w:type="dxa" w:w="2551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役割</w:t>
            </w:r>
          </w:p>
        </w:tc>
        <w:tc>
          <w:tcPr>
            <w:tcW w:type="dxa" w:w="4139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必須要件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machine_master_manifest.json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正本一覧と checksum</w:t>
            </w:r>
          </w:p>
        </w:tc>
        <w:tc>
          <w:tcPr>
            <w:tcW w:type="dxa" w:w="4139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machineId / fileName / checksum を一致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assets/machines/*.json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アプリ読込用JSON</w:t>
            </w:r>
          </w:p>
        </w:tc>
        <w:tc>
          <w:tcPr>
            <w:tcW w:type="dxa" w:w="4139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正本は manifest 掲載必須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master/machine_details/*.json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配信用詳細JSON</w:t>
            </w:r>
          </w:p>
        </w:tc>
        <w:tc>
          <w:tcPr>
            <w:tcW w:type="dxa" w:w="4139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manifest件数と1対1対応</w:t>
            </w:r>
          </w:p>
        </w:tc>
      </w:tr>
    </w:tbl>
    <w:p/>
    <w:p>
      <w:pPr>
        <w:pStyle w:val="Heading1"/>
      </w:pPr>
      <w:r>
        <w:t>2. full_machine スキーマ</w:t>
      </w:r>
    </w:p>
    <w:p>
      <w:r>
        <w:t>現在の正本の大半は full_machine 形式であり、UI・Repository・Ceiling表示まで含む運用が可能。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トップレベルキー</w:t>
            </w:r>
          </w:p>
        </w:tc>
        <w:tc>
          <w:tcPr>
            <w:tcW w:type="dxa" w:w="1134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必須</w:t>
            </w:r>
          </w:p>
        </w:tc>
        <w:tc>
          <w:tcPr>
            <w:tcW w:type="dxa" w:w="6576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内容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machine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必須</w:t>
            </w:r>
          </w:p>
        </w:tc>
        <w:tc>
          <w:tcPr>
            <w:tcW w:type="dxa" w:w="657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id / name / notes / dmmUrl / ichigekiUrl 等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counterDefinitions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推奨</w:t>
            </w:r>
          </w:p>
        </w:tc>
        <w:tc>
          <w:tcPr>
            <w:tcW w:type="dxa" w:w="657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入力カウンタ定義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settingReferenceValues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必須</w:t>
            </w:r>
          </w:p>
        </w:tc>
        <w:tc>
          <w:tcPr>
            <w:tcW w:type="dxa" w:w="657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設定差参照値の配列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ceilingRules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任意</w:t>
            </w:r>
          </w:p>
        </w:tc>
        <w:tc>
          <w:tcPr>
            <w:tcW w:type="dxa" w:w="657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ゲーム数天井・周期天井等</w:t>
            </w:r>
          </w:p>
        </w:tc>
      </w:tr>
    </w:tbl>
    <w:p/>
    <w:p>
      <w:pPr>
        <w:pStyle w:val="Heading1"/>
      </w:pPr>
      <w:r>
        <w:t>3. legacy_simple スキーマ</w:t>
      </w:r>
    </w:p>
    <w:p>
      <w:r>
        <w:t>legacy_simple は `name / id / settingReferenceValues` 中心の簡易JSONで、補助資料・移行途中・再構成候補として扱う。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トップレベルキー</w:t>
            </w:r>
          </w:p>
        </w:tc>
        <w:tc>
          <w:tcPr>
            <w:tcW w:type="dxa" w:w="1134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現状</w:t>
            </w:r>
          </w:p>
        </w:tc>
        <w:tc>
          <w:tcPr>
            <w:tcW w:type="dxa" w:w="6576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8"/>
              </w:rPr>
              <w:t>注意点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name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あり</w:t>
            </w:r>
          </w:p>
        </w:tc>
        <w:tc>
          <w:tcPr>
            <w:tcW w:type="dxa" w:w="657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正式名称固定を優先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あり</w:t>
            </w:r>
          </w:p>
        </w:tc>
        <w:tc>
          <w:tcPr>
            <w:tcW w:type="dxa" w:w="657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DB破壊防止のため変更禁止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8"/>
              </w:rPr>
              <w:t>settingReferenceValues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あり</w:t>
            </w:r>
          </w:p>
        </w:tc>
        <w:tc>
          <w:tcPr>
            <w:tcW w:type="dxa" w:w="657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8"/>
              </w:rPr>
              <w:t>要素数が少ない場合は精度に注意</w:t>
            </w:r>
          </w:p>
        </w:tc>
      </w:tr>
    </w:tbl>
    <w:p/>
    <w:p>
      <w:pPr>
        <w:pStyle w:val="Heading1"/>
      </w:pPr>
      <w:r>
        <w:t>4. 現在残っている non-manifest JSON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721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7"/>
              </w:rPr>
              <w:t>file</w:t>
            </w:r>
          </w:p>
        </w:tc>
        <w:tc>
          <w:tcPr>
            <w:tcW w:type="dxa" w:w="5216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7"/>
              </w:rPr>
              <w:t>machine_name</w:t>
            </w:r>
          </w:p>
        </w:tc>
        <w:tc>
          <w:tcPr>
            <w:tcW w:type="dxa" w:w="2154"/>
            <w:vAlign w:val="center"/>
            <w:shd w:fill="D9E2F3"/>
          </w:tcPr>
          <w:p>
            <w:pPr>
              <w:jc w:val="center"/>
            </w:pPr>
            <w:r>
              <w:rPr>
                <w:rFonts w:ascii="Meiryo" w:hAnsi="Meiryo" w:eastAsia="Meiryo"/>
                <w:b/>
                <w:sz w:val="17"/>
              </w:rPr>
              <w:t>schema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code_geass_cc_kallen.json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コードギアス 反逆のルルーシュ C.C.&amp;Kallen ver.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code_geass_fukkatsu.json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コードギアス 復活のルルーシュ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eureka_zero.json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エウレカセブン HI-EVOLUTION ZERO TYPE-ART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ghost_shell.json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スマスロ攻殻機動隊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kabaneri_kaimon.json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スマスロ 甲鉄城のカバネリ 海門決戦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karakuri.json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からくりサーカス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kengan.json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Lケンガンアシュラ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lovejo3.json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ラブ嬢3～Wご指名はいかがですか？～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lupin.json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ルパン三世 大航海者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madoka_forte.json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劇場版魔法少女まどか☆マギカ f-フォルテ-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monkey_turn_v.json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スマスロ モンキーターンV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ring_v.json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Lリングにかけろ1 V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toaru.json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スマスロ とある魔術の禁書目録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tokyoghoul.json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東京喰種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  <w:tr>
        <w:tc>
          <w:tcPr>
            <w:tcW w:type="dxa" w:w="2721"/>
            <w:vAlign w:val="center"/>
          </w:tcPr>
          <w:p>
            <w:pPr>
              <w:jc w:val="left"/>
            </w:pPr>
            <w:r>
              <w:rPr>
                <w:rFonts w:ascii="Meiryo" w:hAnsi="Meiryo" w:eastAsia="Meiryo"/>
                <w:sz w:val="17"/>
              </w:rPr>
              <w:t>vvv.json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革命機ヴァルヴレイヴ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>
              <w:rPr>
                <w:rFonts w:ascii="Meiryo" w:hAnsi="Meiryo" w:eastAsia="Meiryo"/>
                <w:sz w:val="17"/>
              </w:rPr>
              <w:t>legacy_simple</w:t>
            </w:r>
          </w:p>
        </w:tc>
      </w:tr>
    </w:tbl>
    <w:p/>
    <w:p>
      <w:pPr>
        <w:pStyle w:val="Heading1"/>
      </w:pPr>
      <w:r>
        <w:t>5. 更新ルール（厳守）</w:t>
      </w:r>
    </w:p>
    <w:p>
      <w:pPr>
        <w:pStyle w:val="ListBullet"/>
      </w:pPr>
      <w:r>
        <w:t>IDは固定し、manifest上の machineId と JSON 内 id の意味を混同しない。</w:t>
      </w:r>
    </w:p>
    <w:p>
      <w:pPr>
        <w:pStyle w:val="ListBullet"/>
      </w:pPr>
      <w:r>
        <w:t>正式名称を基準にし、略称・揺れ名称・結合タイトルは正本に採用しない。</w:t>
      </w:r>
    </w:p>
    <w:p>
      <w:pPr>
        <w:pStyle w:val="ListBullet"/>
      </w:pPr>
      <w:r>
        <w:t>JSON構造を変更する場合は parser / mapper / Room まで同時改修が必要になるため、原則禁止。</w:t>
      </w:r>
    </w:p>
    <w:p>
      <w:pPr>
        <w:pStyle w:val="ListBullet"/>
      </w:pPr>
      <w:r>
        <w:t>削除は必ず一括削除スクリプトを同梱し、差分zipで配布する。</w:t>
      </w:r>
    </w:p>
    <w:p>
      <w:pPr>
        <w:pStyle w:val="Heading1"/>
      </w:pPr>
      <w:r>
        <w:t>6. 推奨する次の整理</w:t>
      </w:r>
    </w:p>
    <w:p>
      <w:r>
        <w:t>現パッケージでは、まず non-manifest 15件の扱いを「採用候補 / 補助保持 / 削除待ち」に分類し、その後 legacy_simple 20件を順次 full_machine へ寄せるのが最短である。</w:t>
      </w:r>
    </w:p>
    <w:sectPr w:rsidR="00FC693F" w:rsidRPr="0006063C" w:rsidSect="00034616">
      <w:pgSz w:w="12240" w:h="15840"/>
      <w:pgMar w:top="102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eiryo" w:hAnsi="Meiryo" w:eastAsia="Meiryo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eiryo" w:hAnsi="Meiryo" w:eastAsia="Meiryo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eiryo" w:hAnsi="Meiryo" w:eastAsia="Meiry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eiryo" w:hAnsi="Meiryo" w:eastAsia="Meiryo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