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Exercise 04 — Описание вариантов использования (Description Use Cases)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Основное действующее лицо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Мастер.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является инициатором взаимодействия с системой, поскольку заинтересован в просмотре своего расписания для улучшения своей работы.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UС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 Бизнес-потребность мастера — получить возможность просматривать предстоящие записи для подготовки к визиту клиента и получение обратной связи для улучшения своей работы. Бизнес-цель системы — повысить эффективность мастеров за счет доступа к данным, способствуя снижению трудозатрат и развитию бизнеса через улучшение сервиса на основе отзывов.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Идентификатор: UC_MST01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Название: Просмотр своего расписания и отзывов мастером.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Роль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Мастер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Интерес: Доступ к своему расписанию и получение обратной связи.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Заинтересованные стороны: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Руководство сети барбершопов — развитие бизнеса за счет получения обратной связи и улучшения качества услуг.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Клиент — получить качественную услугу от мастера, который осведомлен о своем расписании и учитывает предыдущие отзывы, что повышает удовлетворенность и лояльность.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Менеджер — обеспечить контроль за работой мастеров через косвенный доступ к данным.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Предусловие: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Мастер авторизован в системе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содержит информацию об предстоящих записях.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содержит отзывы об этом мастере.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Триггер UC: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Мастер заходит в личный кабинет для просмотра расписания или отзывов.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Послесловия: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Минимальные гарантии:Состояние системы остается неизменным.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Гарантии успеха: Мастер получил доступ к своему актуальному расписанию и к отзывам, данные корректны.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Выделенные Use Cases со связями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6" w:right="0" w:hanging="275.9999999999999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UC_MST02: Аутентифицироваться как мастер (extend UC_MST01).</w:t>
        <w:br w:type="textWrapping"/>
        <w:t xml:space="preserve">Тип связи: extend (расширение). Это опциональное расширение, если мастер не аутентифицирован на момент запуска UC_MST01, для обеспечения безопасного доступа.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6" w:right="0" w:hanging="275.99999999999994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UC_MST03: Фильтровать отзывы по услугам (include UC_MST01).</w:t>
        <w:br w:type="textWrapping"/>
        <w:t xml:space="preserve">Тип связи: include (включение). Это обязательное включение в процесс просмотра отзывов, чтобы мастер мог выбрать конкретные услуги или период для анализа обратной связи.</w:t>
      </w:r>
    </w:p>
    <w:sectPr>
      <w:headerReference r:id="rId7" w:type="default"/>
      <w:footerReference r:id="rId8" w:type="default"/>
      <w:pgSz w:h="16840" w:w="11900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96" w:hanging="276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752" w:hanging="2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552" w:hanging="23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352" w:hanging="232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4152" w:hanging="23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952" w:hanging="23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752" w:hanging="232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6552" w:hanging="232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7352" w:hanging="232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Times New Roman" w:cs="Arial Unicode MS" w:eastAsia="Arial Unicode MS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numbering" w:styleId="С числами">
    <w:name w:val="С числами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Dwj9pU1BtqXzomZnV7evJBs2Q==">CgMxLjA4AHIhMUY1QmZITHhfcnZkZDlRUzczRzVWQ1ppal9MUVVXNFJT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