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541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362"/>
        <w:gridCol w:w="1363"/>
        <w:gridCol w:w="1364"/>
        <w:gridCol w:w="1363"/>
        <w:gridCol w:w="1363"/>
        <w:gridCol w:w="1364"/>
        <w:gridCol w:w="1362"/>
      </w:tblGrid>
      <w:tr>
        <w:tblPrEx>
          <w:shd w:val="clear" w:color="auto" w:fill="00a2ff"/>
        </w:tblPrEx>
        <w:trPr>
          <w:trHeight w:val="490" w:hRule="atLeast"/>
          <w:tblHeader/>
        </w:trPr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Мнемоника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Тип ключа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Тип данных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Ограничение длины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Обязательность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Дефолтноезначение</w:t>
            </w:r>
          </w:p>
        </w:tc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Комментарии</w:t>
            </w:r>
          </w:p>
        </w:tc>
      </w:tr>
      <w:tr>
        <w:tblPrEx>
          <w:shd w:val="clear" w:color="auto" w:fill="cadfff"/>
        </w:tblPrEx>
        <w:trPr>
          <w:trHeight w:val="1204" w:hRule="atLeast"/>
        </w:trPr>
        <w:tc>
          <w:tcPr>
            <w:tcW w:type="dxa" w:w="136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en-US"/>
              </w:rPr>
              <w:t>role_id</w:t>
            </w:r>
          </w:p>
        </w:tc>
        <w:tc>
          <w:tcPr>
            <w:tcW w:type="dxa" w:w="13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Primary</w:t>
            </w:r>
            <w:r>
              <w:rPr>
                <w:shd w:val="nil" w:color="auto" w:fill="auto"/>
                <w:rtl w:val="0"/>
              </w:rPr>
              <w:t> </w:t>
            </w:r>
            <w:r>
              <w:rPr>
                <w:shd w:val="nil" w:color="auto" w:fill="auto"/>
                <w:rtl w:val="0"/>
              </w:rPr>
              <w:t>key</w:t>
            </w:r>
          </w:p>
        </w:tc>
        <w:tc>
          <w:tcPr>
            <w:tcW w:type="dxa" w:w="136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 Neue" w:cs="Arial Unicode MS" w:hAnsi="Helvetica Neue" w:eastAsia="Arial Unicode MS"/>
                <w:rtl w:val="0"/>
              </w:rPr>
              <w:t>UUID</w:t>
            </w:r>
          </w:p>
        </w:tc>
        <w:tc>
          <w:tcPr>
            <w:tcW w:type="dxa" w:w="136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6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Да</w:t>
            </w:r>
          </w:p>
        </w:tc>
        <w:tc>
          <w:tcPr>
            <w:tcW w:type="dxa" w:w="136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-</w:t>
            </w:r>
          </w:p>
        </w:tc>
        <w:tc>
          <w:tcPr>
            <w:tcW w:type="dxa" w:w="136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 xml:space="preserve">Уникальный идентификатор </w:t>
            </w:r>
            <w:r>
              <w:rPr>
                <w:shd w:val="nil" w:color="auto" w:fill="auto"/>
                <w:rtl w:val="0"/>
                <w:lang w:val="ru-RU"/>
              </w:rPr>
              <w:t xml:space="preserve">записи роли </w:t>
            </w:r>
            <w:r>
              <w:rPr>
                <w:shd w:val="nil" w:color="auto" w:fill="auto"/>
                <w:rtl w:val="0"/>
                <w:lang w:val="en-US"/>
              </w:rPr>
              <w:t>в системе</w:t>
            </w:r>
          </w:p>
        </w:tc>
      </w:tr>
      <w:tr>
        <w:tblPrEx>
          <w:shd w:val="clear" w:color="auto" w:fill="cadfff"/>
        </w:tblPrEx>
        <w:trPr>
          <w:trHeight w:val="959" w:hRule="atLeast"/>
        </w:trPr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en-US"/>
              </w:rPr>
              <w:t>employe_id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de-DE"/>
              </w:rPr>
              <w:t>Foreign</w:t>
            </w:r>
            <w:r>
              <w:rPr>
                <w:shd w:val="nil" w:color="auto" w:fill="auto"/>
                <w:rtl w:val="0"/>
              </w:rPr>
              <w:t> </w:t>
            </w:r>
            <w:r>
              <w:rPr>
                <w:shd w:val="nil" w:color="auto" w:fill="auto"/>
                <w:rtl w:val="0"/>
              </w:rPr>
              <w:t>key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UUID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Да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-</w:t>
            </w:r>
          </w:p>
        </w:tc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tl w:val="0"/>
                <w:lang w:val="en-US"/>
              </w:rPr>
              <w:t xml:space="preserve">Ссылка на запись в сущности </w:t>
            </w:r>
            <w:r>
              <w:rPr>
                <w:rtl w:val="0"/>
                <w:lang w:val="ru-RU"/>
              </w:rPr>
              <w:t>Сотрудники</w:t>
            </w:r>
          </w:p>
        </w:tc>
      </w:tr>
      <w:tr>
        <w:tblPrEx>
          <w:shd w:val="clear" w:color="auto" w:fill="cadfff"/>
        </w:tblPrEx>
        <w:trPr>
          <w:trHeight w:val="1446" w:hRule="atLeast"/>
        </w:trPr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</w:rPr>
              <w:t>Role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fr-FR"/>
              </w:rPr>
              <w:t>ENUM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Helvetica Neue" w:hAnsi="Helvetica Neue"/>
                <w:sz w:val="20"/>
                <w:szCs w:val="20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Да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Возможные значения</w:t>
            </w:r>
            <w:r>
              <w:rPr>
                <w:shd w:val="nil" w:color="auto" w:fill="auto"/>
                <w:rtl w:val="0"/>
              </w:rPr>
              <w:t xml:space="preserve">: </w:t>
            </w:r>
            <w:r>
              <w:rPr>
                <w:shd w:val="nil" w:color="auto" w:fill="auto"/>
                <w:rtl w:val="0"/>
              </w:rPr>
              <w:t>мастер</w:t>
            </w:r>
            <w:r>
              <w:rPr>
                <w:shd w:val="nil" w:color="auto" w:fill="auto"/>
                <w:rtl w:val="0"/>
              </w:rPr>
              <w:t xml:space="preserve">, </w:t>
            </w:r>
            <w:r>
              <w:rPr>
                <w:shd w:val="nil" w:color="auto" w:fill="auto"/>
                <w:rtl w:val="0"/>
              </w:rPr>
              <w:t>менеджер</w:t>
            </w:r>
          </w:p>
        </w:tc>
      </w:tr>
    </w:tbl>
    <w:p>
      <w:pPr>
        <w:pStyle w:val="Основной текст"/>
        <w:widowControl w:val="0"/>
        <w:ind w:left="108" w:hanging="108"/>
      </w:pPr>
    </w:p>
    <w:p>
      <w:pPr>
        <w:pStyle w:val="Body"/>
      </w:pPr>
      <w:r>
        <w:rPr>
          <w:b w:val="1"/>
          <w:bCs w:val="1"/>
          <w:sz w:val="32"/>
          <w:szCs w:val="32"/>
          <w:rtl w:val="0"/>
          <w:lang w:val="ru-RU"/>
        </w:rPr>
        <w:t xml:space="preserve">Сущность 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“</w:t>
      </w:r>
      <w:r>
        <w:rPr>
          <w:b w:val="1"/>
          <w:bCs w:val="1"/>
          <w:i w:val="1"/>
          <w:iCs w:val="1"/>
          <w:sz w:val="32"/>
          <w:szCs w:val="32"/>
          <w:rtl w:val="0"/>
          <w:lang w:val="ru-RU"/>
        </w:rPr>
        <w:t>Роли сотрудника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”</w:t>
      </w:r>
    </w:p>
    <w:p>
      <w:pPr>
        <w:pStyle w:val="Body"/>
      </w:pPr>
      <w:r>
        <w:rPr>
          <w:b w:val="1"/>
          <w:bCs w:val="1"/>
          <w:sz w:val="24"/>
          <w:szCs w:val="24"/>
          <w:rtl w:val="0"/>
          <w:lang w:val="ru-RU"/>
        </w:rPr>
        <w:t>Назначение</w:t>
      </w:r>
      <w:r>
        <w:rPr>
          <w:rtl w:val="0"/>
          <w:lang w:val="en-US"/>
        </w:rPr>
        <w:t>: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>Содержит данные о ролях сотрудников в системе барбершопа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Участвует в процессах управления доступом и функциональностью сотрудников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данные поступают от менеджеров при назначении ролей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применяются для определения прав доступа и задач</w:t>
      </w:r>
      <w:r>
        <w:rPr>
          <w:rtl w:val="0"/>
          <w:lang w:val="ru-RU"/>
        </w:rPr>
        <w:t>.</w:t>
      </w:r>
      <w:r>
        <w:rPr>
          <w:lang w:val="ru-RU"/>
        </w:rPr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