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9630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1375"/>
        <w:gridCol w:w="1376"/>
        <w:gridCol w:w="1376"/>
        <w:gridCol w:w="1376"/>
        <w:gridCol w:w="1376"/>
        <w:gridCol w:w="1376"/>
        <w:gridCol w:w="1375"/>
      </w:tblGrid>
      <w:tr>
        <w:tblPrEx>
          <w:shd w:val="clear" w:color="auto" w:fill="00a2ff"/>
        </w:tblPrEx>
        <w:trPr>
          <w:trHeight w:val="495" w:hRule="atLeast"/>
          <w:tblHeader/>
        </w:trPr>
        <w:tc>
          <w:tcPr>
            <w:tcW w:type="dxa" w:w="13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ru-RU"/>
              </w:rPr>
              <w:t>Мнемоника</w:t>
            </w:r>
          </w:p>
        </w:tc>
        <w:tc>
          <w:tcPr>
            <w:tcW w:type="dxa" w:w="13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ru-RU"/>
              </w:rPr>
              <w:t>Тип ключа</w:t>
            </w:r>
          </w:p>
        </w:tc>
        <w:tc>
          <w:tcPr>
            <w:tcW w:type="dxa" w:w="13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ru-RU"/>
              </w:rPr>
              <w:t>Тип данных</w:t>
            </w:r>
          </w:p>
        </w:tc>
        <w:tc>
          <w:tcPr>
            <w:tcW w:type="dxa" w:w="13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ru-RU"/>
              </w:rPr>
              <w:t>Ограничение длины</w:t>
            </w:r>
          </w:p>
        </w:tc>
        <w:tc>
          <w:tcPr>
            <w:tcW w:type="dxa" w:w="13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ru-RU"/>
              </w:rPr>
              <w:t>Обязательность</w:t>
            </w:r>
          </w:p>
        </w:tc>
        <w:tc>
          <w:tcPr>
            <w:tcW w:type="dxa" w:w="13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ru-RU"/>
              </w:rPr>
              <w:t>Дефолтноезначение</w:t>
            </w:r>
          </w:p>
        </w:tc>
        <w:tc>
          <w:tcPr>
            <w:tcW w:type="dxa" w:w="13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ru-RU"/>
              </w:rPr>
              <w:t>Комментарии</w:t>
            </w:r>
          </w:p>
        </w:tc>
      </w:tr>
      <w:tr>
        <w:tblPrEx>
          <w:shd w:val="clear" w:color="auto" w:fill="cadfff"/>
        </w:tblPrEx>
        <w:trPr>
          <w:trHeight w:val="755" w:hRule="atLeast"/>
        </w:trPr>
        <w:tc>
          <w:tcPr>
            <w:tcW w:type="dxa" w:w="1375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rFonts w:ascii="Helvetica Neue" w:hAnsi="Helvetica Neue"/>
                <w:rtl w:val="0"/>
              </w:rPr>
              <w:t>services_id</w:t>
            </w:r>
          </w:p>
        </w:tc>
        <w:tc>
          <w:tcPr>
            <w:tcW w:type="dxa" w:w="137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Primary</w:t>
            </w:r>
            <w:r>
              <w:rPr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 </w:t>
            </w:r>
            <w:r>
              <w:rPr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key</w:t>
            </w:r>
          </w:p>
        </w:tc>
        <w:tc>
          <w:tcPr>
            <w:tcW w:type="dxa" w:w="137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137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</w:p>
        </w:tc>
        <w:tc>
          <w:tcPr>
            <w:tcW w:type="dxa" w:w="1375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ru-RU"/>
              </w:rPr>
              <w:t>Да</w:t>
            </w:r>
          </w:p>
        </w:tc>
        <w:tc>
          <w:tcPr>
            <w:tcW w:type="dxa" w:w="137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1375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ru-RU"/>
              </w:rPr>
              <w:t>Уникальный идентификатор записи</w:t>
            </w:r>
          </w:p>
        </w:tc>
      </w:tr>
      <w:tr>
        <w:tblPrEx>
          <w:shd w:val="clear" w:color="auto" w:fill="cadfff"/>
        </w:tblPrEx>
        <w:trPr>
          <w:trHeight w:val="1451" w:hRule="atLeast"/>
        </w:trPr>
        <w:tc>
          <w:tcPr>
            <w:tcW w:type="dxa" w:w="13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rtl w:val="0"/>
                <w:lang w:val="en-US"/>
              </w:rPr>
              <w:t>n</w:t>
            </w:r>
            <w:r>
              <w:rPr>
                <w:shd w:val="nil" w:color="auto" w:fill="auto"/>
                <w:rtl w:val="0"/>
                <w:lang w:val="de-DE"/>
              </w:rPr>
              <w:t>ame</w:t>
            </w:r>
            <w:r>
              <w:rPr>
                <w:shd w:val="nil" w:color="auto" w:fill="auto"/>
                <w:rtl w:val="0"/>
                <w:lang w:val="de-DE"/>
              </w:rPr>
              <w:t>_</w:t>
            </w:r>
            <w:r>
              <w:rPr>
                <w:shd w:val="nil" w:color="auto" w:fill="auto"/>
                <w:rtl w:val="0"/>
                <w:lang w:val="de-DE"/>
              </w:rPr>
              <w:t>services</w:t>
            </w:r>
          </w:p>
        </w:tc>
        <w:tc>
          <w:tcPr>
            <w:tcW w:type="dxa" w:w="1376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</w:p>
        </w:tc>
        <w:tc>
          <w:tcPr>
            <w:tcW w:type="dxa" w:w="13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nl-NL"/>
              </w:rPr>
              <w:t>String</w:t>
            </w:r>
          </w:p>
        </w:tc>
        <w:tc>
          <w:tcPr>
            <w:tcW w:type="dxa" w:w="13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right"/>
            </w:pPr>
            <w:r>
              <w:rPr>
                <w:rFonts w:ascii="Helvetica Neue" w:hAnsi="Helvetica Neue"/>
                <w:sz w:val="20"/>
                <w:szCs w:val="20"/>
                <w:shd w:val="nil" w:color="auto" w:fill="auto"/>
                <w:rtl w:val="0"/>
                <w:lang w:val="en-US"/>
              </w:rPr>
              <w:t>100</w:t>
            </w:r>
            <w:r>
              <w:rPr>
                <w:rFonts w:ascii="Helvetica Neue" w:hAnsi="Helvetica Neue" w:hint="default"/>
                <w:sz w:val="20"/>
                <w:szCs w:val="20"/>
                <w:shd w:val="nil" w:color="auto" w:fill="auto"/>
                <w:rtl w:val="0"/>
                <w:lang w:val="ru-RU"/>
              </w:rPr>
              <w:t xml:space="preserve">  символов </w:t>
            </w:r>
          </w:p>
        </w:tc>
        <w:tc>
          <w:tcPr>
            <w:tcW w:type="dxa" w:w="13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ru-RU"/>
              </w:rPr>
              <w:t>Да</w:t>
            </w:r>
          </w:p>
        </w:tc>
        <w:tc>
          <w:tcPr>
            <w:tcW w:type="dxa" w:w="13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13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ru-RU"/>
              </w:rPr>
              <w:t>Наименование услуги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предоставляемой барбершопом</w:t>
            </w:r>
          </w:p>
        </w:tc>
      </w:tr>
    </w:tbl>
    <w:p>
      <w:pPr>
        <w:pStyle w:val="Основной текст"/>
        <w:widowControl w:val="0"/>
        <w:ind w:left="216" w:hanging="216"/>
      </w:pPr>
    </w:p>
    <w:p>
      <w:pPr>
        <w:pStyle w:val="Body"/>
        <w:widowControl w:val="0"/>
        <w:ind w:left="108" w:hanging="108"/>
      </w:pPr>
    </w:p>
    <w:p>
      <w:pPr>
        <w:pStyle w:val="Body A"/>
      </w:pPr>
      <w:r>
        <w:rPr>
          <w:b w:val="1"/>
          <w:bCs w:val="1"/>
          <w:sz w:val="32"/>
          <w:szCs w:val="32"/>
          <w:rtl w:val="0"/>
          <w:lang w:val="ru-RU"/>
        </w:rPr>
        <w:t xml:space="preserve">Сущность </w:t>
      </w:r>
      <w:r>
        <w:rPr>
          <w:b w:val="1"/>
          <w:bCs w:val="1"/>
          <w:i w:val="1"/>
          <w:iCs w:val="1"/>
          <w:sz w:val="32"/>
          <w:szCs w:val="32"/>
          <w:rtl w:val="0"/>
          <w:lang w:val="en-US"/>
        </w:rPr>
        <w:t>“</w:t>
      </w:r>
      <w:r>
        <w:rPr>
          <w:b w:val="1"/>
          <w:bCs w:val="1"/>
          <w:i w:val="1"/>
          <w:iCs w:val="1"/>
          <w:sz w:val="32"/>
          <w:szCs w:val="32"/>
          <w:rtl w:val="0"/>
          <w:lang w:val="ru-RU"/>
        </w:rPr>
        <w:t>Услуги</w:t>
      </w:r>
      <w:r>
        <w:rPr>
          <w:b w:val="1"/>
          <w:bCs w:val="1"/>
          <w:i w:val="1"/>
          <w:iCs w:val="1"/>
          <w:sz w:val="32"/>
          <w:szCs w:val="32"/>
          <w:rtl w:val="0"/>
          <w:lang w:val="en-US"/>
        </w:rPr>
        <w:t>”</w:t>
      </w:r>
    </w:p>
    <w:p>
      <w:pPr>
        <w:pStyle w:val="Body A"/>
      </w:pPr>
      <w:r>
        <w:rPr>
          <w:b w:val="1"/>
          <w:bCs w:val="1"/>
          <w:sz w:val="24"/>
          <w:szCs w:val="24"/>
          <w:rtl w:val="0"/>
          <w:lang w:val="ru-RU"/>
        </w:rPr>
        <w:t>Назначение</w:t>
      </w:r>
      <w:r>
        <w:rPr>
          <w:rtl w:val="0"/>
          <w:lang w:val="en-US"/>
        </w:rPr>
        <w:t>:</w:t>
      </w:r>
      <w:r>
        <w:rPr>
          <w:rtl w:val="0"/>
          <w:lang w:val="ru-RU"/>
        </w:rPr>
        <w:t xml:space="preserve"> </w:t>
      </w:r>
      <w:r>
        <w:rPr>
          <w:rtl w:val="0"/>
          <w:lang w:val="ru-RU"/>
        </w:rPr>
        <w:t>Содержит данные о доступных услугах барбершопа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Участвует в процессах бронирования и выбора услуг клиентами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данные поступают от менеджеров при настройке каталога услуг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применяются для отображения клиентам и привязки к слотам обслуживания</w:t>
      </w:r>
      <w:r>
        <w:rPr>
          <w:rtl w:val="0"/>
          <w:lang w:val="ru-RU"/>
        </w:rPr>
        <w:t>.</w:t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1">
    <w:name w:val="Table Style 1"/>
    <w:next w:val="Table Style 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