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3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375"/>
        <w:gridCol w:w="1376"/>
        <w:gridCol w:w="1376"/>
        <w:gridCol w:w="1376"/>
        <w:gridCol w:w="1376"/>
        <w:gridCol w:w="1376"/>
        <w:gridCol w:w="1375"/>
      </w:tblGrid>
      <w:tr>
        <w:tblPrEx>
          <w:shd w:val="clear" w:color="auto" w:fill="00a2ff"/>
        </w:tblPrEx>
        <w:trPr>
          <w:trHeight w:val="490" w:hRule="atLeast"/>
          <w:tblHeader/>
        </w:trPr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Мнемоника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ключа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данных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Ограничение длины</w:t>
            </w:r>
          </w:p>
        </w:tc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Обязательность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Дефолтноезначение</w:t>
            </w:r>
          </w:p>
        </w:tc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Комментарии</w:t>
            </w:r>
          </w:p>
        </w:tc>
      </w:tr>
      <w:tr>
        <w:tblPrEx>
          <w:shd w:val="clear" w:color="auto" w:fill="cadfff"/>
        </w:tblPrEx>
        <w:trPr>
          <w:trHeight w:val="1444" w:hRule="atLeast"/>
        </w:trPr>
        <w:tc>
          <w:tcPr>
            <w:tcW w:type="dxa" w:w="137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cs="Arial Unicode MS" w:hAnsi="Helvetica Neue" w:eastAsia="Arial Unicode MS"/>
                <w:rtl w:val="0"/>
              </w:rPr>
              <w:t>master_services_id</w:t>
            </w:r>
          </w:p>
          <w:p>
            <w:pPr>
              <w:pStyle w:val="Table Style 1"/>
            </w:pPr>
          </w:p>
        </w:tc>
        <w:tc>
          <w:tcPr>
            <w:tcW w:type="dxa" w:w="137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Primary</w:t>
            </w:r>
            <w:r>
              <w:rPr>
                <w:shd w:val="nil" w:color="auto" w:fill="auto"/>
                <w:rtl w:val="0"/>
              </w:rPr>
              <w:t> </w:t>
            </w:r>
            <w:r>
              <w:rPr>
                <w:shd w:val="nil" w:color="auto" w:fill="auto"/>
                <w:rtl w:val="0"/>
              </w:rPr>
              <w:t>key</w:t>
            </w:r>
          </w:p>
        </w:tc>
        <w:tc>
          <w:tcPr>
            <w:tcW w:type="dxa" w:w="137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137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7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7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-</w:t>
            </w:r>
          </w:p>
        </w:tc>
        <w:tc>
          <w:tcPr>
            <w:tcW w:type="dxa" w:w="137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Уникальный идентификатор записи</w:t>
            </w:r>
            <w:r>
              <w:rPr>
                <w:shd w:val="nil" w:color="auto" w:fill="auto"/>
                <w:rtl w:val="0"/>
                <w:lang w:val="ru-RU"/>
              </w:rPr>
              <w:t xml:space="preserve"> на услуги мастер в системе</w:t>
            </w:r>
          </w:p>
        </w:tc>
      </w:tr>
      <w:tr>
        <w:tblPrEx>
          <w:shd w:val="clear" w:color="auto" w:fill="cadfff"/>
        </w:tblPrEx>
        <w:trPr>
          <w:trHeight w:val="1125" w:hRule="atLeast"/>
        </w:trPr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employee</w:t>
            </w:r>
            <w:r>
              <w:rPr>
                <w:shd w:val="nil" w:color="auto" w:fill="auto"/>
                <w:rtl w:val="0"/>
                <w:lang w:val="en-US"/>
              </w:rPr>
              <w:t>_id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de-DE"/>
              </w:rPr>
              <w:t>Foreign</w:t>
            </w:r>
            <w:r>
              <w:rPr>
                <w:shd w:val="nil" w:color="auto" w:fill="auto"/>
                <w:rtl w:val="0"/>
              </w:rPr>
              <w:t> </w:t>
            </w:r>
            <w:r>
              <w:rPr>
                <w:shd w:val="nil" w:color="auto" w:fill="auto"/>
                <w:rtl w:val="0"/>
              </w:rPr>
              <w:t>key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cs="Arial Unicode MS" w:hAnsi="Times New Roman" w:eastAsia="Arial Unicode MS"/>
                <w:rtl w:val="0"/>
              </w:rPr>
              <w:t>-</w:t>
            </w:r>
          </w:p>
        </w:tc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-</w:t>
            </w:r>
          </w:p>
        </w:tc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Arial Unicode MS" w:hAnsi="Arial Unicode MS" w:hint="default"/>
                <w:shd w:val="nil" w:color="auto" w:fill="auto"/>
                <w:rtl w:val="0"/>
                <w:lang w:val="ru-RU"/>
              </w:rPr>
              <w:t>Ссылка на запись в сущности Сотрудники</w:t>
            </w:r>
          </w:p>
        </w:tc>
      </w:tr>
      <w:tr>
        <w:tblPrEx>
          <w:shd w:val="clear" w:color="auto" w:fill="cadfff"/>
        </w:tblPrEx>
        <w:trPr>
          <w:trHeight w:val="1125" w:hRule="atLeast"/>
        </w:trPr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service</w:t>
            </w:r>
            <w:r>
              <w:rPr>
                <w:shd w:val="nil" w:color="auto" w:fill="auto"/>
                <w:rtl w:val="0"/>
                <w:lang w:val="ru-RU"/>
              </w:rPr>
              <w:t>_</w:t>
            </w:r>
            <w:r>
              <w:rPr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de-DE"/>
              </w:rPr>
              <w:t>Foreign</w:t>
            </w:r>
            <w:r>
              <w:rPr>
                <w:shd w:val="nil" w:color="auto" w:fill="auto"/>
                <w:rtl w:val="0"/>
              </w:rPr>
              <w:t> </w:t>
            </w:r>
            <w:r>
              <w:rPr>
                <w:shd w:val="nil" w:color="auto" w:fill="auto"/>
                <w:rtl w:val="0"/>
              </w:rPr>
              <w:t>key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-</w:t>
            </w:r>
          </w:p>
        </w:tc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Arial Unicode MS" w:hAnsi="Arial Unicode MS" w:hint="default"/>
                <w:shd w:val="nil" w:color="auto" w:fill="auto"/>
                <w:rtl w:val="0"/>
                <w:lang w:val="ru-RU"/>
              </w:rPr>
              <w:t>Ссылка на запись в сущности</w:t>
            </w:r>
            <w:r>
              <w:rPr>
                <w:rFonts w:ascii="Arial Unicode MS" w:hAnsi="Arial Unicode MS" w:hint="default"/>
                <w:shd w:val="nil" w:color="auto" w:fill="auto"/>
                <w:rtl w:val="0"/>
                <w:lang w:val="ru-RU"/>
              </w:rPr>
              <w:t xml:space="preserve"> Услуги</w:t>
            </w:r>
          </w:p>
        </w:tc>
      </w:tr>
    </w:tbl>
    <w:p>
      <w:pPr>
        <w:pStyle w:val="Основной текст"/>
        <w:widowControl w:val="0"/>
        <w:ind w:left="108" w:hanging="108"/>
      </w:pPr>
    </w:p>
    <w:p>
      <w:pPr>
        <w:pStyle w:val="Body"/>
      </w:pPr>
      <w:r>
        <w:rPr>
          <w:b w:val="1"/>
          <w:bCs w:val="1"/>
          <w:sz w:val="32"/>
          <w:szCs w:val="32"/>
          <w:rtl w:val="0"/>
          <w:lang w:val="ru-RU"/>
        </w:rPr>
        <w:t xml:space="preserve">Сущность 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“</w:t>
      </w:r>
      <w:r>
        <w:rPr>
          <w:b w:val="1"/>
          <w:bCs w:val="1"/>
          <w:i w:val="1"/>
          <w:iCs w:val="1"/>
          <w:sz w:val="32"/>
          <w:szCs w:val="32"/>
          <w:rtl w:val="0"/>
          <w:lang w:val="ru-RU"/>
        </w:rPr>
        <w:t>Услуги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 xml:space="preserve"> </w:t>
      </w:r>
      <w:r>
        <w:rPr>
          <w:b w:val="1"/>
          <w:bCs w:val="1"/>
          <w:i w:val="1"/>
          <w:iCs w:val="1"/>
          <w:sz w:val="32"/>
          <w:szCs w:val="32"/>
          <w:rtl w:val="0"/>
          <w:lang w:val="ru-RU"/>
        </w:rPr>
        <w:t>мастера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”</w:t>
      </w:r>
    </w:p>
    <w:p>
      <w:pPr>
        <w:pStyle w:val="Body"/>
      </w:pPr>
      <w:r>
        <w:rPr>
          <w:b w:val="1"/>
          <w:bCs w:val="1"/>
          <w:sz w:val="24"/>
          <w:szCs w:val="24"/>
          <w:rtl w:val="0"/>
          <w:lang w:val="ru-RU"/>
        </w:rPr>
        <w:t>Назначение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Содержит данные о 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услуги может выполнять конкретный мастер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Участвует в процессах формирования расписания и бронирования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данные поступают от менеджеров при назначении услуг мастерам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применяются для фильтрации доступных мастеров при бронировании клиентом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передаются в систему слотов обслуживания</w:t>
      </w:r>
      <w:r>
        <w:rPr>
          <w:rtl w:val="0"/>
          <w:lang w:val="ru-RU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