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303" w:type="dxa"/>
        <w:jc w:val="left"/>
        <w:tblInd w:w="432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1328"/>
        <w:gridCol w:w="1329"/>
        <w:gridCol w:w="1329"/>
        <w:gridCol w:w="1330"/>
        <w:gridCol w:w="1329"/>
        <w:gridCol w:w="1329"/>
        <w:gridCol w:w="1329"/>
      </w:tblGrid>
      <w:tr>
        <w:tblPrEx>
          <w:shd w:val="clear" w:color="auto" w:fill="00a2ff"/>
        </w:tblPrEx>
        <w:trPr>
          <w:trHeight w:val="740" w:hRule="atLeast"/>
          <w:tblHeader/>
        </w:trPr>
        <w:tc>
          <w:tcPr>
            <w:tcW w:type="dxa" w:w="13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Мнемоника</w:t>
            </w:r>
          </w:p>
        </w:tc>
        <w:tc>
          <w:tcPr>
            <w:tcW w:type="dxa" w:w="13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Тип ключа</w:t>
            </w:r>
          </w:p>
        </w:tc>
        <w:tc>
          <w:tcPr>
            <w:tcW w:type="dxa" w:w="13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Тип данных</w:t>
            </w:r>
          </w:p>
        </w:tc>
        <w:tc>
          <w:tcPr>
            <w:tcW w:type="dxa" w:w="13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Ограничение длины</w:t>
            </w:r>
          </w:p>
        </w:tc>
        <w:tc>
          <w:tcPr>
            <w:tcW w:type="dxa" w:w="13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Обязательность</w:t>
            </w:r>
          </w:p>
        </w:tc>
        <w:tc>
          <w:tcPr>
            <w:tcW w:type="dxa" w:w="13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Дефолтное значение</w:t>
            </w:r>
          </w:p>
        </w:tc>
        <w:tc>
          <w:tcPr>
            <w:tcW w:type="dxa" w:w="13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ru-RU"/>
              </w:rPr>
              <w:t>Комментарии</w:t>
            </w:r>
          </w:p>
        </w:tc>
      </w:tr>
      <w:tr>
        <w:tblPrEx>
          <w:shd w:val="clear" w:color="auto" w:fill="cadfff"/>
        </w:tblPrEx>
        <w:trPr>
          <w:trHeight w:val="770" w:hRule="atLeast"/>
        </w:trPr>
        <w:tc>
          <w:tcPr>
            <w:tcW w:type="dxa" w:w="1328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Fonts w:ascii="Helvetica Neue" w:hAnsi="Helvetica Neue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slot_id</w:t>
            </w:r>
          </w:p>
        </w:tc>
        <w:tc>
          <w:tcPr>
            <w:tcW w:type="dxa" w:w="1329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en-US"/>
              </w:rPr>
              <w:t>Primary</w:t>
            </w:r>
            <w:r>
              <w:rPr>
                <w:rFonts w:ascii="Helvetica Neue" w:hAnsi="Helvetica Neue" w:hint="default"/>
                <w:sz w:val="20"/>
                <w:szCs w:val="20"/>
                <w:shd w:val="nil" w:color="auto" w:fill="auto"/>
                <w:rtl w:val="0"/>
                <w:lang w:val="en-US"/>
              </w:rPr>
              <w:t> </w:t>
            </w: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en-US"/>
              </w:rPr>
              <w:t>key</w:t>
            </w:r>
          </w:p>
        </w:tc>
        <w:tc>
          <w:tcPr>
            <w:tcW w:type="dxa" w:w="1329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1329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329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Fonts w:ascii="Helvetica Neue" w:hAnsi="Helvetica Neue" w:hint="default"/>
                <w:sz w:val="20"/>
                <w:szCs w:val="20"/>
                <w:shd w:val="nil" w:color="auto" w:fill="auto"/>
                <w:rtl w:val="0"/>
                <w:lang w:val="en-US"/>
              </w:rPr>
              <w:t>Да</w:t>
            </w:r>
          </w:p>
        </w:tc>
        <w:tc>
          <w:tcPr>
            <w:tcW w:type="dxa" w:w="1329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328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Fonts w:ascii="Helvetica Neue" w:hAnsi="Helvetica Neue" w:hint="default"/>
                <w:sz w:val="20"/>
                <w:szCs w:val="20"/>
                <w:shd w:val="nil" w:color="auto" w:fill="auto"/>
                <w:rtl w:val="0"/>
                <w:lang w:val="en-US"/>
              </w:rPr>
              <w:t>Уникальный идентификатор записи</w:t>
            </w:r>
          </w:p>
        </w:tc>
      </w:tr>
      <w:tr>
        <w:tblPrEx>
          <w:shd w:val="clear" w:color="auto" w:fill="cadfff"/>
        </w:tblPrEx>
        <w:trPr>
          <w:trHeight w:val="736" w:hRule="atLeast"/>
        </w:trPr>
        <w:tc>
          <w:tcPr>
            <w:tcW w:type="dxa" w:w="13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Fonts w:ascii="Helvetica Neue" w:hAnsi="Helvetica Neue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date</w:t>
            </w:r>
          </w:p>
        </w:tc>
        <w:tc>
          <w:tcPr>
            <w:tcW w:type="dxa" w:w="1329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-</w:t>
            </w:r>
          </w:p>
        </w:tc>
        <w:tc>
          <w:tcPr>
            <w:tcW w:type="dxa" w:w="13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en-US"/>
              </w:rPr>
              <w:t>Date</w:t>
            </w:r>
          </w:p>
        </w:tc>
        <w:tc>
          <w:tcPr>
            <w:tcW w:type="dxa" w:w="13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3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Fonts w:ascii="Helvetica Neue" w:hAnsi="Helvetica Neue" w:hint="default"/>
                <w:sz w:val="20"/>
                <w:szCs w:val="20"/>
                <w:shd w:val="nil" w:color="auto" w:fill="auto"/>
                <w:rtl w:val="0"/>
                <w:lang w:val="en-US"/>
              </w:rPr>
              <w:t>Да</w:t>
            </w:r>
          </w:p>
        </w:tc>
        <w:tc>
          <w:tcPr>
            <w:tcW w:type="dxa" w:w="13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3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Fonts w:ascii="Helvetica Neue" w:hAnsi="Helvetica Neue" w:hint="default"/>
                <w:sz w:val="20"/>
                <w:szCs w:val="20"/>
                <w:shd w:val="nil" w:color="auto" w:fill="auto"/>
                <w:rtl w:val="0"/>
                <w:lang w:val="en-US"/>
              </w:rPr>
              <w:t>Дата оказания услуги</w:t>
            </w:r>
          </w:p>
        </w:tc>
      </w:tr>
      <w:tr>
        <w:tblPrEx>
          <w:shd w:val="clear" w:color="auto" w:fill="cadfff"/>
        </w:tblPrEx>
        <w:trPr>
          <w:trHeight w:val="1204" w:hRule="atLeast"/>
        </w:trPr>
        <w:tc>
          <w:tcPr>
            <w:tcW w:type="dxa" w:w="13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shd w:val="nil" w:color="auto" w:fill="auto"/>
                <w:rtl w:val="0"/>
                <w:lang w:val="en-US"/>
              </w:rPr>
              <w:t>start_time</w:t>
            </w:r>
          </w:p>
        </w:tc>
        <w:tc>
          <w:tcPr>
            <w:tcW w:type="dxa" w:w="1329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-</w:t>
            </w:r>
          </w:p>
        </w:tc>
        <w:tc>
          <w:tcPr>
            <w:tcW w:type="dxa" w:w="13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en-US"/>
              </w:rPr>
              <w:t>Time</w:t>
            </w:r>
          </w:p>
        </w:tc>
        <w:tc>
          <w:tcPr>
            <w:tcW w:type="dxa" w:w="13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3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Fonts w:ascii="Helvetica Neue" w:hAnsi="Helvetica Neue" w:hint="default"/>
                <w:sz w:val="20"/>
                <w:szCs w:val="20"/>
                <w:shd w:val="nil" w:color="auto" w:fill="auto"/>
                <w:rtl w:val="0"/>
                <w:lang w:val="en-US"/>
              </w:rPr>
              <w:t>Да</w:t>
            </w:r>
          </w:p>
        </w:tc>
        <w:tc>
          <w:tcPr>
            <w:tcW w:type="dxa" w:w="13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3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Fonts w:ascii="Helvetica Neue" w:hAnsi="Helvetica Neue" w:hint="default"/>
                <w:sz w:val="20"/>
                <w:szCs w:val="20"/>
                <w:shd w:val="nil" w:color="auto" w:fill="auto"/>
                <w:rtl w:val="0"/>
                <w:lang w:val="en-US"/>
              </w:rPr>
              <w:t>Дата начала слота</w:t>
            </w: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en-US"/>
              </w:rPr>
              <w:t>(</w:t>
            </w:r>
            <w:r>
              <w:rPr>
                <w:rFonts w:ascii="Helvetica Neue" w:hAnsi="Helvetica Neue" w:hint="default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время слота </w:t>
            </w: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60 </w:t>
            </w:r>
            <w:r>
              <w:rPr>
                <w:rFonts w:ascii="Helvetica Neue" w:hAnsi="Helvetica Neue" w:hint="default"/>
                <w:sz w:val="20"/>
                <w:szCs w:val="20"/>
                <w:shd w:val="nil" w:color="auto" w:fill="auto"/>
                <w:rtl w:val="0"/>
                <w:lang w:val="en-US"/>
              </w:rPr>
              <w:t>минут</w:t>
            </w: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en-US"/>
              </w:rPr>
              <w:t>)</w:t>
            </w:r>
          </w:p>
        </w:tc>
      </w:tr>
      <w:tr>
        <w:tblPrEx>
          <w:shd w:val="clear" w:color="auto" w:fill="cadfff"/>
        </w:tblPrEx>
        <w:trPr>
          <w:trHeight w:val="959" w:hRule="atLeast"/>
        </w:trPr>
        <w:tc>
          <w:tcPr>
            <w:tcW w:type="dxa" w:w="13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1"/>
            </w:pPr>
            <w:r>
              <w:rPr>
                <w:rtl w:val="0"/>
                <w:lang w:val="en-US"/>
              </w:rPr>
              <w:t>employe_id</w:t>
            </w:r>
            <w:r>
              <w:rPr>
                <w:sz w:val="20"/>
                <w:szCs w:val="20"/>
                <w:shd w:val="nil" w:color="auto" w:fill="auto"/>
                <w:lang w:val="en-US"/>
              </w:rPr>
              <w:br w:type="textWrapping"/>
            </w:r>
          </w:p>
        </w:tc>
        <w:tc>
          <w:tcPr>
            <w:tcW w:type="dxa" w:w="1329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Foreign</w:t>
            </w: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 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key</w:t>
            </w:r>
          </w:p>
        </w:tc>
        <w:tc>
          <w:tcPr>
            <w:tcW w:type="dxa" w:w="13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13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3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Fonts w:ascii="Helvetica Neue" w:hAnsi="Helvetica Neue" w:hint="default"/>
                <w:sz w:val="20"/>
                <w:szCs w:val="20"/>
                <w:shd w:val="nil" w:color="auto" w:fill="auto"/>
                <w:rtl w:val="0"/>
                <w:lang w:val="en-US"/>
              </w:rPr>
              <w:t>Да</w:t>
            </w:r>
          </w:p>
        </w:tc>
        <w:tc>
          <w:tcPr>
            <w:tcW w:type="dxa" w:w="13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3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 Neue" w:hAnsi="Helvetica Neue" w:hint="default"/>
                <w:shd w:val="nil" w:color="auto" w:fill="auto"/>
                <w:rtl w:val="0"/>
                <w:lang w:val="en-US"/>
              </w:rPr>
              <w:t xml:space="preserve">Ссылка на запись в сущности </w:t>
            </w:r>
            <w:r>
              <w:rPr>
                <w:rFonts w:ascii="Helvetica Neue" w:hAnsi="Helvetica Neue" w:hint="default"/>
                <w:shd w:val="nil" w:color="auto" w:fill="auto"/>
                <w:rtl w:val="0"/>
                <w:lang w:val="ru-RU"/>
              </w:rPr>
              <w:t>Сотрудники</w:t>
            </w:r>
          </w:p>
        </w:tc>
      </w:tr>
      <w:tr>
        <w:tblPrEx>
          <w:shd w:val="clear" w:color="auto" w:fill="cadfff"/>
        </w:tblPrEx>
        <w:trPr>
          <w:trHeight w:val="959" w:hRule="atLeast"/>
        </w:trPr>
        <w:tc>
          <w:tcPr>
            <w:tcW w:type="dxa" w:w="13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6" w:space="0" w:shadow="0" w:frame="0"/>
            </w:tcBorders>
            <w:shd w:val="clear" w:color="auto" w:fill="dcdcd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</w:t>
            </w:r>
            <w:r>
              <w:rPr>
                <w:rFonts w:ascii="Helvetica Neue" w:hAnsi="Helvetica Neue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lient_id</w:t>
            </w:r>
          </w:p>
        </w:tc>
        <w:tc>
          <w:tcPr>
            <w:tcW w:type="dxa" w:w="1329"/>
            <w:tcBorders>
              <w:top w:val="single" w:color="000000" w:sz="2" w:space="0" w:shadow="0" w:frame="0"/>
              <w:left w:val="single" w:color="000000" w:sz="6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Foreign</w:t>
            </w:r>
            <w:r>
              <w:rPr>
                <w:rFonts w:ascii="Times New Roman" w:hAnsi="Times New Roman" w:hint="default"/>
                <w:shd w:val="nil" w:color="auto" w:fill="auto"/>
                <w:rtl w:val="0"/>
                <w:lang w:val="en-US"/>
              </w:rPr>
              <w:t> </w:t>
            </w:r>
            <w:r>
              <w:rPr>
                <w:rFonts w:ascii="Times New Roman" w:hAnsi="Times New Roman"/>
                <w:shd w:val="nil" w:color="auto" w:fill="auto"/>
                <w:rtl w:val="0"/>
                <w:lang w:val="en-US"/>
              </w:rPr>
              <w:t>key</w:t>
            </w:r>
          </w:p>
        </w:tc>
        <w:tc>
          <w:tcPr>
            <w:tcW w:type="dxa" w:w="13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Fonts w:ascii="Helvetica Neue" w:hAnsi="Helvetica Neue"/>
                <w:sz w:val="20"/>
                <w:szCs w:val="20"/>
                <w:shd w:val="nil" w:color="auto" w:fill="auto"/>
                <w:rtl w:val="0"/>
                <w:lang w:val="en-US"/>
              </w:rPr>
              <w:t>UUID</w:t>
            </w:r>
          </w:p>
        </w:tc>
        <w:tc>
          <w:tcPr>
            <w:tcW w:type="dxa" w:w="13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3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rFonts w:ascii="Helvetica Neue" w:hAnsi="Helvetica Neue" w:hint="default"/>
                <w:sz w:val="20"/>
                <w:szCs w:val="20"/>
                <w:shd w:val="nil" w:color="auto" w:fill="auto"/>
                <w:rtl w:val="0"/>
                <w:lang w:val="en-US"/>
              </w:rPr>
              <w:t>Нет</w:t>
            </w:r>
          </w:p>
        </w:tc>
        <w:tc>
          <w:tcPr>
            <w:tcW w:type="dxa" w:w="132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 A"/>
            </w:pPr>
            <w:r>
              <w:rPr>
                <w:shd w:val="nil" w:color="auto" w:fill="auto"/>
                <w:rtl w:val="0"/>
                <w:lang w:val="en-US"/>
              </w:rPr>
              <w:t>-</w:t>
            </w:r>
          </w:p>
        </w:tc>
        <w:tc>
          <w:tcPr>
            <w:tcW w:type="dxa" w:w="13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</w:pPr>
            <w:r>
              <w:rPr>
                <w:rFonts w:ascii="Helvetica Neue" w:hAnsi="Helvetica Neue" w:hint="default"/>
                <w:shd w:val="nil" w:color="auto" w:fill="auto"/>
                <w:rtl w:val="0"/>
                <w:lang w:val="en-US"/>
              </w:rPr>
              <w:t xml:space="preserve">Ссылка на запись в сущности </w:t>
            </w:r>
            <w:r>
              <w:rPr>
                <w:rFonts w:ascii="Helvetica Neue" w:hAnsi="Helvetica Neue" w:hint="default"/>
                <w:shd w:val="nil" w:color="auto" w:fill="auto"/>
                <w:rtl w:val="0"/>
                <w:lang w:val="ru-RU"/>
              </w:rPr>
              <w:t>Клиенты</w:t>
            </w:r>
          </w:p>
        </w:tc>
      </w:tr>
    </w:tbl>
    <w:p>
      <w:pPr>
        <w:pStyle w:val="Основной текст"/>
        <w:widowControl w:val="0"/>
        <w:ind w:left="324" w:hanging="324"/>
      </w:pPr>
    </w:p>
    <w:p>
      <w:pPr>
        <w:pStyle w:val="Основной текст A"/>
        <w:widowControl w:val="0"/>
        <w:ind w:left="216" w:hanging="216"/>
      </w:pPr>
    </w:p>
    <w:p>
      <w:pPr>
        <w:pStyle w:val="Body"/>
        <w:widowControl w:val="0"/>
        <w:ind w:left="108" w:hanging="108"/>
      </w:pPr>
    </w:p>
    <w:p>
      <w:pPr>
        <w:pStyle w:val="Body A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 xml:space="preserve">Класс </w:t>
      </w:r>
      <w:r>
        <w:rPr>
          <w:b w:val="1"/>
          <w:bCs w:val="1"/>
          <w:sz w:val="32"/>
          <w:szCs w:val="32"/>
          <w:rtl w:val="0"/>
          <w:lang w:val="en-US"/>
        </w:rPr>
        <w:t>“</w:t>
      </w:r>
      <w:r>
        <w:rPr>
          <w:b w:val="1"/>
          <w:bCs w:val="1"/>
          <w:i w:val="1"/>
          <w:iCs w:val="1"/>
          <w:sz w:val="32"/>
          <w:szCs w:val="32"/>
          <w:rtl w:val="0"/>
          <w:lang w:val="ru-RU"/>
        </w:rPr>
        <w:t>Слоты обслуживания</w:t>
      </w:r>
      <w:r>
        <w:rPr>
          <w:b w:val="1"/>
          <w:bCs w:val="1"/>
          <w:sz w:val="32"/>
          <w:szCs w:val="32"/>
          <w:rtl w:val="0"/>
          <w:lang w:val="en-US"/>
        </w:rPr>
        <w:t>”</w:t>
      </w:r>
    </w:p>
    <w:p>
      <w:pPr>
        <w:pStyle w:val="Body A"/>
      </w:pPr>
      <w:r>
        <w:rPr>
          <w:b w:val="1"/>
          <w:bCs w:val="1"/>
          <w:sz w:val="24"/>
          <w:szCs w:val="24"/>
          <w:rtl w:val="0"/>
          <w:lang w:val="ru-RU"/>
        </w:rPr>
        <w:t>Назначение</w:t>
      </w:r>
      <w:r>
        <w:rPr>
          <w:b w:val="1"/>
          <w:bCs w:val="1"/>
          <w:sz w:val="24"/>
          <w:szCs w:val="24"/>
          <w:rtl w:val="0"/>
          <w:lang w:val="en-US"/>
        </w:rPr>
        <w:t xml:space="preserve">: </w:t>
      </w:r>
      <w:r>
        <w:rPr>
          <w:rtl w:val="0"/>
          <w:lang w:val="en-US"/>
        </w:rPr>
        <w:t>Содержит данные о временных интервалах для предоставления услуг мастерами</w:t>
      </w:r>
      <w:r>
        <w:rPr>
          <w:rtl w:val="0"/>
          <w:lang w:val="en-US"/>
        </w:rPr>
        <w:t xml:space="preserve">. </w:t>
      </w:r>
      <w:r>
        <w:rPr>
          <w:rtl w:val="0"/>
          <w:lang w:val="en-US"/>
        </w:rPr>
        <w:t>Участвует в процессах бронирования услуг клиентами и просмотра расписания мастерами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данные поступают от менеджеров при создании расписания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применяются для выбора клиентами свободных слотов</w:t>
      </w:r>
      <w:r>
        <w:rPr>
          <w:rtl w:val="0"/>
          <w:lang w:val="en-US"/>
        </w:rPr>
        <w:t xml:space="preserve">, </w:t>
      </w:r>
      <w:r>
        <w:rPr>
          <w:rtl w:val="0"/>
          <w:lang w:val="en-US"/>
        </w:rPr>
        <w:t>передаются в систему уведомлений и отчетов</w:t>
      </w:r>
      <w:r>
        <w:rPr>
          <w:rtl w:val="0"/>
          <w:lang w:val="en-US"/>
        </w:rPr>
        <w:t>.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1">
    <w:name w:val="Table Style 1"/>
    <w:next w:val="Table Style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Основной текст A">
    <w:name w:val="Основной текст A"/>
    <w:next w:val="Основной текст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