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458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50"/>
        <w:gridCol w:w="1352"/>
        <w:gridCol w:w="1351"/>
        <w:gridCol w:w="1352"/>
        <w:gridCol w:w="1351"/>
        <w:gridCol w:w="1352"/>
        <w:gridCol w:w="1350"/>
      </w:tblGrid>
      <w:tr>
        <w:tblPrEx>
          <w:shd w:val="clear" w:color="auto" w:fill="00a2ff"/>
        </w:tblPrEx>
        <w:trPr>
          <w:trHeight w:val="500" w:hRule="atLeast"/>
          <w:tblHeader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Мнемоника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ключа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Ограничение длины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Обязательность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Дефолтное значение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Комментарии</w:t>
            </w:r>
          </w:p>
        </w:tc>
      </w:tr>
      <w:tr>
        <w:tblPrEx>
          <w:shd w:val="clear" w:color="auto" w:fill="cadfff"/>
        </w:tblPrEx>
        <w:trPr>
          <w:trHeight w:val="739" w:hRule="atLeast"/>
        </w:trPr>
        <w:tc>
          <w:tcPr>
            <w:tcW w:type="dxa" w:w="135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notification_id</w:t>
            </w:r>
          </w:p>
        </w:tc>
        <w:tc>
          <w:tcPr>
            <w:tcW w:type="dxa" w:w="135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Primary key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5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-</w:t>
            </w:r>
          </w:p>
        </w:tc>
        <w:tc>
          <w:tcPr>
            <w:tcW w:type="dxa" w:w="135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 xml:space="preserve">Уникальный </w:t>
            </w:r>
            <w:r>
              <w:rPr>
                <w:shd w:val="nil" w:color="auto" w:fill="auto"/>
                <w:rtl w:val="0"/>
                <w:lang w:val="en-US"/>
              </w:rPr>
              <w:t xml:space="preserve">ID </w:t>
            </w:r>
            <w:r>
              <w:rPr>
                <w:shd w:val="nil" w:color="auto" w:fill="auto"/>
                <w:rtl w:val="0"/>
                <w:lang w:val="ru-RU"/>
              </w:rPr>
              <w:t>извещения</w:t>
            </w:r>
          </w:p>
        </w:tc>
      </w:tr>
      <w:tr>
        <w:tblPrEx>
          <w:shd w:val="clear" w:color="auto" w:fill="cadfff"/>
        </w:tblPrEx>
        <w:trPr>
          <w:trHeight w:val="850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persona_id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Foreign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shd w:val="nil" w:color="auto" w:fill="auto"/>
                <w:rtl w:val="0"/>
              </w:rPr>
              <w:t>key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UUID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Arial Unicode MS" w:hAnsi="Arial Unicode MS" w:hint="default"/>
                <w:shd w:val="nil" w:color="auto" w:fill="auto"/>
                <w:rtl w:val="0"/>
                <w:lang w:val="ru-RU"/>
              </w:rPr>
              <w:t>Ссылка на класс персона</w:t>
            </w:r>
          </w:p>
        </w:tc>
      </w:tr>
      <w:tr>
        <w:tblPrEx>
          <w:shd w:val="clear" w:color="auto" w:fill="cadfff"/>
        </w:tblPrEx>
        <w:trPr>
          <w:trHeight w:val="964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client</w:t>
            </w:r>
            <w:r>
              <w:rPr>
                <w:shd w:val="nil" w:color="auto" w:fill="auto"/>
                <w:rtl w:val="0"/>
                <w:lang w:val="fr-FR"/>
              </w:rPr>
              <w:t>_id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Foreign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shd w:val="nil" w:color="auto" w:fill="auto"/>
                <w:rtl w:val="0"/>
              </w:rPr>
              <w:t>key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Ссылка за запись в сущности клиенты</w:t>
            </w:r>
          </w:p>
        </w:tc>
      </w:tr>
      <w:tr>
        <w:tblPrEx>
          <w:shd w:val="clear" w:color="auto" w:fill="cadfff"/>
        </w:tblPrEx>
        <w:trPr>
          <w:trHeight w:val="1204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channel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String 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 xml:space="preserve">20 </w:t>
            </w:r>
            <w:r>
              <w:rPr>
                <w:shd w:val="nil" w:color="auto" w:fill="auto"/>
                <w:rtl w:val="0"/>
                <w:lang w:val="ru-RU"/>
              </w:rPr>
              <w:t>символов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Да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Канал связи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который выбрал клиент</w:t>
            </w:r>
          </w:p>
        </w:tc>
      </w:tr>
      <w:tr>
        <w:tblPrEx>
          <w:shd w:val="clear" w:color="auto" w:fill="cadfff"/>
        </w:tblPrEx>
        <w:trPr>
          <w:trHeight w:val="957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message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String 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 xml:space="preserve">500 </w:t>
            </w:r>
            <w:r>
              <w:rPr>
                <w:shd w:val="nil" w:color="auto" w:fill="auto"/>
                <w:rtl w:val="0"/>
                <w:lang w:val="ru-RU"/>
              </w:rPr>
              <w:t>символов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Да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Текст сообщения </w:t>
            </w:r>
          </w:p>
        </w:tc>
      </w:tr>
      <w:tr>
        <w:tblPrEx>
          <w:shd w:val="clear" w:color="auto" w:fill="cadfff"/>
        </w:tblPrEx>
        <w:trPr>
          <w:trHeight w:val="1444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departure_time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DateTime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right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Да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Дата и время запланированной отправки сообщения</w:t>
            </w:r>
          </w:p>
        </w:tc>
      </w:tr>
      <w:tr>
        <w:tblPrEx>
          <w:shd w:val="clear" w:color="auto" w:fill="cadfff"/>
        </w:tblPrEx>
        <w:trPr>
          <w:trHeight w:val="957" w:hRule="atLeast"/>
        </w:trPr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statys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String 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 xml:space="preserve">20 </w:t>
            </w:r>
            <w:r>
              <w:rPr>
                <w:shd w:val="nil" w:color="auto" w:fill="auto"/>
                <w:rtl w:val="0"/>
                <w:lang w:val="ru-RU"/>
              </w:rPr>
              <w:t>символов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Да </w:t>
            </w:r>
          </w:p>
        </w:tc>
        <w:tc>
          <w:tcPr>
            <w:tcW w:type="dxa" w:w="13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«Запланировано»</w:t>
            </w:r>
          </w:p>
        </w:tc>
        <w:tc>
          <w:tcPr>
            <w:tcW w:type="dxa" w:w="1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Статус извещения</w:t>
            </w:r>
          </w:p>
        </w:tc>
      </w:tr>
    </w:tbl>
    <w:p>
      <w:pPr>
        <w:pStyle w:val="Основной текст"/>
        <w:widowControl w:val="0"/>
        <w:ind w:left="324" w:hanging="324"/>
      </w:pPr>
    </w:p>
    <w:p>
      <w:pPr>
        <w:pStyle w:val="Основной текст A"/>
        <w:widowControl w:val="0"/>
        <w:ind w:left="216" w:hanging="216"/>
      </w:pPr>
    </w:p>
    <w:p>
      <w:pPr>
        <w:pStyle w:val="Body"/>
        <w:widowControl w:val="0"/>
        <w:ind w:left="108" w:hanging="108"/>
      </w:pPr>
    </w:p>
    <w:p>
      <w:pPr>
        <w:pStyle w:val="Body A"/>
      </w:pPr>
      <w:r>
        <w:rPr>
          <w:b w:val="1"/>
          <w:bCs w:val="1"/>
          <w:sz w:val="32"/>
          <w:szCs w:val="32"/>
          <w:rtl w:val="0"/>
          <w:lang w:val="ru-RU"/>
        </w:rPr>
        <w:t xml:space="preserve">Сущность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Извещение</w:t>
      </w:r>
      <w:r>
        <w:rPr>
          <w:b w:val="1"/>
          <w:bCs w:val="1"/>
          <w:i w:val="1"/>
          <w:iCs w:val="1"/>
          <w:sz w:val="32"/>
          <w:szCs w:val="32"/>
          <w:rtl w:val="0"/>
          <w:lang w:val="ru-RU"/>
        </w:rPr>
        <w:t xml:space="preserve"> клиента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”</w:t>
      </w:r>
    </w:p>
    <w:p>
      <w:pPr>
        <w:pStyle w:val="Body A"/>
      </w:pPr>
      <w:r>
        <w:rPr>
          <w:b w:val="1"/>
          <w:bCs w:val="1"/>
          <w:sz w:val="24"/>
          <w:szCs w:val="24"/>
          <w:rtl w:val="0"/>
          <w:lang w:val="ru-RU"/>
        </w:rPr>
        <w:t>Назначение</w:t>
      </w:r>
      <w:r>
        <w:rPr>
          <w:b w:val="1"/>
          <w:bCs w:val="1"/>
          <w:sz w:val="24"/>
          <w:szCs w:val="24"/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Содержит данные об уведомлениях для клиентов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Участвует в процессах автоматического информирования о бронированиях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поступают от системы при создании брони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применяются для отправки напоминаний по выбранным каналам связи</w:t>
      </w:r>
      <w:r>
        <w:rPr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