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5DEF9">
      <w:pPr>
        <w:jc w:val="center"/>
        <w:rPr>
          <w:color w:val="auto"/>
        </w:rPr>
      </w:pPr>
      <w:r>
        <w:rPr>
          <w:rFonts w:hint="default"/>
          <w:b/>
          <w:color w:val="auto"/>
          <w:sz w:val="36"/>
          <w:lang w:val="ru-RU"/>
        </w:rPr>
        <w:t>Тер</w:t>
      </w:r>
      <w:r>
        <w:rPr>
          <w:rFonts w:ascii="Calibri" w:hAnsi="Calibri" w:eastAsia="Calibri"/>
          <w:b/>
          <w:color w:val="auto"/>
          <w:sz w:val="36"/>
        </w:rPr>
        <w:t>минология</w:t>
      </w:r>
      <w:bookmarkStart w:id="0" w:name="_GoBack"/>
      <w:bookmarkEnd w:id="0"/>
    </w:p>
    <w:p w14:paraId="3EDDC2C8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1. Ответ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545"/>
        <w:gridCol w:w="6979"/>
      </w:tblGrid>
      <w:tr w14:paraId="2105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1952318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Термин</w:t>
            </w:r>
          </w:p>
        </w:tc>
        <w:tc>
          <w:tcPr>
            <w:tcW w:w="1984" w:type="dxa"/>
            <w:shd w:val="clear" w:color="auto" w:fill="1F4E79"/>
          </w:tcPr>
          <w:p w14:paraId="2642A544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Выбранный вариант</w:t>
            </w:r>
          </w:p>
        </w:tc>
        <w:tc>
          <w:tcPr>
            <w:tcW w:w="10205" w:type="dxa"/>
            <w:shd w:val="clear" w:color="auto" w:fill="1F4E79"/>
          </w:tcPr>
          <w:p w14:paraId="34598E8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Формулировка определения</w:t>
            </w:r>
          </w:p>
        </w:tc>
      </w:tr>
      <w:tr w14:paraId="03BE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72F371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1. REST</w:t>
            </w:r>
          </w:p>
        </w:tc>
        <w:tc>
          <w:tcPr>
            <w:tcW w:w="1984" w:type="dxa"/>
          </w:tcPr>
          <w:p w14:paraId="679FFF7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3</w:t>
            </w:r>
          </w:p>
        </w:tc>
        <w:tc>
          <w:tcPr>
            <w:tcW w:w="10205" w:type="dxa"/>
          </w:tcPr>
          <w:p w14:paraId="0814620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Архитектурный стиль взаимодействия компонентов распределенного приложения в сети.</w:t>
            </w:r>
          </w:p>
        </w:tc>
      </w:tr>
      <w:tr w14:paraId="6941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2F2"/>
          </w:tcPr>
          <w:p w14:paraId="0C0DBB0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2. Кеширование</w:t>
            </w:r>
          </w:p>
        </w:tc>
        <w:tc>
          <w:tcPr>
            <w:tcW w:w="1984" w:type="dxa"/>
            <w:shd w:val="clear" w:color="auto" w:fill="F2F2F2"/>
          </w:tcPr>
          <w:p w14:paraId="2866847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8</w:t>
            </w:r>
          </w:p>
        </w:tc>
        <w:tc>
          <w:tcPr>
            <w:tcW w:w="10205" w:type="dxa"/>
            <w:shd w:val="clear" w:color="auto" w:fill="F2F2F2"/>
          </w:tcPr>
          <w:p w14:paraId="25905CE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Увеличение производительности веб-приложений за счёт использования сохранённых ранее данных.</w:t>
            </w:r>
          </w:p>
        </w:tc>
      </w:tr>
      <w:tr w14:paraId="4049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1BDE18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3. Масштабируемость</w:t>
            </w:r>
          </w:p>
        </w:tc>
        <w:tc>
          <w:tcPr>
            <w:tcW w:w="1984" w:type="dxa"/>
          </w:tcPr>
          <w:p w14:paraId="6CE8DB3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5</w:t>
            </w:r>
          </w:p>
        </w:tc>
        <w:tc>
          <w:tcPr>
            <w:tcW w:w="10205" w:type="dxa"/>
          </w:tcPr>
          <w:p w14:paraId="30AE214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Способность системы, сети или процесса увеличивать свою производительность при добавлении ресурсов.</w:t>
            </w:r>
          </w:p>
        </w:tc>
      </w:tr>
      <w:tr w14:paraId="0F6F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2F2"/>
          </w:tcPr>
          <w:p w14:paraId="1716103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4. Асинхронность</w:t>
            </w:r>
          </w:p>
        </w:tc>
        <w:tc>
          <w:tcPr>
            <w:tcW w:w="1984" w:type="dxa"/>
            <w:shd w:val="clear" w:color="auto" w:fill="F2F2F2"/>
          </w:tcPr>
          <w:p w14:paraId="4350085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1</w:t>
            </w:r>
          </w:p>
        </w:tc>
        <w:tc>
          <w:tcPr>
            <w:tcW w:w="10205" w:type="dxa"/>
            <w:shd w:val="clear" w:color="auto" w:fill="F2F2F2"/>
          </w:tcPr>
          <w:p w14:paraId="789283F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Несовпадение, несогласованность с чем-либо во времени; неодномоментность, неодновременность.</w:t>
            </w:r>
          </w:p>
        </w:tc>
      </w:tr>
    </w:tbl>
    <w:p w14:paraId="3D029FE2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2. Обоснование выбора</w:t>
      </w:r>
    </w:p>
    <w:p w14:paraId="387AD4B7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REST</w:t>
      </w:r>
      <w:r>
        <w:rPr>
          <w:rFonts w:hint="default" w:ascii="Calibri" w:hAnsi="Calibri" w:eastAsia="Calibri"/>
          <w:b/>
          <w:color w:val="auto"/>
          <w:sz w:val="26"/>
          <w:lang w:val="ru-RU"/>
        </w:rPr>
        <w:t>:</w:t>
      </w:r>
      <w:r>
        <w:rPr>
          <w:rFonts w:ascii="Calibri" w:hAnsi="Calibri" w:eastAsia="Calibri"/>
          <w:b/>
          <w:color w:val="auto"/>
          <w:sz w:val="26"/>
        </w:rPr>
        <w:t xml:space="preserve"> 3</w:t>
      </w:r>
    </w:p>
    <w:p w14:paraId="55120A49">
      <w:pPr>
        <w:spacing w:before="0" w:after="120"/>
        <w:rPr>
          <w:rFonts w:hint="default"/>
          <w:color w:val="auto"/>
          <w:lang w:val="ru-RU"/>
        </w:rPr>
      </w:pPr>
      <w:r>
        <w:rPr>
          <w:rFonts w:ascii="Calibri" w:hAnsi="Calibri" w:eastAsia="Calibri"/>
          <w:b w:val="0"/>
          <w:color w:val="auto"/>
          <w:sz w:val="22"/>
        </w:rPr>
        <w:t xml:space="preserve">REST (Representational State Transfer) ввёл Рой Филдинг в диссертации 2000 года как набор ограничений (клиент-сервер, stateless, кэш, единообразие интерфейса, слои, code-on-demand). Это архитектурный стиль, а не протокол. Протоколом передачи в типичной REST-интеграции выступает HTTP. </w:t>
      </w:r>
    </w:p>
    <w:p w14:paraId="592EE192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Кеширование</w:t>
      </w:r>
      <w:r>
        <w:rPr>
          <w:rFonts w:hint="default" w:ascii="Calibri" w:hAnsi="Calibri" w:eastAsia="Calibri"/>
          <w:b/>
          <w:color w:val="auto"/>
          <w:sz w:val="26"/>
          <w:lang w:val="ru-RU"/>
        </w:rPr>
        <w:t xml:space="preserve">: </w:t>
      </w:r>
      <w:r>
        <w:rPr>
          <w:rFonts w:ascii="Calibri" w:hAnsi="Calibri" w:eastAsia="Calibri"/>
          <w:b/>
          <w:color w:val="auto"/>
          <w:sz w:val="26"/>
        </w:rPr>
        <w:t>8</w:t>
      </w:r>
    </w:p>
    <w:p w14:paraId="5D3D356D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Кеширование — сохранение ранее полученного ответа, чтобы не вычислять и не запрашивать его повторно. Это ровно формулировка 8. Вариант 6 описывает идемпотентность метода, вариант 7 — вертикальное ускорение без добавления ресурсов (это не определение кэша).</w:t>
      </w:r>
    </w:p>
    <w:p w14:paraId="2D9DEFE9">
      <w:pPr>
        <w:pStyle w:val="3"/>
        <w:rPr>
          <w:rFonts w:hint="default"/>
          <w:color w:val="auto"/>
          <w:lang w:val="ru-RU"/>
        </w:rPr>
      </w:pPr>
      <w:r>
        <w:rPr>
          <w:rFonts w:ascii="Calibri" w:hAnsi="Calibri" w:eastAsia="Calibri"/>
          <w:b/>
          <w:color w:val="auto"/>
          <w:sz w:val="26"/>
        </w:rPr>
        <w:t>Масштабируемость</w:t>
      </w:r>
      <w:r>
        <w:rPr>
          <w:rFonts w:hint="default" w:ascii="Calibri" w:hAnsi="Calibri" w:eastAsia="Calibri"/>
          <w:b/>
          <w:color w:val="auto"/>
          <w:sz w:val="26"/>
          <w:lang w:val="ru-RU"/>
        </w:rPr>
        <w:t>: 5</w:t>
      </w:r>
    </w:p>
    <w:p w14:paraId="78BCA546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Классическое определение scalability: система способна наращивать производительность при добавлении ресурсов (узлов, CPU, памяти). Вариант 7 описывает обратное — рост без ресурсов — и к масштабируемости не подходит. Stateless и единообразие интерфейса REST как раз облегчают горизонтальное масштабирование: любой узел может обработать любой запрос.</w:t>
      </w:r>
    </w:p>
    <w:p w14:paraId="74D94CE0">
      <w:pPr>
        <w:pStyle w:val="3"/>
        <w:rPr>
          <w:rFonts w:hint="default"/>
          <w:color w:val="auto"/>
          <w:lang w:val="ru-RU"/>
        </w:rPr>
      </w:pPr>
      <w:r>
        <w:rPr>
          <w:rFonts w:ascii="Calibri" w:hAnsi="Calibri" w:eastAsia="Calibri"/>
          <w:b/>
          <w:color w:val="auto"/>
          <w:sz w:val="26"/>
        </w:rPr>
        <w:t>Асинхронность</w:t>
      </w:r>
      <w:r>
        <w:rPr>
          <w:rFonts w:hint="default" w:ascii="Calibri" w:hAnsi="Calibri" w:eastAsia="Calibri"/>
          <w:b/>
          <w:color w:val="auto"/>
          <w:sz w:val="26"/>
          <w:lang w:val="ru-RU"/>
        </w:rPr>
        <w:t>: 1</w:t>
      </w:r>
    </w:p>
    <w:p w14:paraId="58A89BC6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Асинхронность — стороны не обязаны ждать друг друга в один и тот же момент. Запрос «отправь СМС» может завершиться 202 Accepted, а факт доставки придёт callback-ом позже. Вариант 2 («согласованность движений») ближе к синхронности. В UC04 регистрация клиента синхронна (И2), а информирование по СМС — асинхронно (И3+И4).</w:t>
      </w:r>
    </w:p>
    <w:p w14:paraId="5F9EC8B3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3. Отброшенные определения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9853"/>
      </w:tblGrid>
      <w:tr w14:paraId="40D23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</w:tcPr>
          <w:p w14:paraId="5A82709D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№</w:t>
            </w:r>
          </w:p>
        </w:tc>
        <w:tc>
          <w:tcPr>
            <w:tcW w:w="13606" w:type="dxa"/>
            <w:shd w:val="clear" w:color="auto" w:fill="1F4E79"/>
          </w:tcPr>
          <w:p w14:paraId="43408DEA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Почему не выбран</w:t>
            </w:r>
          </w:p>
        </w:tc>
      </w:tr>
      <w:tr w14:paraId="2502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C7D7A3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</w:t>
            </w:r>
          </w:p>
        </w:tc>
        <w:tc>
          <w:tcPr>
            <w:tcW w:w="13606" w:type="dxa"/>
          </w:tcPr>
          <w:p w14:paraId="5D06801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Описывает синхронность / согласованность, противоположность асинхронности.</w:t>
            </w:r>
          </w:p>
        </w:tc>
      </w:tr>
      <w:tr w14:paraId="5A40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02141DC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</w:t>
            </w:r>
          </w:p>
        </w:tc>
        <w:tc>
          <w:tcPr>
            <w:tcW w:w="13606" w:type="dxa"/>
            <w:shd w:val="clear" w:color="auto" w:fill="F2F2F2"/>
          </w:tcPr>
          <w:p w14:paraId="653E035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REST — не протокол; протокол в нашем контуре — HTTP.</w:t>
            </w:r>
          </w:p>
        </w:tc>
      </w:tr>
      <w:tr w14:paraId="7962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599D2B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6</w:t>
            </w:r>
          </w:p>
        </w:tc>
        <w:tc>
          <w:tcPr>
            <w:tcW w:w="13606" w:type="dxa"/>
          </w:tcPr>
          <w:p w14:paraId="0F1DA12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Идемпотентность метода, понадобится в ex.04, но не входит в список терминов.</w:t>
            </w:r>
          </w:p>
        </w:tc>
      </w:tr>
      <w:tr w14:paraId="2F485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44BD04A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7</w:t>
            </w:r>
          </w:p>
        </w:tc>
        <w:tc>
          <w:tcPr>
            <w:tcW w:w="13606" w:type="dxa"/>
            <w:shd w:val="clear" w:color="auto" w:fill="F2F2F2"/>
          </w:tcPr>
          <w:p w14:paraId="31D863D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Рост производительности без ресурсов — не масштабируемость.</w:t>
            </w:r>
          </w:p>
        </w:tc>
      </w:tr>
      <w:tr w14:paraId="254E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9A6271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9</w:t>
            </w:r>
          </w:p>
        </w:tc>
        <w:tc>
          <w:tcPr>
            <w:tcW w:w="13606" w:type="dxa"/>
          </w:tcPr>
          <w:p w14:paraId="5972828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Шум, к интеграции не относится.</w:t>
            </w:r>
          </w:p>
        </w:tc>
      </w:tr>
    </w:tbl>
    <w:p w14:paraId="18FC00CD">
      <w:pPr>
        <w:rPr>
          <w:color w:val="auto"/>
        </w:rPr>
      </w:pPr>
    </w:p>
    <w:sectPr>
      <w:pgSz w:w="12240" w:h="15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6C067C"/>
    <w:rsid w:val="6121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2211</Characters>
  <Lines>0</Lines>
  <Paragraphs>0</Paragraphs>
  <TotalTime>5</TotalTime>
  <ScaleCrop>false</ScaleCrop>
  <LinksUpToDate>false</LinksUpToDate>
  <CharactersWithSpaces>2513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Gaga Goga</cp:lastModifiedBy>
  <dcterms:modified xsi:type="dcterms:W3CDTF">2026-09-11T18:46:22Z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eyJoZGlkIjoiMTI5Mzc4OGM0ZjBkZTU4YWQzYTViMTg4MDRmMDk1MmMiLCJ1c2VySWQiOiI4NDI0OTgxMzEyMDIifQ==</vt:lpwstr>
  </property>
  <property fmtid="{D5CDD505-2E9C-101B-9397-08002B2CF9AE}" pid="3" name="KSOProductBuildVer">
    <vt:lpwstr>1049-12.1.0.28032</vt:lpwstr>
  </property>
  <property fmtid="{D5CDD505-2E9C-101B-9397-08002B2CF9AE}" pid="4" name="ICV">
    <vt:lpwstr>B39AD6044F4D47868204FCF121B63D8A_12</vt:lpwstr>
  </property>
</Properties>
</file>