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Семейный бюджет</w:t>
      </w:r>
    </w:p>
    <w:p>
      <w:r>
        <w:t>В семье используют три модели: общий бюджет (все доходы в один «котёл»), раздельный и смешанный —</w:t>
      </w:r>
    </w:p>
    <w:p>
      <w:r>
        <w:t>каждый вносит долю в общие расходы, а остальное тратит сам. Подходящая модель зависит от договорённостей,</w:t>
      </w:r>
    </w:p>
    <w:p>
      <w:r>
        <w:t>важно лишь обсуждать её открыто.</w:t>
      </w:r>
    </w:p>
    <w:p>
      <w:r>
        <w:t>Общие расходы — жильё, продукты, дети, отпуск — удобно вести в одной категории. Регулярный семейный</w:t>
      </w:r>
    </w:p>
    <w:p>
      <w:r>
        <w:t>«финансовый вечер» раз в месяц помогает свериться с целями и избежать конфликтов из-за денег.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Команда Финпомощника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