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Benjarong iDoc - รายงานสรุปผลการวิเคราะห์เชิงลึก</w:t>
      </w:r>
    </w:p>
    <w:p>
      <w:pPr>
        <w:jc w:val="center"/>
      </w:pPr>
      <w:r>
        <w:t>Thailand Tourism Digital Public Infrastructure (Tourism DPI)</w:t>
      </w:r>
    </w:p>
    <w:p>
      <w:pPr>
        <w:jc w:val="center"/>
      </w:pPr>
      <w:r>
        <w:t>จัดทำโดย: Benjarong iDoc System | วันที่วิเคราะห์: 2026-08-21 00:18:31 | เอกสารในรายงาน: 2 รายการ</w:t>
      </w:r>
    </w:p>
    <w:p/>
    <w:p>
      <w:pPr>
        <w:pStyle w:val="Heading1"/>
      </w:pPr>
      <w:r>
        <w:t>1. รายการเอกสารที่เลือกนำเสนอ (Selected Documents Index)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ชื่อเอกสาร</w:t>
            </w:r>
          </w:p>
        </w:tc>
        <w:tc>
          <w:tcPr>
            <w:tcW w:type="dxa" w:w="2880"/>
          </w:tcPr>
          <w:p>
            <w:r>
              <w:t>หมวดหมู่ (Categories)</w:t>
            </w:r>
          </w:p>
        </w:tc>
        <w:tc>
          <w:tcPr>
            <w:tcW w:type="dxa" w:w="2880"/>
          </w:tcPr>
          <w:p>
            <w:r>
              <w:t>แหล่งที่มา</w:t>
            </w:r>
          </w:p>
        </w:tc>
      </w:tr>
      <w:tr>
        <w:tc>
          <w:tcPr>
            <w:tcW w:type="dxa" w:w="2880"/>
          </w:tcPr>
          <w:p>
            <w:r>
              <w:t>ร่างแผนหัวข้อการนำเสนอผลประโยชน์ต่างตอบแทน (Win-Win Partnership Proposal)</w:t>
            </w:r>
          </w:p>
        </w:tc>
        <w:tc>
          <w:tcPr>
            <w:tcW w:type="dxa" w:w="2880"/>
          </w:tcPr>
          <w:p>
            <w:r>
              <w:t>ยุทธศาสตร์และข้อเสนอพันธมิตร (Strategy &amp; Partnership), แผนธุรกิจและโมเดลธุรกิจ (Business Model &amp; Plan)</w:t>
            </w:r>
          </w:p>
        </w:tc>
        <w:tc>
          <w:tcPr>
            <w:tcW w:type="dxa" w:w="2880"/>
          </w:tcPr>
          <w:p>
            <w:r>
              <w:t>มูลนิธินพเฉลิมโรจน์ ร่วมกับ ททท. / กระทรวงการท่องเที่ยวและกีฬา</w:t>
            </w:r>
          </w:p>
        </w:tc>
      </w:tr>
      <w:tr>
        <w:tc>
          <w:tcPr>
            <w:tcW w:type="dxa" w:w="2880"/>
          </w:tcPr>
          <w:p>
            <w:r>
              <w:t>ตารางสรุปสัดส่วนงบประมาณรายหมวด (Budget Allocation Summary)</w:t>
            </w:r>
          </w:p>
        </w:tc>
        <w:tc>
          <w:tcPr>
            <w:tcW w:type="dxa" w:w="2880"/>
          </w:tcPr>
          <w:p>
            <w:r>
              <w:t>การจัดสรรงบประมาณและการเงิน (Budget &amp; Finance)</w:t>
            </w:r>
          </w:p>
        </w:tc>
        <w:tc>
          <w:tcPr>
            <w:tcW w:type="dxa" w:w="2880"/>
          </w:tcPr>
          <w:p>
            <w:r>
              <w:t>โครงการ Thailand Tourism DPI (เสนอขอทุนกองทุน DE)</w:t>
            </w:r>
          </w:p>
        </w:tc>
      </w:tr>
    </w:tbl>
    <w:p/>
    <w:p>
      <w:pPr>
        <w:pStyle w:val="Heading1"/>
      </w:pPr>
      <w:r>
        <w:t>2. รายละเอียดการวิเคราะห์เชิงลึกโดยผู้เชี่ยวชาญ (Detailed Expert Analysis)</w:t>
      </w:r>
    </w:p>
    <w:p>
      <w:pPr>
        <w:pStyle w:val="Heading2"/>
      </w:pPr>
      <w:r>
        <w:t>1. ร่างแผนหัวข้อการนำเสนอผลประโยชน์ต่างตอบแทน (Win-Win Partnership Proposal)</w:t>
      </w:r>
    </w:p>
    <w:p>
      <w:r>
        <w:t>📁 ไฟล์: Win-Win Partnership Proposal Outline.pdf | แหล่งที่มา: มูลนิธินพเฉลิมโรจน์ ร่วมกับ ททท. / กระทรวงการท่องเที่ยวและกีฬา | วิเคราะห์เมื่อ: 2026-08-20 13:22:13</w:t>
      </w:r>
    </w:p>
    <w:p>
      <w:r>
        <w:t>🏷️ หมวดหมู่: ยุทธศาสตร์และข้อเสนอพันธมิตร (Strategy &amp; Partnership), แผนธุรกิจและโมเดลธุรกิจ (Business Model &amp; Plan)</w:t>
      </w:r>
    </w:p>
    <w:p>
      <w:r>
        <w:t>สรุปสาระสำคัญ: ข้อเสนอพันธมิตรเชิงยุทธศาสตร์เพื่อขับเคลื่อน National Tourism Platform บน Government Cloud (GDCC) 100% ปกป้องอธิปไตยทางข้อมูล และสร้างระบบนิเวศการท่องเที่ยวที่เป็นธรรม โดยนำเสนอผลประโยชน์ต่างตอบแทนแก่ภาคเอกชน อาทิ สายการบิน (First-Touch Booking, Targeted Ad), ห้างสรรพสินค้า/โมเดลการ์ด (Foot Traffic Driver, E-Coupon, Tax Refund Integration) และสถาบันการเงิน (Exclusive Payment Gateway, New Account Acquisition)</w:t>
      </w:r>
    </w:p>
    <w:p>
      <w:pPr>
        <w:pStyle w:val="Heading3"/>
      </w:pPr>
      <w:r>
        <w:t>มุมมองวิเคราะห์โดยผู้เชี่ยวชาญ 6 ด้าน:</w:t>
      </w:r>
    </w:p>
    <w:p>
      <w:r>
        <w:t>💼 ด้านธุรกิจ: เปลี่ยนรูปแบบจากการขอเงินบริจาคเป็นการแลกเปลี่ยนผลประโยชน์ธุรกิจ (Barter Model) ช่วยลดค่าคอมมิชชันและเพิ่ม Conversion Rate Direct Booking ให้ผู้ประกอบการไทย</w:t>
      </w:r>
    </w:p>
    <w:p>
      <w:r>
        <w:t>⚖️ ด้านกฎหมาย: การจัดเก็บข้อมูลบน GDCC 100% สอดคล้องกับ พ.ร.บ. คุ้มครองข้อมูลส่วนบุคคล (PDPA) และรักษาอธิปไตยดิจิทัลของชาติ</w:t>
      </w:r>
    </w:p>
    <w:p>
      <w:r>
        <w:t>💰 ด้านการลงทุน: ช่วยประหยัดงบโฆษณาต่างประเทศ โดยการใช้ Owned Media Barter ร่วมกับพันธมิตรยักษ์ใหญ่</w:t>
      </w:r>
    </w:p>
    <w:p>
      <w:r>
        <w:t>💻 ด้านไอที: ต้องออกแบบ API Gateway ให้รองรับ Traffic หนาแน่น และเชื่อมต่อ Microservices ร่วมกับระบบภายนอกได้เรียบร้อย</w:t>
      </w:r>
    </w:p>
    <w:p>
      <w:r>
        <w:t>🎯 ด้านกลยุทธ์: ใช้กลยุทธ์ Win-Win จูงใจทั้ง Supply Side (โรงแรม/ร้านค้า) และ Demand Side (นักท่องเที่ยว) เข้าสู่แพลตฟอร์ม</w:t>
      </w:r>
    </w:p>
    <w:p>
      <w:r>
        <w:t>📊 ด้านเศรษฐศาสตร์: ช่วยหมุนเวียนรายได้สู่เศรษฐกิจฐานราก ลดการรั่วไหลของเม็ดเงินออกนอกประเทศผ่าน OTA ต่างชาติกว่า 100,000 ล้านบาท/ปี</w:t>
      </w:r>
    </w:p>
    <w:p>
      <w:r>
        <w:t>💡 ข้อแนะนำเพิ่มเติม: ควรกำหนด SLA การเชื่อมต่อ API กับสายการบินและธนาคารให้ชัดเจน เพื่อป้องกันระบบล่มในช่วง Peak Season</w:t>
      </w:r>
    </w:p>
    <w:p>
      <w:pPr>
        <w:pStyle w:val="Heading3"/>
      </w:pPr>
      <w:r>
        <w:t>กรอบระยะเวลาและผู้รับผิดชอบ (Timeline &amp; Milestones):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เรื่อง / กิจกรรม</w:t>
            </w:r>
          </w:p>
        </w:tc>
        <w:tc>
          <w:tcPr>
            <w:tcW w:type="dxa" w:w="2880"/>
          </w:tcPr>
          <w:p>
            <w:r>
              <w:t>ผู้มีส่วนเกี่ยวข้อง</w:t>
            </w:r>
          </w:p>
        </w:tc>
        <w:tc>
          <w:tcPr>
            <w:tcW w:type="dxa" w:w="2880"/>
          </w:tcPr>
          <w:p>
            <w:r>
              <w:t>กรอบเวลา</w:t>
            </w:r>
          </w:p>
        </w:tc>
      </w:tr>
      <w:tr>
        <w:tc>
          <w:tcPr>
            <w:tcW w:type="dxa" w:w="2880"/>
          </w:tcPr>
          <w:p>
            <w:r>
              <w:t>ยื่นข้อเสนอความร่วมมือและจัดตั้ง Joint Task Force</w:t>
            </w:r>
          </w:p>
        </w:tc>
        <w:tc>
          <w:tcPr>
            <w:tcW w:type="dxa" w:w="2880"/>
          </w:tcPr>
          <w:p>
            <w:r>
              <w:t>มูลนิธินพเฉลิมโรจน์, ททท., เอกชนภาคี</w:t>
            </w:r>
          </w:p>
        </w:tc>
        <w:tc>
          <w:tcPr>
            <w:tcW w:type="dxa" w:w="2880"/>
          </w:tcPr>
          <w:p>
            <w:r>
              <w:t>เดือนที่ 1 - 2</w:t>
            </w:r>
          </w:p>
        </w:tc>
      </w:tr>
      <w:tr>
        <w:tc>
          <w:tcPr>
            <w:tcW w:type="dxa" w:w="2880"/>
          </w:tcPr>
          <w:p>
            <w:r>
              <w:t>เชื่อมต่อ API ระบบจองและ Payment Gateway</w:t>
            </w:r>
          </w:p>
        </w:tc>
        <w:tc>
          <w:tcPr>
            <w:tcW w:type="dxa" w:w="2880"/>
          </w:tcPr>
          <w:p>
            <w:r>
              <w:t>ทีมพัฒนาซอฟต์แวร์, ธนาคาร, สายการบิน</w:t>
            </w:r>
          </w:p>
        </w:tc>
        <w:tc>
          <w:tcPr>
            <w:tcW w:type="dxa" w:w="2880"/>
          </w:tcPr>
          <w:p>
            <w:r>
              <w:t>เดือนที่ 3 - 6</w:t>
            </w:r>
          </w:p>
        </w:tc>
      </w:tr>
      <w:tr>
        <w:tc>
          <w:tcPr>
            <w:tcW w:type="dxa" w:w="2880"/>
          </w:tcPr>
          <w:p>
            <w:r>
              <w:t>ทดลองแคมเปญนำร่อง Co-Marketing</w:t>
            </w:r>
          </w:p>
        </w:tc>
        <w:tc>
          <w:tcPr>
            <w:tcW w:type="dxa" w:w="2880"/>
          </w:tcPr>
          <w:p>
            <w:r>
              <w:t>ห้างสรรพสินค้า, สายการบิน, ร้านค้า Sandbox</w:t>
            </w:r>
          </w:p>
        </w:tc>
        <w:tc>
          <w:tcPr>
            <w:tcW w:type="dxa" w:w="2880"/>
          </w:tcPr>
          <w:p>
            <w:r>
              <w:t>เดือนที่ 7 - 9</w:t>
            </w:r>
          </w:p>
        </w:tc>
      </w:tr>
      <w:tr>
        <w:tc>
          <w:tcPr>
            <w:tcW w:type="dxa" w:w="2880"/>
          </w:tcPr>
          <w:p>
            <w:r>
              <w:t>เปิดตัวแพลตฟอร์มอย่างเป็นทางการ (Grand Launch)</w:t>
            </w:r>
          </w:p>
        </w:tc>
        <w:tc>
          <w:tcPr>
            <w:tcW w:type="dxa" w:w="2880"/>
          </w:tcPr>
          <w:p>
            <w:r>
              <w:t>ภาคีสี่ฝ่าย, กระทรวงฯ, สื่อมวลชน</w:t>
            </w:r>
          </w:p>
        </w:tc>
        <w:tc>
          <w:tcPr>
            <w:tcW w:type="dxa" w:w="2880"/>
          </w:tcPr>
          <w:p>
            <w:r>
              <w:t>เดือนที่ 10 - 12</w:t>
            </w:r>
          </w:p>
        </w:tc>
      </w:tr>
    </w:tbl>
    <w:p/>
    <w:p>
      <w:pPr>
        <w:pStyle w:val="Heading2"/>
      </w:pPr>
      <w:r>
        <w:t>2. ตารางสรุปสัดส่วนงบประมาณรายหมวด (Budget Allocation Summary)</w:t>
      </w:r>
    </w:p>
    <w:p>
      <w:r>
        <w:t>📁 ไฟล์: Budget Allocation Summary.pdf | แหล่งที่มา: โครงการ Thailand Tourism DPI (เสนอขอทุนกองทุน DE) | วิเคราะห์เมื่อ: 2026-08-20 13:22:13</w:t>
      </w:r>
    </w:p>
    <w:p>
      <w:r>
        <w:t>🏷️ หมวดหมู่: การจัดสรรงบประมาณและการเงิน (Budget &amp; Finance)</w:t>
      </w:r>
    </w:p>
    <w:p>
      <w:r>
        <w:t>สรุปสาระสำคัญ: วิเคราะห์สัดส่วนงบประมาณรวม 50,000,000 บาท แบ่งออกเป็น 8 หมวดงานหลัก โดยเน้นการลงทุนใน Core Technology (Hardware, Software, Cloud) สูงถึง 62.53% (31.25 ล้านบาท) เพื่อสร้างโครงสร้างพื้นฐานดิจิทัลสาธารณะ (Digital Public Infrastructure) ขณะที่ค่างานบุคลากรควบคุมไว้เพียง 11.24% ต่ำกว่าเกณฑ์มาตรฐานวิจัยทั่วไป</w:t>
      </w:r>
    </w:p>
    <w:p>
      <w:pPr>
        <w:pStyle w:val="Heading3"/>
      </w:pPr>
      <w:r>
        <w:t>มุมมองวิเคราะห์โดยผู้เชี่ยวชาญ 6 ด้าน:</w:t>
      </w:r>
    </w:p>
    <w:p>
      <w:r>
        <w:t>💼 ด้านธุรกิจ: โครงสร้างงบประมาณเน้นการสร้าง Digital Asset ที่ยั่งยืน สามารถต่อยอดสร้างรายได้แบบ Self-Sustaining หลังจบทุน</w:t>
      </w:r>
    </w:p>
    <w:p>
      <w:r>
        <w:t>⚖️ ด้านกฎหมาย: การจัดซื้อจัดจ้างปฏิบัติตามระเบียบกองทุน DE มาตรา 26 (2) อย่างเคร่งครัด ตรวจสอบได้โปร่งใส</w:t>
      </w:r>
    </w:p>
    <w:p>
      <w:r>
        <w:t>💰 ด้านการลงทุน: ความเสี่ยงทางการเงินต่ำเนื่องจากควบคุมค่าแรงบุคลากรไว้เพียง 11.24% เงินส่วนใหญ่ลงในสินทรัพย์ระบบ</w:t>
      </w:r>
    </w:p>
    <w:p>
      <w:r>
        <w:t>💻 ด้านไอที: งบด้าน Cloud &amp; AI (18.01%) เพียงพอสำหรับประมวลผล Big Data และทำ AI Personalized Recommendation Engine</w:t>
      </w:r>
    </w:p>
    <w:p>
      <w:r>
        <w:t>🎯 ด้านกลยุทธ์: การกระจายงบไปยังการตลาดและ Kiosk หน้างาน (15.87%) ช่วยประกันยอดดาวน์โหลดและกระตุ้นการใช้งานจริง</w:t>
      </w:r>
    </w:p>
    <w:p>
      <w:r>
        <w:t>📊 ด้านเศรษฐศาสตร์: ทุก 1 บาทที่ลงทุนในโครงสร้างพื้นฐานดิจิทัลนี้ สร้างผลตอบแทนทางเศรษฐกิจกลับคืนสังคมหลายเท่าตัว</w:t>
      </w:r>
    </w:p>
    <w:p>
      <w:r>
        <w:t>💡 ข้อแนะนำเพิ่มเติม: ควรตั้งงบสำรอง Contingency ไว้ประมาณ 5-8% เผื่อความผันผวนของราคา Server Hardware ในตลาด</w:t>
      </w:r>
    </w:p>
    <w:p>
      <w:pPr>
        <w:pStyle w:val="Heading3"/>
      </w:pPr>
      <w:r>
        <w:t>กรอบระยะเวลาและผู้รับผิดชอบ (Timeline &amp; Milestones):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เรื่อง / กิจกรรม</w:t>
            </w:r>
          </w:p>
        </w:tc>
        <w:tc>
          <w:tcPr>
            <w:tcW w:type="dxa" w:w="2880"/>
          </w:tcPr>
          <w:p>
            <w:r>
              <w:t>ผู้มีส่วนเกี่ยวข้อง</w:t>
            </w:r>
          </w:p>
        </w:tc>
        <w:tc>
          <w:tcPr>
            <w:tcW w:type="dxa" w:w="2880"/>
          </w:tcPr>
          <w:p>
            <w:r>
              <w:t>กรอบเวลา</w:t>
            </w:r>
          </w:p>
        </w:tc>
      </w:tr>
      <w:tr>
        <w:tc>
          <w:tcPr>
            <w:tcW w:type="dxa" w:w="2880"/>
          </w:tcPr>
          <w:p>
            <w:r>
              <w:t>เบิกจ่ายงวดที่ 1 (30% - 15 ล้านบาท)</w:t>
            </w:r>
          </w:p>
        </w:tc>
        <w:tc>
          <w:tcPr>
            <w:tcW w:type="dxa" w:w="2880"/>
          </w:tcPr>
          <w:p>
            <w:r>
              <w:t>กองทุน DE, มูลนิธิฯ</w:t>
            </w:r>
          </w:p>
        </w:tc>
        <w:tc>
          <w:tcPr>
            <w:tcW w:type="dxa" w:w="2880"/>
          </w:tcPr>
          <w:p>
            <w:r>
              <w:t>ภายใน 30 วันแรก</w:t>
            </w:r>
          </w:p>
        </w:tc>
      </w:tr>
      <w:tr>
        <w:tc>
          <w:tcPr>
            <w:tcW w:type="dxa" w:w="2880"/>
          </w:tcPr>
          <w:p>
            <w:r>
              <w:t>เบิกจ่ายงวดที่ 2 (25% - 12.5 ล้านบาท)</w:t>
            </w:r>
          </w:p>
        </w:tc>
        <w:tc>
          <w:tcPr>
            <w:tcW w:type="dxa" w:w="2880"/>
          </w:tcPr>
          <w:p>
            <w:r>
              <w:t>กองทุน DE, ทีมพัฒนาไอที</w:t>
            </w:r>
          </w:p>
        </w:tc>
        <w:tc>
          <w:tcPr>
            <w:tcW w:type="dxa" w:w="2880"/>
          </w:tcPr>
          <w:p>
            <w:r>
              <w:t>ภายใน 90 วัน</w:t>
            </w:r>
          </w:p>
        </w:tc>
      </w:tr>
      <w:tr>
        <w:tc>
          <w:tcPr>
            <w:tcW w:type="dxa" w:w="2880"/>
          </w:tcPr>
          <w:p>
            <w:r>
              <w:t>เบิกจ่ายงวดที่ 3 (25% - 12.5 ล้านบาท)</w:t>
            </w:r>
          </w:p>
        </w:tc>
        <w:tc>
          <w:tcPr>
            <w:tcW w:type="dxa" w:w="2880"/>
          </w:tcPr>
          <w:p>
            <w:r>
              <w:t>กองทุน DE, ทีมภาคสนาม</w:t>
            </w:r>
          </w:p>
        </w:tc>
        <w:tc>
          <w:tcPr>
            <w:tcW w:type="dxa" w:w="2880"/>
          </w:tcPr>
          <w:p>
            <w:r>
              <w:t>ภายใน 240 วัน</w:t>
            </w:r>
          </w:p>
        </w:tc>
      </w:tr>
      <w:tr>
        <w:tc>
          <w:tcPr>
            <w:tcW w:type="dxa" w:w="2880"/>
          </w:tcPr>
          <w:p>
            <w:r>
              <w:t>เบิกจ่ายงวดที่ 4 (20% - 10 ล้านบาท)</w:t>
            </w:r>
          </w:p>
        </w:tc>
        <w:tc>
          <w:tcPr>
            <w:tcW w:type="dxa" w:w="2880"/>
          </w:tcPr>
          <w:p>
            <w:r>
              <w:t>กองทุน DE, ผู้ตรวจสอบบัญชี</w:t>
            </w:r>
          </w:p>
        </w:tc>
        <w:tc>
          <w:tcPr>
            <w:tcW w:type="dxa" w:w="2880"/>
          </w:tcPr>
          <w:p>
            <w:r>
              <w:t>ภายใน 365 วัน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