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3xifm57n3n0d" w:id="0"/>
      <w:bookmarkEnd w:id="0"/>
      <w:r w:rsidDel="00000000" w:rsidR="00000000" w:rsidRPr="00000000">
        <w:rPr>
          <w:rtl w:val="0"/>
        </w:rPr>
        <w:t xml:space="preserve">Character Journal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l2o6tlsv4b2o" w:id="1"/>
      <w:bookmarkEnd w:id="1"/>
      <w:r w:rsidDel="00000000" w:rsidR="00000000" w:rsidRPr="00000000">
        <w:rPr>
          <w:rtl w:val="0"/>
        </w:rPr>
        <w:t xml:space="preserve">Answer the following questions: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86163" cy="910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91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this hairbrush, what would you tell us about your life?  I would tell you that I am a hairbrush, I can’t move, I can’t talk, and I am used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combing hair all the time.  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voice would you have?  I would have a low pitched voice.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