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  The food web is a more realistic way to show how energy and matter cycle through an ecosystem.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2.  The student is correct because omnivores eat both plants and animals.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3.  If she wants to invest in land and cattle she needs to know how much food cattle need and how much food her land will produce.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4.  I think there are so few sharks because people are killing them or taking them to aquariums.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5.  One way that human activity can limit ecosystems is through factories.  Factories can kill plants with the toxic chemicals, the first level consumers would not have producers to eat, and then the second lever consumers would not have the </w:t>
      </w:r>
      <w:r w:rsidDel="00000000" w:rsidR="00000000" w:rsidRPr="00000000">
        <w:rPr>
          <w:rtl w:val="0"/>
        </w:rPr>
        <w:t xml:space="preserve">first level consumers.  The decomposers would be toxic. </w:t>
      </w:r>
      <w:r w:rsidDel="00000000" w:rsidR="00000000" w:rsidRPr="00000000">
        <w:rPr>
          <w:rtl w:val="0"/>
        </w:rPr>
        <w:t xml:space="preserv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