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     GDP is the measure of all goods and services produced by a country each year.</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     HDI reflects the general quality of life.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For oil to form three things must happen. First animals and plants must sink to the bottom of the ocean floor, second natural gas must get into the hole with the dead animals remains, and finally after millions of years natural gas will form with the dead plants and animals to make oil.</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There is a lot of oil buried in Southwest Asia because there are a lot of pockets where oil can form and then people can just use the stuff they need to make the oil, put in the pockets, and add the water gas, and then oil is made.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They are not distributed equally because some parts of the region do not have the correct properties to form oil.</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oil has improved their lives and made them rich from it.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Per capita GDP isn’t always an accurate reflection of people's wealth because people have the same money and the wealth is distributed unequally in the country with some people having more money and other people having less of it.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Yemen can’t because there are not many oil reserves and they don’t have a large population and Iraq can’t because the money from the oil from the oil reserves isn’t used on people.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 top contributors to the Persian Gulf War are the United States, Saudi Arabia, Kuwait, United Arab Emirates, Japan, Germany, United Kingdom, and South Korea.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goals of OPEC members are they want oil prices to be steady, steady income, and to have a steady supply of oil flowing out of their countries.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Two realities are the members only produce 40% of the world’s oil and other countries don’t follow OLEC or are not interested in it.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They wanted to protect their oil reserves and other people wanted to protect the flow of oil in their country. They were coalition members because they want to keep a steady supply of oil and a steady income.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Crude oil/ Petroleum</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Nonrenewable Resource/ A resource that takes a long time to form and can’t be replaced.</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Oil Reserves/ Oil that has not been used.</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Renewable Energy/ Energy that can be used over and over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