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Iraq/Baghdad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Iran/Tehran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Israel/Jerusalem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Jordan/Amman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Kuwait/Kuwait City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Syria/Damascus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Turkey/Ankara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Armenia/Yerevan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Georgia/Atlanta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Azerbaijan/Baku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Lebanon/Beirut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Cyprus/Nicosia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Qatar/Doha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Yemen/Sanaa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Oman/Muscat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UAE/Abu Dhabi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Bahrain/Manama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Saudi Arabia/Riyadh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Afghanistan/Kabul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