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B5F" w:rsidRDefault="00F25CCC">
      <w:pPr>
        <w:rPr>
          <w:rFonts w:ascii="Georgia" w:hAnsi="Georgia"/>
        </w:rPr>
      </w:pPr>
      <w:r w:rsidRPr="00C75917">
        <w:rPr>
          <w:rFonts w:ascii="Georgia" w:hAnsi="Georgia"/>
          <w:b/>
          <w:bCs/>
        </w:rPr>
        <w:t>Team Name</w:t>
      </w:r>
      <w:r>
        <w:rPr>
          <w:rFonts w:ascii="Georgia" w:hAnsi="Georgia"/>
        </w:rPr>
        <w:t>: Blue Devils</w:t>
      </w:r>
    </w:p>
    <w:p w:rsidR="00F25CCC" w:rsidRDefault="00F25CCC">
      <w:pPr>
        <w:rPr>
          <w:rFonts w:ascii="Georgia" w:hAnsi="Georgia"/>
        </w:rPr>
      </w:pPr>
    </w:p>
    <w:p w:rsidR="00F25CCC" w:rsidRPr="00F25CCC" w:rsidRDefault="00F25CCC">
      <w:pPr>
        <w:rPr>
          <w:rFonts w:ascii="Georgia" w:hAnsi="Georgia"/>
        </w:rPr>
      </w:pPr>
      <w:r w:rsidRPr="00C75917">
        <w:rPr>
          <w:rFonts w:ascii="Georgia" w:hAnsi="Georgia"/>
          <w:b/>
          <w:bCs/>
        </w:rPr>
        <w:t>Team Members: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Isfund</w:t>
      </w:r>
      <w:proofErr w:type="spellEnd"/>
      <w:r>
        <w:rPr>
          <w:rFonts w:ascii="Georgia" w:hAnsi="Georgia"/>
        </w:rPr>
        <w:t xml:space="preserve">, Liliana, </w:t>
      </w:r>
      <w:proofErr w:type="spellStart"/>
      <w:r>
        <w:rPr>
          <w:rFonts w:ascii="Georgia" w:hAnsi="Georgia"/>
        </w:rPr>
        <w:t>Nedal</w:t>
      </w:r>
      <w:proofErr w:type="spellEnd"/>
      <w:r>
        <w:rPr>
          <w:rFonts w:ascii="Georgia" w:hAnsi="Georgia"/>
        </w:rPr>
        <w:t>, and Seth</w:t>
      </w:r>
    </w:p>
    <w:p w:rsidR="00F25CCC" w:rsidRDefault="00F25CCC">
      <w:pPr>
        <w:rPr>
          <w:rFonts w:ascii="Georgia" w:hAnsi="Georgia"/>
        </w:rPr>
      </w:pPr>
    </w:p>
    <w:p w:rsidR="00F25CCC" w:rsidRPr="00C75917" w:rsidRDefault="00F25CCC" w:rsidP="00F25CCC">
      <w:pPr>
        <w:rPr>
          <w:b/>
          <w:bCs/>
        </w:rPr>
      </w:pPr>
      <w:r w:rsidRPr="00C75917">
        <w:rPr>
          <w:rFonts w:ascii="Georgia" w:hAnsi="Georgia"/>
          <w:b/>
          <w:bCs/>
        </w:rPr>
        <w:t>Objective:</w:t>
      </w:r>
      <w:r w:rsidRPr="00C75917">
        <w:rPr>
          <w:b/>
          <w:bCs/>
        </w:rPr>
        <w:t xml:space="preserve"> </w:t>
      </w:r>
    </w:p>
    <w:p w:rsidR="00C75917" w:rsidRDefault="00F25CCC" w:rsidP="00F25CCC">
      <w:pPr>
        <w:rPr>
          <w:rFonts w:ascii="Georgia" w:hAnsi="Georgia"/>
        </w:rPr>
      </w:pPr>
      <w:r w:rsidRPr="00F25CCC">
        <w:rPr>
          <w:rFonts w:ascii="Georgia" w:hAnsi="Georgia"/>
        </w:rPr>
        <w:t>We want to understand the varying rates of homebuying among different generations and identify the key factors that influence these trends</w:t>
      </w:r>
      <w:r>
        <w:rPr>
          <w:rFonts w:ascii="Georgia" w:hAnsi="Georgia"/>
        </w:rPr>
        <w:t xml:space="preserve"> in the state of North Carolina</w:t>
      </w:r>
      <w:r w:rsidRPr="00F25CCC">
        <w:rPr>
          <w:rFonts w:ascii="Georgia" w:hAnsi="Georgia"/>
        </w:rPr>
        <w:t>.</w:t>
      </w:r>
      <w:r>
        <w:rPr>
          <w:rFonts w:ascii="Georgia" w:hAnsi="Georgia"/>
        </w:rPr>
        <w:t xml:space="preserve"> We will be specifically focusing o</w:t>
      </w:r>
      <w:r w:rsidR="00C75917">
        <w:rPr>
          <w:rFonts w:ascii="Georgia" w:hAnsi="Georgia"/>
        </w:rPr>
        <w:t>n</w:t>
      </w:r>
      <w:r>
        <w:rPr>
          <w:rFonts w:ascii="Georgia" w:hAnsi="Georgia"/>
        </w:rPr>
        <w:t xml:space="preserve"> Gen X, </w:t>
      </w:r>
      <w:r w:rsidR="00C75917">
        <w:rPr>
          <w:rFonts w:ascii="Georgia" w:hAnsi="Georgia"/>
        </w:rPr>
        <w:t>Millennials</w:t>
      </w:r>
      <w:r>
        <w:rPr>
          <w:rFonts w:ascii="Georgia" w:hAnsi="Georgia"/>
        </w:rPr>
        <w:t xml:space="preserve">, and Gen Z. </w:t>
      </w:r>
    </w:p>
    <w:p w:rsidR="00C75917" w:rsidRDefault="00C75917" w:rsidP="00F25CCC">
      <w:pPr>
        <w:rPr>
          <w:rFonts w:ascii="Georgia" w:hAnsi="Georgia"/>
        </w:rPr>
      </w:pPr>
    </w:p>
    <w:p w:rsidR="00F25CCC" w:rsidRDefault="00F25CCC" w:rsidP="00F25CCC">
      <w:pPr>
        <w:rPr>
          <w:rFonts w:ascii="Georgia" w:hAnsi="Georgia"/>
        </w:rPr>
      </w:pPr>
      <w:r>
        <w:rPr>
          <w:rFonts w:ascii="Georgia" w:hAnsi="Georgia"/>
        </w:rPr>
        <w:t>Some key factors that we will be looking at include: income levels and employment status, h</w:t>
      </w:r>
      <w:r w:rsidRPr="00F25CCC">
        <w:rPr>
          <w:rFonts w:ascii="Georgia" w:hAnsi="Georgia"/>
        </w:rPr>
        <w:t>ousing prices and affordability</w:t>
      </w:r>
      <w:r>
        <w:rPr>
          <w:rFonts w:ascii="Georgia" w:hAnsi="Georgia"/>
        </w:rPr>
        <w:t>, m</w:t>
      </w:r>
      <w:r w:rsidRPr="00F25CCC">
        <w:rPr>
          <w:rFonts w:ascii="Georgia" w:hAnsi="Georgia"/>
        </w:rPr>
        <w:t>ortgage interest rates and lending policies</w:t>
      </w:r>
      <w:r w:rsidR="00C75917">
        <w:rPr>
          <w:rFonts w:ascii="Georgia" w:hAnsi="Georgia"/>
        </w:rPr>
        <w:t>, s</w:t>
      </w:r>
      <w:r w:rsidRPr="00F25CCC">
        <w:rPr>
          <w:rFonts w:ascii="Georgia" w:hAnsi="Georgia"/>
        </w:rPr>
        <w:t>tudent loan debt and financial stability</w:t>
      </w:r>
      <w:r w:rsidR="00C75917">
        <w:rPr>
          <w:rFonts w:ascii="Georgia" w:hAnsi="Georgia"/>
        </w:rPr>
        <w:t>, m</w:t>
      </w:r>
      <w:r w:rsidRPr="00F25CCC">
        <w:rPr>
          <w:rFonts w:ascii="Georgia" w:hAnsi="Georgia"/>
        </w:rPr>
        <w:t>arital status and family planning</w:t>
      </w:r>
      <w:r w:rsidR="00C75917">
        <w:rPr>
          <w:rFonts w:ascii="Georgia" w:hAnsi="Georgia"/>
        </w:rPr>
        <w:t>, and e</w:t>
      </w:r>
      <w:r w:rsidRPr="00F25CCC">
        <w:rPr>
          <w:rFonts w:ascii="Georgia" w:hAnsi="Georgia"/>
        </w:rPr>
        <w:t>ducation levels</w:t>
      </w:r>
      <w:r w:rsidR="00C75917">
        <w:rPr>
          <w:rFonts w:ascii="Georgia" w:hAnsi="Georgia"/>
        </w:rPr>
        <w:t>.</w:t>
      </w:r>
    </w:p>
    <w:p w:rsidR="00C75917" w:rsidRPr="00F25CCC" w:rsidRDefault="00C75917" w:rsidP="00F25CCC">
      <w:pPr>
        <w:rPr>
          <w:rFonts w:ascii="Georgia" w:hAnsi="Georgia"/>
        </w:rPr>
      </w:pPr>
    </w:p>
    <w:p w:rsidR="00F25CCC" w:rsidRPr="00F25CCC" w:rsidRDefault="00F25CCC" w:rsidP="00F25CCC">
      <w:pPr>
        <w:rPr>
          <w:rFonts w:ascii="Georgia" w:hAnsi="Georgia"/>
        </w:rPr>
      </w:pPr>
      <w:r>
        <w:rPr>
          <w:rFonts w:ascii="Georgia" w:hAnsi="Georgia"/>
        </w:rPr>
        <w:t xml:space="preserve">Using the data gathered from the three previous generations, we will be forecasting homebuying trends for Gen Z </w:t>
      </w:r>
      <w:r w:rsidR="00C75917">
        <w:rPr>
          <w:rFonts w:ascii="Georgia" w:hAnsi="Georgia"/>
        </w:rPr>
        <w:t>within</w:t>
      </w:r>
      <w:r>
        <w:rPr>
          <w:rFonts w:ascii="Georgia" w:hAnsi="Georgia"/>
        </w:rPr>
        <w:t xml:space="preserve"> the next 10 years. </w:t>
      </w:r>
    </w:p>
    <w:p w:rsidR="00F25CCC" w:rsidRDefault="00F25CCC" w:rsidP="00F25CCC">
      <w:pPr>
        <w:rPr>
          <w:rFonts w:ascii="Georgia" w:hAnsi="Georgia"/>
        </w:rPr>
      </w:pPr>
    </w:p>
    <w:p w:rsidR="00C75917" w:rsidRDefault="00C75917" w:rsidP="00F25CCC">
      <w:pPr>
        <w:rPr>
          <w:rFonts w:ascii="Georgia" w:hAnsi="Georgia"/>
          <w:b/>
          <w:bCs/>
        </w:rPr>
      </w:pPr>
      <w:r w:rsidRPr="00C75917">
        <w:rPr>
          <w:rFonts w:ascii="Georgia" w:hAnsi="Georgia"/>
          <w:b/>
          <w:bCs/>
        </w:rPr>
        <w:t>Datasets to be Used:</w:t>
      </w:r>
    </w:p>
    <w:p w:rsidR="00C75917" w:rsidRDefault="00C75917" w:rsidP="00F25CCC">
      <w:pPr>
        <w:rPr>
          <w:rFonts w:ascii="Georgia" w:hAnsi="Georgia"/>
        </w:rPr>
      </w:pPr>
      <w:hyperlink r:id="rId4" w:history="1">
        <w:r w:rsidRPr="00370EA1">
          <w:rPr>
            <w:rStyle w:val="Hyperlink"/>
            <w:rFonts w:ascii="Georgia" w:hAnsi="Georgia"/>
          </w:rPr>
          <w:t>https://nchousing.org/housing-data/</w:t>
        </w:r>
      </w:hyperlink>
    </w:p>
    <w:p w:rsidR="00C75917" w:rsidRDefault="00C75917" w:rsidP="00F25CCC">
      <w:pPr>
        <w:rPr>
          <w:rFonts w:ascii="Georgia" w:hAnsi="Georgia"/>
        </w:rPr>
      </w:pPr>
    </w:p>
    <w:p w:rsidR="00C75917" w:rsidRDefault="00C75917" w:rsidP="00F25CCC">
      <w:pPr>
        <w:rPr>
          <w:rFonts w:ascii="Georgia" w:hAnsi="Georgia"/>
        </w:rPr>
      </w:pPr>
      <w:hyperlink r:id="rId5" w:history="1">
        <w:r w:rsidRPr="00370EA1">
          <w:rPr>
            <w:rStyle w:val="Hyperlink"/>
            <w:rFonts w:ascii="Georgia" w:hAnsi="Georgia"/>
          </w:rPr>
          <w:t>https://catalog.data.gov/dataset/national-student-loan-data-system-722b0</w:t>
        </w:r>
      </w:hyperlink>
    </w:p>
    <w:p w:rsidR="00C75917" w:rsidRDefault="00C75917" w:rsidP="00F25CCC">
      <w:pPr>
        <w:rPr>
          <w:rFonts w:ascii="Georgia" w:hAnsi="Georgia"/>
        </w:rPr>
      </w:pPr>
    </w:p>
    <w:p w:rsidR="00C75917" w:rsidRDefault="00C75917" w:rsidP="00F25CCC">
      <w:pPr>
        <w:rPr>
          <w:rFonts w:ascii="Georgia" w:hAnsi="Georgia"/>
        </w:rPr>
      </w:pPr>
      <w:hyperlink r:id="rId6" w:history="1">
        <w:r w:rsidRPr="00370EA1">
          <w:rPr>
            <w:rStyle w:val="Hyperlink"/>
            <w:rFonts w:ascii="Georgia" w:hAnsi="Georgia"/>
          </w:rPr>
          <w:t>https://www2.census.gov/library/publications/decennial/1950/housing-volume-1/36965082v1p5ch01.pdf</w:t>
        </w:r>
      </w:hyperlink>
    </w:p>
    <w:p w:rsidR="00C75917" w:rsidRDefault="00C75917" w:rsidP="00F25CCC">
      <w:pPr>
        <w:rPr>
          <w:rFonts w:ascii="Georgia" w:hAnsi="Georgia"/>
        </w:rPr>
      </w:pPr>
    </w:p>
    <w:p w:rsidR="00C75917" w:rsidRDefault="00C75917" w:rsidP="00F25CCC">
      <w:pPr>
        <w:rPr>
          <w:rFonts w:ascii="Georgia" w:hAnsi="Georgia"/>
        </w:rPr>
      </w:pPr>
      <w:hyperlink r:id="rId7" w:history="1">
        <w:r w:rsidRPr="00370EA1">
          <w:rPr>
            <w:rStyle w:val="Hyperlink"/>
            <w:rFonts w:ascii="Georgia" w:hAnsi="Georgia"/>
          </w:rPr>
          <w:t>https://www.zillowgroup.com/developers/</w:t>
        </w:r>
      </w:hyperlink>
    </w:p>
    <w:p w:rsidR="00C75917" w:rsidRDefault="00C75917" w:rsidP="00F25CCC">
      <w:pPr>
        <w:rPr>
          <w:rFonts w:ascii="Georgia" w:hAnsi="Georgia"/>
        </w:rPr>
      </w:pPr>
    </w:p>
    <w:p w:rsidR="00C75917" w:rsidRDefault="00C75917" w:rsidP="00F25CCC">
      <w:pPr>
        <w:rPr>
          <w:rFonts w:ascii="Georgia" w:hAnsi="Georgia"/>
        </w:rPr>
      </w:pPr>
      <w:hyperlink r:id="rId8" w:history="1">
        <w:r w:rsidRPr="00370EA1">
          <w:rPr>
            <w:rStyle w:val="Hyperlink"/>
            <w:rFonts w:ascii="Georgia" w:hAnsi="Georgia"/>
          </w:rPr>
          <w:t>https://www.bls.gov/cps/earnings.htm</w:t>
        </w:r>
      </w:hyperlink>
    </w:p>
    <w:p w:rsidR="00C75917" w:rsidRPr="00C75917" w:rsidRDefault="00C75917" w:rsidP="00F25CCC">
      <w:pPr>
        <w:rPr>
          <w:rFonts w:ascii="Georgia" w:hAnsi="Georgia"/>
        </w:rPr>
      </w:pPr>
    </w:p>
    <w:p w:rsidR="00C75917" w:rsidRPr="00C75917" w:rsidRDefault="00C75917" w:rsidP="00F25CCC">
      <w:pPr>
        <w:rPr>
          <w:rFonts w:ascii="Georgia" w:hAnsi="Georgia"/>
        </w:rPr>
      </w:pPr>
    </w:p>
    <w:p w:rsidR="00C75917" w:rsidRPr="00C75917" w:rsidRDefault="00C75917" w:rsidP="00F25CCC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Rough Breakdown of Tasks:</w:t>
      </w:r>
    </w:p>
    <w:p w:rsidR="00C75917" w:rsidRPr="00F25CCC" w:rsidRDefault="00C75917">
      <w:pPr>
        <w:rPr>
          <w:rFonts w:ascii="Georgia" w:hAnsi="Georgia"/>
        </w:rPr>
      </w:pPr>
      <w:r>
        <w:rPr>
          <w:rFonts w:ascii="Georgia" w:hAnsi="Georgia"/>
        </w:rPr>
        <w:t xml:space="preserve">Two team members will take on either Gen X or Millennials to analyze the data and create relevant graphs. Then all team members will work together to forecast Gen Z. </w:t>
      </w:r>
    </w:p>
    <w:sectPr w:rsidR="00C75917" w:rsidRPr="00F2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CC"/>
    <w:rsid w:val="001D0B5F"/>
    <w:rsid w:val="005421D3"/>
    <w:rsid w:val="00992E4B"/>
    <w:rsid w:val="00A36238"/>
    <w:rsid w:val="00AE2CF6"/>
    <w:rsid w:val="00BD30D1"/>
    <w:rsid w:val="00BE616F"/>
    <w:rsid w:val="00C75917"/>
    <w:rsid w:val="00F2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5C50A"/>
  <w15:chartTrackingRefBased/>
  <w15:docId w15:val="{70D6AB44-05D4-F246-9DB0-61F10CB7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61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36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2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331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701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843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41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603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20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813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9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7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cps/earning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illowgroup.com/develop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census.gov/library/publications/decennial/1950/housing-volume-1/36965082v1p5ch01.pdf" TargetMode="External"/><Relationship Id="rId5" Type="http://schemas.openxmlformats.org/officeDocument/2006/relationships/hyperlink" Target="https://catalog.data.gov/dataset/national-student-loan-data-system-722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chousing.org/housing-dat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2024-07-31T01:41:00Z</dcterms:created>
  <dcterms:modified xsi:type="dcterms:W3CDTF">2024-07-31T02:02:00Z</dcterms:modified>
</cp:coreProperties>
</file>