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F46E5"/>
          <w:sz w:val="26"/>
          <w:szCs w:val="26"/>
        </w:rPr>
        <w:t xml:space="preserve">Ideation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Empathize &amp; Discover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10 July 2026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[Your Team ID]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House Rent — Broker-Mediated Real Estate Platform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Empathy Map Canvas:</w:t>
      </w:r>
    </w:p>
    <w:p>
      <w:pPr>
        <w:spacing w:after="140"/>
      </w:pPr>
      <w:r>
        <w:t xml:space="preserve">To design a moderation-first marketplace, the team built an empathy map for our primary persona: a first-time renter relocating to a new city, who represents the core anxieties any renter, buyer, or owner feels when dealing with an unmoderated listings platform.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20"/>
          <w:szCs w:val="20"/>
        </w:rPr>
        <w:t xml:space="preserve">Figure: Empathy Map — Rekha, a first-time renter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Key Insights Drawn from the Map: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Trust is the #1 blocker — users repeatedly express fear of scams and fake listings more than any UI complaint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explicit “Admin Approved” signal reduces anxiety more than any amount of extra listing detail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efficiency (price, location, type) matters as much as trust — users won't wait to filter manually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Owners and renters are often the same person over time (e.g. renting out an old home while renting a new one), which directly motivated the dual-role account design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4ee0cbf071d511ddcc2275ca327ca8f0d62b2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2026-07-11T03:31:08.901Z</dcterms:created>
  <dcterms:modified xsi:type="dcterms:W3CDTF">2026-07-11T03:31:08.901Z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