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Times New Roman" w:cs="Times New Roman" w:eastAsia="Times New Roman" w:hAnsi="Times New Roman"/>
          <w:b/>
          <w:bCs/>
          <w:color w:val="1F3864"/>
          <w:sz w:val="32"/>
          <w:szCs w:val="32"/>
        </w:rPr>
        <w:t xml:space="preserve">VELLORE INSTITUTE OF TECHNOLOGY</w:t>
      </w:r>
    </w:p>
    <w:p>
      <w:pPr>
        <w:spacing w:after="60"/>
        <w:jc w:val="center"/>
      </w:pPr>
      <w:r>
        <w:rPr>
          <w:rFonts w:ascii="Times New Roman" w:cs="Times New Roman" w:eastAsia="Times New Roman" w:hAnsi="Times New Roman"/>
          <w:color w:val="2E5C8A"/>
          <w:sz w:val="26"/>
          <w:szCs w:val="26"/>
        </w:rPr>
        <w:t xml:space="preserve">School of Computer Science and Engineering</w:t>
      </w:r>
    </w:p>
    <w:p>
      <w:pPr>
        <w:spacing w:after="600"/>
        <w:jc w:val="center"/>
      </w:pPr>
      <w:r>
        <w:rPr>
          <w:rFonts w:ascii="Times New Roman" w:cs="Times New Roman" w:eastAsia="Times New Roman" w:hAnsi="Times New Roman"/>
          <w:color w:val="2E5C8A"/>
          <w:sz w:val="26"/>
          <w:szCs w:val="26"/>
        </w:rPr>
        <w:t xml:space="preserve">BCSE302L – Database Systems</w:t>
      </w:r>
    </w:p>
    <w:p>
      <w:pPr>
        <w:spacing w:after="120"/>
        <w:jc w:val="center"/>
      </w:pPr>
      <w:r>
        <w:rPr>
          <w:rFonts w:ascii="Times New Roman" w:cs="Times New Roman" w:eastAsia="Times New Roman" w:hAnsi="Times New Roman"/>
          <w:b/>
          <w:bCs/>
          <w:color w:val="1B7A7A"/>
          <w:sz w:val="28"/>
          <w:szCs w:val="28"/>
        </w:rPr>
        <w:t xml:space="preserve">Digital Assignment II – Project Report</w:t>
      </w:r>
    </w:p>
    <w:p>
      <w:pPr>
        <w:pBdr>
          <w:top w:val="single" w:color="1B7A7A" w:sz="12" w:space="12"/>
          <w:bottom w:val="single" w:color="1B7A7A" w:sz="12" w:space="12"/>
        </w:pBdr>
        <w:spacing w:after="120"/>
        <w:jc w:val="center"/>
      </w:pPr>
      <w:r>
        <w:rPr>
          <w:rFonts w:ascii="Times New Roman" w:cs="Times New Roman" w:eastAsia="Times New Roman" w:hAnsi="Times New Roman"/>
          <w:b/>
          <w:bCs/>
          <w:color w:val="1F3864"/>
          <w:sz w:val="56"/>
          <w:szCs w:val="56"/>
        </w:rPr>
        <w:t xml:space="preserve">SYNAPSE</w:t>
      </w:r>
    </w:p>
    <w:p>
      <w:pPr>
        <w:spacing w:after="900"/>
        <w:jc w:val="center"/>
      </w:pPr>
      <w:r>
        <w:rPr>
          <w:rFonts w:ascii="Times New Roman" w:cs="Times New Roman" w:eastAsia="Times New Roman" w:hAnsi="Times New Roman"/>
          <w:i/>
          <w:iCs/>
          <w:color w:val="2E5C8A"/>
          <w:sz w:val="28"/>
          <w:szCs w:val="28"/>
        </w:rPr>
        <w:t xml:space="preserve">An AI-Powered Digital Twin for Student Well-being and Academic Planning</w:t>
      </w:r>
    </w:p>
    <w:p>
      <w:pPr>
        <w:spacing w:after="200"/>
        <w:jc w:val="center"/>
      </w:pPr>
      <w:r>
        <w:rPr>
          <w:rFonts w:ascii="Times New Roman" w:cs="Times New Roman" w:eastAsia="Times New Roman" w:hAnsi="Times New Roman"/>
          <w:color w:val="595959"/>
          <w:sz w:val="24"/>
          <w:szCs w:val="24"/>
        </w:rPr>
        <w:t xml:space="preserve">Submitted by</w:t>
      </w:r>
    </w:p>
    <w:p>
      <w:pPr>
        <w:spacing w:after="80"/>
        <w:jc w:val="center"/>
      </w:pPr>
      <w:r>
        <w:rPr>
          <w:rFonts w:ascii="Times New Roman" w:cs="Times New Roman" w:eastAsia="Times New Roman" w:hAnsi="Times New Roman"/>
          <w:b/>
          <w:bCs/>
          <w:color w:val="1F3864"/>
          <w:sz w:val="30"/>
          <w:szCs w:val="30"/>
        </w:rPr>
        <w:t xml:space="preserve">Ishan Kumar</w:t>
      </w:r>
    </w:p>
    <w:p>
      <w:pPr>
        <w:spacing w:after="80"/>
        <w:jc w:val="center"/>
      </w:pPr>
      <w:r>
        <w:rPr>
          <w:rFonts w:ascii="Times New Roman" w:cs="Times New Roman" w:eastAsia="Times New Roman" w:hAnsi="Times New Roman"/>
          <w:color w:val="262626"/>
          <w:sz w:val="24"/>
          <w:szCs w:val="24"/>
        </w:rPr>
        <w:t xml:space="preserve">Register Number: 24BCE1563</w:t>
      </w:r>
    </w:p>
    <w:p>
      <w:pPr>
        <w:spacing w:before="700"/>
        <w:jc w:val="center"/>
      </w:pPr>
      <w:r>
        <w:rPr>
          <w:rFonts w:ascii="Times New Roman" w:cs="Times New Roman" w:eastAsia="Times New Roman" w:hAnsi="Times New Roman"/>
          <w:color w:val="1B7A7A"/>
          <w:sz w:val="22"/>
          <w:szCs w:val="22"/>
        </w:rPr>
        <w:t xml:space="preserve">Technology Stack: MongoDB Atlas · Express.js · React · Node.js · Google Gemini</w:t>
      </w:r>
    </w:p>
    <w:p>
      <w:pPr>
        <w:spacing w:before="120"/>
        <w:jc w:val="center"/>
      </w:pPr>
      <w:r>
        <w:rPr>
          <w:rFonts w:ascii="Times New Roman" w:cs="Times New Roman" w:eastAsia="Times New Roman" w:hAnsi="Times New Roman"/>
          <w:color w:val="595959"/>
          <w:sz w:val="22"/>
          <w:szCs w:val="22"/>
        </w:rPr>
        <w:t xml:space="preserve">October 2026</w:t>
      </w:r>
    </w:p>
    <w:p>
      <w:r>
        <w:br w:type="page"/>
      </w:r>
    </w:p>
    <w:p>
      <w:pPr>
        <w:pStyle w:val="Heading1"/>
      </w:pPr>
      <w:r>
        <w:rPr>
          <w:rFonts w:ascii="Times New Roman" w:cs="Times New Roman" w:eastAsia="Times New Roman" w:hAnsi="Times New Roman"/>
        </w:rPr>
        <w:t xml:space="preserve">1. Abstract</w:t>
      </w:r>
    </w:p>
    <w:p>
      <w:pPr>
        <w:spacing w:after="140" w:line="324"/>
        <w:jc w:val="both"/>
      </w:pPr>
      <w:r>
        <w:rPr>
          <w:rFonts w:ascii="Times New Roman" w:cs="Times New Roman" w:eastAsia="Times New Roman" w:hAnsi="Times New Roman"/>
          <w:color w:val="262626"/>
          <w:sz w:val="24"/>
          <w:szCs w:val="24"/>
        </w:rPr>
        <w:t xml:space="preserve">University students record their health, meals, academic deadlines and personal documents in separate applications, so no single system can relate a week of poor sleep to an approaching examination. This project presents </w:t>
      </w:r>
      <w:r>
        <w:rPr>
          <w:rFonts w:ascii="Times New Roman" w:cs="Times New Roman" w:eastAsia="Times New Roman" w:hAnsi="Times New Roman"/>
          <w:b/>
          <w:bCs/>
          <w:color w:val="262626"/>
          <w:sz w:val="24"/>
          <w:szCs w:val="24"/>
        </w:rPr>
        <w:t xml:space="preserve">Synapse</w:t>
      </w:r>
      <w:r>
        <w:rPr>
          <w:rFonts w:ascii="Times New Roman" w:cs="Times New Roman" w:eastAsia="Times New Roman" w:hAnsi="Times New Roman"/>
          <w:color w:val="262626"/>
          <w:sz w:val="24"/>
          <w:szCs w:val="24"/>
        </w:rPr>
        <w:t xml:space="preserve">, a full-stack MERN application that stores all four kinds of personal data in a single MongoDB database and treats them as one </w:t>
      </w:r>
      <w:r>
        <w:rPr>
          <w:rFonts w:ascii="Times New Roman" w:cs="Times New Roman" w:eastAsia="Times New Roman" w:hAnsi="Times New Roman"/>
          <w:b/>
          <w:bCs/>
          <w:color w:val="262626"/>
          <w:sz w:val="24"/>
          <w:szCs w:val="24"/>
        </w:rPr>
        <w:t xml:space="preserve">digital twin</w:t>
      </w:r>
      <w:r>
        <w:rPr>
          <w:rFonts w:ascii="Times New Roman" w:cs="Times New Roman" w:eastAsia="Times New Roman" w:hAnsi="Times New Roman"/>
          <w:color w:val="262626"/>
          <w:sz w:val="24"/>
          <w:szCs w:val="24"/>
        </w:rPr>
        <w:t xml:space="preserve"> of the student. Aggregation pipelines convert raw logs into trends, alerts and a combined wellness score. Cross-collection queries relate one module to another, and an AI assistant built on Google Gemini can read the same data and propose changes that are written to the database only after the user confirms them.</w:t>
      </w:r>
    </w:p>
    <w:p>
      <w:pPr>
        <w:spacing w:after="140" w:line="324"/>
        <w:jc w:val="both"/>
      </w:pPr>
      <w:r>
        <w:rPr>
          <w:rFonts w:ascii="Times New Roman" w:cs="Times New Roman" w:eastAsia="Times New Roman" w:hAnsi="Times New Roman"/>
          <w:color w:val="262626"/>
          <w:sz w:val="24"/>
          <w:szCs w:val="24"/>
        </w:rPr>
        <w:t xml:space="preserve">The database comprises eight collections that combine embedded and referenced documents, compound, unique and text indexes, and multi-stage aggregation pipelines. The implementation was evaluated on a seeded dataset in MongoDB Atlas. The results show that indexed lookups examine a single document where an unindexed lookup scans the whole collection, that embedded arrays remain fully queryable through </w:t>
      </w:r>
      <w:r>
        <w:rPr>
          <w:rFonts w:ascii="Courier New" w:cs="Courier New" w:eastAsia="Courier New" w:hAnsi="Courier New"/>
          <w:color w:val="1B7A7A"/>
          <w:sz w:val="21"/>
          <w:szCs w:val="21"/>
        </w:rPr>
        <w:t xml:space="preserve">$unwind</w:t>
      </w:r>
      <w:r>
        <w:rPr>
          <w:rFonts w:ascii="Times New Roman" w:cs="Times New Roman" w:eastAsia="Times New Roman" w:hAnsi="Times New Roman"/>
          <w:color w:val="262626"/>
          <w:sz w:val="24"/>
          <w:szCs w:val="24"/>
        </w:rPr>
        <w:t xml:space="preserve">, and that the combined data exposes patterns, such as reduced activity during periods of poor sleep, that separate applications cannot reveal.</w:t>
      </w:r>
    </w:p>
    <w:p>
      <w:pPr>
        <w:pStyle w:val="Heading1"/>
      </w:pPr>
      <w:r>
        <w:rPr>
          <w:rFonts w:ascii="Times New Roman" w:cs="Times New Roman" w:eastAsia="Times New Roman" w:hAnsi="Times New Roman"/>
        </w:rPr>
        <w:t xml:space="preserve">2. Problem Statement</w:t>
      </w:r>
    </w:p>
    <w:p>
      <w:pPr>
        <w:spacing w:after="140" w:line="324"/>
        <w:jc w:val="both"/>
      </w:pPr>
      <w:r>
        <w:rPr>
          <w:rFonts w:ascii="Times New Roman" w:cs="Times New Roman" w:eastAsia="Times New Roman" w:hAnsi="Times New Roman"/>
          <w:color w:val="262626"/>
          <w:sz w:val="24"/>
          <w:szCs w:val="24"/>
        </w:rPr>
        <w:t xml:space="preserve">Student well-being and academic performance are closely linked, yet the data that describes them is fragmented. Sleep and activity are recorded by fitness applications, meals by diet trackers, deadlines in calendars or learning portals, and important documents such as identity cards, certificates and insurance policies are scattered across phone galleries and email. Because each source stores its data in isolation, the following problems arise:</w:t>
      </w:r>
    </w:p>
    <w:p>
      <w:pPr>
        <w:pStyle w:val="ListParagraph"/>
        <w:numPr>
          <w:ilvl w:val="0"/>
          <w:numId w:val="2"/>
        </w:numPr>
        <w:spacing w:after="80" w:line="312"/>
        <w:jc w:val="both"/>
      </w:pPr>
      <w:r>
        <w:rPr>
          <w:rFonts w:ascii="Times New Roman" w:cs="Times New Roman" w:eastAsia="Times New Roman" w:hAnsi="Times New Roman"/>
          <w:b/>
          <w:bCs/>
          <w:color w:val="262626"/>
          <w:sz w:val="24"/>
          <w:szCs w:val="24"/>
        </w:rPr>
        <w:t xml:space="preserve">No combined view.</w:t>
      </w:r>
      <w:r>
        <w:rPr>
          <w:rFonts w:ascii="Times New Roman" w:cs="Times New Roman" w:eastAsia="Times New Roman" w:hAnsi="Times New Roman"/>
          <w:color w:val="262626"/>
          <w:sz w:val="24"/>
          <w:szCs w:val="24"/>
        </w:rPr>
        <w:t xml:space="preserve"> A student cannot see that sleep has fallen below six hours during the same week in which three deadlines fall due.</w:t>
      </w:r>
    </w:p>
    <w:p>
      <w:pPr>
        <w:pStyle w:val="ListParagraph"/>
        <w:numPr>
          <w:ilvl w:val="0"/>
          <w:numId w:val="2"/>
        </w:numPr>
        <w:spacing w:after="80" w:line="312"/>
        <w:jc w:val="both"/>
      </w:pPr>
      <w:r>
        <w:rPr>
          <w:rFonts w:ascii="Times New Roman" w:cs="Times New Roman" w:eastAsia="Times New Roman" w:hAnsi="Times New Roman"/>
          <w:b/>
          <w:bCs/>
          <w:color w:val="262626"/>
          <w:sz w:val="24"/>
          <w:szCs w:val="24"/>
        </w:rPr>
        <w:t xml:space="preserve">Late warnings.</w:t>
      </w:r>
      <w:r>
        <w:rPr>
          <w:rFonts w:ascii="Times New Roman" w:cs="Times New Roman" w:eastAsia="Times New Roman" w:hAnsi="Times New Roman"/>
          <w:color w:val="262626"/>
          <w:sz w:val="24"/>
          <w:szCs w:val="24"/>
        </w:rPr>
        <w:t xml:space="preserve"> Overdue assignments and expiring documents are noticed only after the deadline has passed.</w:t>
      </w:r>
    </w:p>
    <w:p>
      <w:pPr>
        <w:pStyle w:val="ListParagraph"/>
        <w:numPr>
          <w:ilvl w:val="0"/>
          <w:numId w:val="2"/>
        </w:numPr>
        <w:spacing w:after="80" w:line="312"/>
        <w:jc w:val="both"/>
      </w:pPr>
      <w:r>
        <w:rPr>
          <w:rFonts w:ascii="Times New Roman" w:cs="Times New Roman" w:eastAsia="Times New Roman" w:hAnsi="Times New Roman"/>
          <w:b/>
          <w:bCs/>
          <w:color w:val="262626"/>
          <w:sz w:val="24"/>
          <w:szCs w:val="24"/>
        </w:rPr>
        <w:t xml:space="preserve">Heterogeneous data.</w:t>
      </w:r>
      <w:r>
        <w:rPr>
          <w:rFonts w:ascii="Times New Roman" w:cs="Times New Roman" w:eastAsia="Times New Roman" w:hAnsi="Times New Roman"/>
          <w:color w:val="262626"/>
          <w:sz w:val="24"/>
          <w:szCs w:val="24"/>
        </w:rPr>
        <w:t xml:space="preserve"> Health logs are time series, meals contain a variable number of food items, and documents carry different metadata depending on their type. A single rigid relational schema handles this variety poorly.</w:t>
      </w:r>
    </w:p>
    <w:p>
      <w:pPr>
        <w:pStyle w:val="ListParagraph"/>
        <w:numPr>
          <w:ilvl w:val="0"/>
          <w:numId w:val="2"/>
        </w:numPr>
        <w:spacing w:after="80" w:line="312"/>
        <w:jc w:val="both"/>
      </w:pPr>
      <w:r>
        <w:rPr>
          <w:rFonts w:ascii="Times New Roman" w:cs="Times New Roman" w:eastAsia="Times New Roman" w:hAnsi="Times New Roman"/>
          <w:b/>
          <w:bCs/>
          <w:color w:val="262626"/>
          <w:sz w:val="24"/>
          <w:szCs w:val="24"/>
        </w:rPr>
        <w:t xml:space="preserve">Unsafe automation.</w:t>
      </w:r>
      <w:r>
        <w:rPr>
          <w:rFonts w:ascii="Times New Roman" w:cs="Times New Roman" w:eastAsia="Times New Roman" w:hAnsi="Times New Roman"/>
          <w:color w:val="262626"/>
          <w:sz w:val="24"/>
          <w:szCs w:val="24"/>
        </w:rPr>
        <w:t xml:space="preserve"> Assistants that write directly to user data can make unintended changes without the user’s knowledge.</w:t>
      </w:r>
    </w:p>
    <w:p>
      <w:pPr>
        <w:spacing w:after="140" w:line="324"/>
        <w:jc w:val="both"/>
      </w:pPr>
      <w:r>
        <w:rPr>
          <w:rFonts w:ascii="Times New Roman" w:cs="Times New Roman" w:eastAsia="Times New Roman" w:hAnsi="Times New Roman"/>
          <w:color w:val="262626"/>
          <w:sz w:val="24"/>
          <w:szCs w:val="24"/>
        </w:rPr>
        <w:t xml:space="preserve">The problem addressed by this project is therefore to design and implement a database-backed system that stores heterogeneous personal data in one place, queries it efficiently, relates the modules to one another, and allows intelligent assistance without giving up user control over every change.</w:t>
      </w:r>
    </w:p>
    <w:p>
      <w:pPr>
        <w:pStyle w:val="Heading1"/>
      </w:pPr>
      <w:r>
        <w:rPr>
          <w:rFonts w:ascii="Times New Roman" w:cs="Times New Roman" w:eastAsia="Times New Roman" w:hAnsi="Times New Roman"/>
        </w:rPr>
        <w:t xml:space="preserve">3. Objectives</w:t>
      </w:r>
    </w:p>
    <w:p>
      <w:pPr>
        <w:pStyle w:val="ListParagraph"/>
        <w:numPr>
          <w:ilvl w:val="0"/>
          <w:numId w:val="3"/>
        </w:numPr>
        <w:spacing w:after="80" w:line="312"/>
        <w:jc w:val="both"/>
      </w:pPr>
      <w:r>
        <w:rPr>
          <w:rFonts w:ascii="Times New Roman" w:cs="Times New Roman" w:eastAsia="Times New Roman" w:hAnsi="Times New Roman"/>
          <w:color w:val="262626"/>
          <w:sz w:val="24"/>
          <w:szCs w:val="24"/>
        </w:rPr>
        <w:t xml:space="preserve">Design a document-oriented schema that suits each module: time-series health logs, meals with embedded food items, goals with embedded milestones, and documents with flexible metadata.</w:t>
      </w:r>
    </w:p>
    <w:p>
      <w:pPr>
        <w:pStyle w:val="ListParagraph"/>
        <w:numPr>
          <w:ilvl w:val="0"/>
          <w:numId w:val="3"/>
        </w:numPr>
        <w:spacing w:after="80" w:line="312"/>
        <w:jc w:val="both"/>
      </w:pPr>
      <w:r>
        <w:rPr>
          <w:rFonts w:ascii="Times New Roman" w:cs="Times New Roman" w:eastAsia="Times New Roman" w:hAnsi="Times New Roman"/>
          <w:color w:val="262626"/>
          <w:sz w:val="24"/>
          <w:szCs w:val="24"/>
        </w:rPr>
        <w:t xml:space="preserve">Serve every screen through indexed queries and server-side aggregation pipelines rather than computation in the browser.</w:t>
      </w:r>
    </w:p>
    <w:p>
      <w:pPr>
        <w:pStyle w:val="ListParagraph"/>
        <w:numPr>
          <w:ilvl w:val="0"/>
          <w:numId w:val="3"/>
        </w:numPr>
        <w:spacing w:after="80" w:line="312"/>
        <w:jc w:val="both"/>
      </w:pPr>
      <w:r>
        <w:rPr>
          <w:rFonts w:ascii="Times New Roman" w:cs="Times New Roman" w:eastAsia="Times New Roman" w:hAnsi="Times New Roman"/>
          <w:color w:val="262626"/>
          <w:sz w:val="24"/>
          <w:szCs w:val="24"/>
        </w:rPr>
        <w:t xml:space="preserve">Relate modules to one another through cross-collection queries (</w:t>
      </w:r>
      <w:r>
        <w:rPr>
          <w:rFonts w:ascii="Courier New" w:cs="Courier New" w:eastAsia="Courier New" w:hAnsi="Courier New"/>
          <w:color w:val="1B7A7A"/>
          <w:sz w:val="21"/>
          <w:szCs w:val="21"/>
        </w:rPr>
        <w:t xml:space="preserve">$lookup</w:t>
      </w:r>
      <w:r>
        <w:rPr>
          <w:rFonts w:ascii="Times New Roman" w:cs="Times New Roman" w:eastAsia="Times New Roman" w:hAnsi="Times New Roman"/>
          <w:color w:val="262626"/>
          <w:sz w:val="24"/>
          <w:szCs w:val="24"/>
        </w:rPr>
        <w:t xml:space="preserve">) so that the digital twin can connect health, nutrition and academic data.</w:t>
      </w:r>
    </w:p>
    <w:p>
      <w:pPr>
        <w:pStyle w:val="ListParagraph"/>
        <w:numPr>
          <w:ilvl w:val="0"/>
          <w:numId w:val="3"/>
        </w:numPr>
        <w:spacing w:after="80" w:line="312"/>
        <w:jc w:val="both"/>
      </w:pPr>
      <w:r>
        <w:rPr>
          <w:rFonts w:ascii="Times New Roman" w:cs="Times New Roman" w:eastAsia="Times New Roman" w:hAnsi="Times New Roman"/>
          <w:color w:val="262626"/>
          <w:sz w:val="24"/>
          <w:szCs w:val="24"/>
        </w:rPr>
        <w:t xml:space="preserve">Provide an AI assistant that reads the same database and proposes changes, which are applied only after explicit user confirmation.</w:t>
      </w:r>
    </w:p>
    <w:p>
      <w:pPr>
        <w:pStyle w:val="ListParagraph"/>
        <w:numPr>
          <w:ilvl w:val="0"/>
          <w:numId w:val="3"/>
        </w:numPr>
        <w:spacing w:after="80" w:line="312"/>
        <w:jc w:val="both"/>
      </w:pPr>
      <w:r>
        <w:rPr>
          <w:rFonts w:ascii="Times New Roman" w:cs="Times New Roman" w:eastAsia="Times New Roman" w:hAnsi="Times New Roman"/>
          <w:color w:val="262626"/>
          <w:sz w:val="24"/>
          <w:szCs w:val="24"/>
        </w:rPr>
        <w:t xml:space="preserve">Deliver a complete, secure web application with a React front end, an Express REST API and a MongoDB Atlas back end, and demonstrate its behaviour on a realistic dataset.</w:t>
      </w:r>
    </w:p>
    <w:p>
      <w:pPr>
        <w:pStyle w:val="Heading1"/>
      </w:pPr>
      <w:r>
        <w:rPr>
          <w:rFonts w:ascii="Times New Roman" w:cs="Times New Roman" w:eastAsia="Times New Roman" w:hAnsi="Times New Roman"/>
        </w:rPr>
        <w:t xml:space="preserve">4. Novel Aspects of the Work</w:t>
      </w:r>
    </w:p>
    <w:p>
      <w:pPr>
        <w:spacing w:after="140" w:line="324"/>
        <w:jc w:val="both"/>
      </w:pPr>
      <w:r>
        <w:rPr>
          <w:rFonts w:ascii="Times New Roman" w:cs="Times New Roman" w:eastAsia="Times New Roman" w:hAnsi="Times New Roman"/>
          <w:color w:val="262626"/>
          <w:sz w:val="24"/>
          <w:szCs w:val="24"/>
        </w:rPr>
        <w:t xml:space="preserve">Synapse differs from conventional single-purpose tracking applications in four respects, summarised in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200"/>
        <w:gridCol w:w="3826"/>
      </w:tblGrid>
      <w:tr>
        <w:trPr>
          <w:tblHeader/>
        </w:trPr>
        <w:tc>
          <w:tcPr>
            <w:tcW w:type="dxa" w:w="20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Aspect</w:t>
            </w:r>
          </w:p>
        </w:tc>
        <w:tc>
          <w:tcPr>
            <w:tcW w:type="dxa" w:w="32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Conventional applications</w:t>
            </w:r>
          </w:p>
        </w:tc>
        <w:tc>
          <w:tcPr>
            <w:tcW w:type="dxa" w:w="3826"/>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Synapse</w:t>
            </w:r>
          </w:p>
        </w:tc>
      </w:tr>
      <w:tr>
        <w:trPr>
          <w:cantSplit/>
        </w:trPr>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Unified digital twin</w:t>
            </w:r>
          </w:p>
        </w:tc>
        <w:tc>
          <w:tcPr>
            <w:tcW w:type="dxa" w:w="32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Each application stores one kind of data in isolation.</w:t>
            </w:r>
          </w:p>
        </w:tc>
        <w:tc>
          <w:tcPr>
            <w:tcW w:type="dxa" w:w="382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Health, nutrition, academic and document data share one database and one user key, combined into a 0–100 wellness score.</w:t>
            </w:r>
          </w:p>
        </w:tc>
      </w:tr>
      <w:tr>
        <w:trPr>
          <w:cantSplit/>
        </w:trPr>
        <w:tc>
          <w:tcPr>
            <w:tcW w:type="dxa" w:w="20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Cross-module analytics</w:t>
            </w:r>
          </w:p>
        </w:tc>
        <w:tc>
          <w:tcPr>
            <w:tcW w:type="dxa" w:w="32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Insights are limited to a single domain.</w:t>
            </w:r>
          </w:p>
        </w:tc>
        <w:tc>
          <w:tcPr>
            <w:tcW w:type="dxa" w:w="382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Aggregation pipelines with </w:t>
            </w:r>
            <w:r>
              <w:rPr>
                <w:rFonts w:ascii="Courier New" w:cs="Courier New" w:eastAsia="Courier New" w:hAnsi="Courier New"/>
                <w:color w:val="1B7A7A"/>
                <w:sz w:val="18"/>
                <w:szCs w:val="18"/>
              </w:rPr>
              <w:t xml:space="preserve">$lookup</w:t>
            </w:r>
            <w:r>
              <w:rPr>
                <w:rFonts w:ascii="Times New Roman" w:cs="Times New Roman" w:eastAsia="Times New Roman" w:hAnsi="Times New Roman"/>
                <w:color w:val="262626"/>
                <w:sz w:val="21"/>
                <w:szCs w:val="21"/>
              </w:rPr>
              <w:t xml:space="preserve"> relate sleep to academic goals and nutrition, producing alerts that span modules.</w:t>
            </w:r>
          </w:p>
        </w:tc>
      </w:tr>
      <w:tr>
        <w:trPr>
          <w:cantSplit/>
        </w:trPr>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Confirmed AI actions</w:t>
            </w:r>
          </w:p>
        </w:tc>
        <w:tc>
          <w:tcPr>
            <w:tcW w:type="dxa" w:w="32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Assistants either cannot change data or change it directly.</w:t>
            </w:r>
          </w:p>
        </w:tc>
        <w:tc>
          <w:tcPr>
            <w:tcW w:type="dxa" w:w="382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Every AI write is stored as a pending </w:t>
            </w:r>
            <w:r>
              <w:rPr>
                <w:rFonts w:ascii="Courier New" w:cs="Courier New" w:eastAsia="Courier New" w:hAnsi="Courier New"/>
                <w:color w:val="1B7A7A"/>
                <w:sz w:val="18"/>
                <w:szCs w:val="18"/>
              </w:rPr>
              <w:t xml:space="preserve">agentactions</w:t>
            </w:r>
            <w:r>
              <w:rPr>
                <w:rFonts w:ascii="Times New Roman" w:cs="Times New Roman" w:eastAsia="Times New Roman" w:hAnsi="Times New Roman"/>
                <w:color w:val="262626"/>
                <w:sz w:val="21"/>
                <w:szCs w:val="21"/>
              </w:rPr>
              <w:t xml:space="preserve"> document and executed atomically only after the user presses Confirm, with a 24-hour expiry.</w:t>
            </w:r>
          </w:p>
        </w:tc>
      </w:tr>
      <w:tr>
        <w:trPr>
          <w:cantSplit/>
        </w:trPr>
        <w:tc>
          <w:tcPr>
            <w:tcW w:type="dxa" w:w="20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Hybrid document model</w:t>
            </w:r>
          </w:p>
        </w:tc>
        <w:tc>
          <w:tcPr>
            <w:tcW w:type="dxa" w:w="32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A fixed relational schema or unstructured storage.</w:t>
            </w:r>
          </w:p>
        </w:tc>
        <w:tc>
          <w:tcPr>
            <w:tcW w:type="dxa" w:w="382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Embedded arrays for bounded data (meal items, milestones), separate time-series collections for unbounded data, and schema-less metadata for documents.</w:t>
            </w:r>
          </w:p>
        </w:tc>
      </w:tr>
    </w:tbl>
    <w:p>
      <w:pPr>
        <w:spacing w:after="220" w:before="80"/>
        <w:jc w:val="center"/>
      </w:pPr>
      <w:r>
        <w:rPr>
          <w:rFonts w:ascii="Times New Roman" w:cs="Times New Roman" w:eastAsia="Times New Roman" w:hAnsi="Times New Roman"/>
          <w:i/>
          <w:iCs/>
          <w:color w:val="2E5C8A"/>
          <w:sz w:val="21"/>
          <w:szCs w:val="21"/>
        </w:rPr>
        <w:t xml:space="preserve">Table 1. Novel aspects compared with conventional applications</w:t>
      </w:r>
    </w:p>
    <w:p>
      <w:pPr>
        <w:pStyle w:val="Heading1"/>
      </w:pPr>
      <w:r>
        <w:rPr>
          <w:rFonts w:ascii="Times New Roman" w:cs="Times New Roman" w:eastAsia="Times New Roman" w:hAnsi="Times New Roman"/>
        </w:rPr>
        <w:t xml:space="preserve">5. Methodology</w:t>
      </w:r>
    </w:p>
    <w:p>
      <w:pPr>
        <w:pStyle w:val="Heading2"/>
      </w:pPr>
      <w:r>
        <w:rPr>
          <w:rFonts w:ascii="Times New Roman" w:cs="Times New Roman" w:eastAsia="Times New Roman" w:hAnsi="Times New Roman"/>
        </w:rPr>
        <w:t xml:space="preserve">5.1 System Architecture</w:t>
      </w:r>
    </w:p>
    <w:p>
      <w:pPr>
        <w:spacing w:after="140" w:line="324"/>
        <w:jc w:val="both"/>
      </w:pPr>
      <w:r>
        <w:rPr>
          <w:rFonts w:ascii="Times New Roman" w:cs="Times New Roman" w:eastAsia="Times New Roman" w:hAnsi="Times New Roman"/>
          <w:color w:val="262626"/>
          <w:sz w:val="24"/>
          <w:szCs w:val="24"/>
        </w:rPr>
        <w:t xml:space="preserve">The system follows a three-tier architecture: a React single-page application, an Express REST API on Node.js, and a MongoDB Atlas cluster. The browser never communicates with the database directly. Every request carries a JSON Web Token (JWT), and the API restricts every query to the authenticated user’s identifier. Figure 1 shows the path of a typical request, using the Health page as an example.</w:t>
      </w:r>
    </w:p>
    <w:p>
      <w:pPr>
        <w:keepNext/>
        <w:spacing w:after="60" w:before="80"/>
        <w:jc w:val="center"/>
      </w:pPr>
      <w:r>
        <w:drawing>
          <wp:inline distT="0" distB="0" distL="0" distR="0">
            <wp:extent cx="5715000" cy="1704975"/>
            <wp:effectExtent t="0" r="0" b="0" l="0"/>
            <wp:docPr id="1" name="img01.png" descr="Figure 1. Request flow from the application through the API and query to the database and back" title="Figure 1. Request flow from the application through the API and query to the database and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04975"/>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1. Request flow from the application through the API and query to the database and back</w:t>
      </w:r>
    </w:p>
    <w:p>
      <w:pPr>
        <w:pStyle w:val="ListParagraph"/>
        <w:numPr>
          <w:ilvl w:val="0"/>
          <w:numId w:val="4"/>
        </w:numPr>
        <w:spacing w:after="80" w:line="312"/>
        <w:jc w:val="both"/>
      </w:pPr>
      <w:r>
        <w:rPr>
          <w:rFonts w:ascii="Times New Roman" w:cs="Times New Roman" w:eastAsia="Times New Roman" w:hAnsi="Times New Roman"/>
          <w:b/>
          <w:bCs/>
          <w:color w:val="262626"/>
          <w:sz w:val="24"/>
          <w:szCs w:val="24"/>
        </w:rPr>
        <w:t xml:space="preserve">Application.</w:t>
      </w:r>
      <w:r>
        <w:rPr>
          <w:rFonts w:ascii="Times New Roman" w:cs="Times New Roman" w:eastAsia="Times New Roman" w:hAnsi="Times New Roman"/>
          <w:color w:val="262626"/>
          <w:sz w:val="24"/>
          <w:szCs w:val="24"/>
        </w:rPr>
        <w:t xml:space="preserve"> The Health page calls </w:t>
      </w:r>
      <w:r>
        <w:rPr>
          <w:rFonts w:ascii="Courier New" w:cs="Courier New" w:eastAsia="Courier New" w:hAnsi="Courier New"/>
          <w:color w:val="1B7A7A"/>
          <w:sz w:val="21"/>
          <w:szCs w:val="21"/>
        </w:rPr>
        <w:t xml:space="preserve">GET /api/health/trends</w:t>
      </w:r>
      <w:r>
        <w:rPr>
          <w:rFonts w:ascii="Times New Roman" w:cs="Times New Roman" w:eastAsia="Times New Roman" w:hAnsi="Times New Roman"/>
          <w:color w:val="262626"/>
          <w:sz w:val="24"/>
          <w:szCs w:val="24"/>
        </w:rPr>
        <w:t xml:space="preserve">, and the HTTP client attaches the user’s token.</w:t>
      </w:r>
    </w:p>
    <w:p>
      <w:pPr>
        <w:pStyle w:val="ListParagraph"/>
        <w:numPr>
          <w:ilvl w:val="0"/>
          <w:numId w:val="4"/>
        </w:numPr>
        <w:spacing w:after="80" w:line="312"/>
        <w:jc w:val="both"/>
      </w:pPr>
      <w:r>
        <w:rPr>
          <w:rFonts w:ascii="Times New Roman" w:cs="Times New Roman" w:eastAsia="Times New Roman" w:hAnsi="Times New Roman"/>
          <w:b/>
          <w:bCs/>
          <w:color w:val="262626"/>
          <w:sz w:val="24"/>
          <w:szCs w:val="24"/>
        </w:rPr>
        <w:t xml:space="preserve">API.</w:t>
      </w:r>
      <w:r>
        <w:rPr>
          <w:rFonts w:ascii="Times New Roman" w:cs="Times New Roman" w:eastAsia="Times New Roman" w:hAnsi="Times New Roman"/>
          <w:color w:val="262626"/>
          <w:sz w:val="24"/>
          <w:szCs w:val="24"/>
        </w:rPr>
        <w:t xml:space="preserve"> The authentication middleware verifies the token, and the route handler builds the query for that user.</w:t>
      </w:r>
    </w:p>
    <w:p>
      <w:pPr>
        <w:pStyle w:val="ListParagraph"/>
        <w:numPr>
          <w:ilvl w:val="0"/>
          <w:numId w:val="4"/>
        </w:numPr>
        <w:spacing w:after="80" w:line="312"/>
        <w:jc w:val="both"/>
      </w:pPr>
      <w:r>
        <w:rPr>
          <w:rFonts w:ascii="Times New Roman" w:cs="Times New Roman" w:eastAsia="Times New Roman" w:hAnsi="Times New Roman"/>
          <w:b/>
          <w:bCs/>
          <w:color w:val="262626"/>
          <w:sz w:val="24"/>
          <w:szCs w:val="24"/>
        </w:rPr>
        <w:t xml:space="preserve">Query.</w:t>
      </w:r>
      <w:r>
        <w:rPr>
          <w:rFonts w:ascii="Times New Roman" w:cs="Times New Roman" w:eastAsia="Times New Roman" w:hAnsi="Times New Roman"/>
          <w:color w:val="262626"/>
          <w:sz w:val="24"/>
          <w:szCs w:val="24"/>
        </w:rPr>
        <w:t xml:space="preserve"> Mongoose sends an aggregation pipeline (</w:t>
      </w:r>
      <w:r>
        <w:rPr>
          <w:rFonts w:ascii="Courier New" w:cs="Courier New" w:eastAsia="Courier New" w:hAnsi="Courier New"/>
          <w:color w:val="1B7A7A"/>
          <w:sz w:val="21"/>
          <w:szCs w:val="21"/>
        </w:rPr>
        <w:t xml:space="preserve">$match</w:t>
      </w:r>
      <w:r>
        <w:rPr>
          <w:rFonts w:ascii="Times New Roman" w:cs="Times New Roman" w:eastAsia="Times New Roman" w:hAnsi="Times New Roman"/>
          <w:color w:val="262626"/>
          <w:sz w:val="24"/>
          <w:szCs w:val="24"/>
        </w:rPr>
        <w:t xml:space="preserve"> → </w:t>
      </w:r>
      <w:r>
        <w:rPr>
          <w:rFonts w:ascii="Courier New" w:cs="Courier New" w:eastAsia="Courier New" w:hAnsi="Courier New"/>
          <w:color w:val="1B7A7A"/>
          <w:sz w:val="21"/>
          <w:szCs w:val="21"/>
        </w:rPr>
        <w:t xml:space="preserve">$group</w:t>
      </w:r>
      <w:r>
        <w:rPr>
          <w:rFonts w:ascii="Times New Roman" w:cs="Times New Roman" w:eastAsia="Times New Roman" w:hAnsi="Times New Roman"/>
          <w:color w:val="262626"/>
          <w:sz w:val="24"/>
          <w:szCs w:val="24"/>
        </w:rPr>
        <w:t xml:space="preserve"> → </w:t>
      </w:r>
      <w:r>
        <w:rPr>
          <w:rFonts w:ascii="Courier New" w:cs="Courier New" w:eastAsia="Courier New" w:hAnsi="Courier New"/>
          <w:color w:val="1B7A7A"/>
          <w:sz w:val="21"/>
          <w:szCs w:val="21"/>
        </w:rPr>
        <w:t xml:space="preserve">$avg</w:t>
      </w:r>
      <w:r>
        <w:rPr>
          <w:rFonts w:ascii="Times New Roman" w:cs="Times New Roman" w:eastAsia="Times New Roman" w:hAnsi="Times New Roman"/>
          <w:color w:val="262626"/>
          <w:sz w:val="24"/>
          <w:szCs w:val="24"/>
        </w:rPr>
        <w:t xml:space="preserve">) to MongoDB Atlas.</w:t>
      </w:r>
    </w:p>
    <w:p>
      <w:pPr>
        <w:pStyle w:val="ListParagraph"/>
        <w:numPr>
          <w:ilvl w:val="0"/>
          <w:numId w:val="4"/>
        </w:numPr>
        <w:spacing w:after="80" w:line="312"/>
        <w:jc w:val="both"/>
      </w:pPr>
      <w:r>
        <w:rPr>
          <w:rFonts w:ascii="Times New Roman" w:cs="Times New Roman" w:eastAsia="Times New Roman" w:hAnsi="Times New Roman"/>
          <w:b/>
          <w:bCs/>
          <w:color w:val="262626"/>
          <w:sz w:val="24"/>
          <w:szCs w:val="24"/>
        </w:rPr>
        <w:t xml:space="preserve">Database.</w:t>
      </w:r>
      <w:r>
        <w:rPr>
          <w:rFonts w:ascii="Times New Roman" w:cs="Times New Roman" w:eastAsia="Times New Roman" w:hAnsi="Times New Roman"/>
          <w:color w:val="262626"/>
          <w:sz w:val="24"/>
          <w:szCs w:val="24"/>
        </w:rPr>
        <w:t xml:space="preserve"> MongoDB resolves the </w:t>
      </w:r>
      <w:r>
        <w:rPr>
          <w:rFonts w:ascii="Courier New" w:cs="Courier New" w:eastAsia="Courier New" w:hAnsi="Courier New"/>
          <w:color w:val="1B7A7A"/>
          <w:sz w:val="21"/>
          <w:szCs w:val="21"/>
        </w:rPr>
        <w:t xml:space="preserve">$match</w:t>
      </w:r>
      <w:r>
        <w:rPr>
          <w:rFonts w:ascii="Times New Roman" w:cs="Times New Roman" w:eastAsia="Times New Roman" w:hAnsi="Times New Roman"/>
          <w:color w:val="262626"/>
          <w:sz w:val="24"/>
          <w:szCs w:val="24"/>
        </w:rPr>
        <w:t xml:space="preserve"> stage through the compound index </w:t>
      </w:r>
      <w:r>
        <w:rPr>
          <w:rFonts w:ascii="Courier New" w:cs="Courier New" w:eastAsia="Courier New" w:hAnsi="Courier New"/>
          <w:color w:val="1B7A7A"/>
          <w:sz w:val="21"/>
          <w:szCs w:val="21"/>
        </w:rPr>
        <w:t xml:space="preserve">{user: 1, date: -1}</w:t>
      </w:r>
      <w:r>
        <w:rPr>
          <w:rFonts w:ascii="Times New Roman" w:cs="Times New Roman" w:eastAsia="Times New Roman" w:hAnsi="Times New Roman"/>
          <w:color w:val="262626"/>
          <w:sz w:val="24"/>
          <w:szCs w:val="24"/>
        </w:rPr>
        <w:t xml:space="preserve"> and reads only that user’s recent logs.</w:t>
      </w:r>
    </w:p>
    <w:p>
      <w:pPr>
        <w:pStyle w:val="ListParagraph"/>
        <w:numPr>
          <w:ilvl w:val="0"/>
          <w:numId w:val="4"/>
        </w:numPr>
        <w:spacing w:after="80" w:line="312"/>
        <w:jc w:val="both"/>
      </w:pPr>
      <w:r>
        <w:rPr>
          <w:rFonts w:ascii="Times New Roman" w:cs="Times New Roman" w:eastAsia="Times New Roman" w:hAnsi="Times New Roman"/>
          <w:b/>
          <w:bCs/>
          <w:color w:val="262626"/>
          <w:sz w:val="24"/>
          <w:szCs w:val="24"/>
        </w:rPr>
        <w:t xml:space="preserve">Result.</w:t>
      </w:r>
      <w:r>
        <w:rPr>
          <w:rFonts w:ascii="Times New Roman" w:cs="Times New Roman" w:eastAsia="Times New Roman" w:hAnsi="Times New Roman"/>
          <w:color w:val="262626"/>
          <w:sz w:val="24"/>
          <w:szCs w:val="24"/>
        </w:rPr>
        <w:t xml:space="preserve"> The JSON response is rendered as trend cards, charts and alert banners in the browser.</w:t>
      </w:r>
    </w:p>
    <w:p>
      <w:pPr>
        <w:pStyle w:val="Heading2"/>
      </w:pPr>
      <w:r>
        <w:rPr>
          <w:rFonts w:ascii="Times New Roman" w:cs="Times New Roman" w:eastAsia="Times New Roman" w:hAnsi="Times New Roman"/>
        </w:rPr>
        <w:t xml:space="preserve">5.2 Database Design</w:t>
      </w:r>
    </w:p>
    <w:p>
      <w:pPr>
        <w:spacing w:after="140" w:line="324"/>
        <w:jc w:val="both"/>
      </w:pPr>
      <w:r>
        <w:rPr>
          <w:rFonts w:ascii="Times New Roman" w:cs="Times New Roman" w:eastAsia="Times New Roman" w:hAnsi="Times New Roman"/>
          <w:color w:val="262626"/>
          <w:sz w:val="24"/>
          <w:szCs w:val="24"/>
        </w:rPr>
        <w:t xml:space="preserve">The </w:t>
      </w:r>
      <w:r>
        <w:rPr>
          <w:rFonts w:ascii="Courier New" w:cs="Courier New" w:eastAsia="Courier New" w:hAnsi="Courier New"/>
          <w:color w:val="1B7A7A"/>
          <w:sz w:val="21"/>
          <w:szCs w:val="21"/>
        </w:rPr>
        <w:t xml:space="preserve">synapse</w:t>
      </w:r>
      <w:r>
        <w:rPr>
          <w:rFonts w:ascii="Times New Roman" w:cs="Times New Roman" w:eastAsia="Times New Roman" w:hAnsi="Times New Roman"/>
          <w:color w:val="262626"/>
          <w:sz w:val="24"/>
          <w:szCs w:val="24"/>
        </w:rPr>
        <w:t xml:space="preserve"> database contains eight collections. Every document belongs to exactly one user through the reference </w:t>
      </w:r>
      <w:r>
        <w:rPr>
          <w:rFonts w:ascii="Courier New" w:cs="Courier New" w:eastAsia="Courier New" w:hAnsi="Courier New"/>
          <w:color w:val="1B7A7A"/>
          <w:sz w:val="21"/>
          <w:szCs w:val="21"/>
        </w:rPr>
        <w:t xml:space="preserve">user: ObjectId → users._id</w:t>
      </w:r>
      <w:r>
        <w:rPr>
          <w:rFonts w:ascii="Times New Roman" w:cs="Times New Roman" w:eastAsia="Times New Roman" w:hAnsi="Times New Roman"/>
          <w:color w:val="262626"/>
          <w:sz w:val="24"/>
          <w:szCs w:val="24"/>
        </w:rPr>
        <w:t xml:space="preserve">. Table 2 summarises the collections.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3000"/>
        <w:gridCol w:w="2176"/>
        <w:gridCol w:w="1800"/>
      </w:tblGrid>
      <w:tr>
        <w:trPr>
          <w:tblHeader/>
        </w:trPr>
        <w:tc>
          <w:tcPr>
            <w:tcW w:type="dxa" w:w="205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Collection</w:t>
            </w:r>
          </w:p>
        </w:tc>
        <w:tc>
          <w:tcPr>
            <w:tcW w:type="dxa" w:w="30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Purpose</w:t>
            </w:r>
          </w:p>
        </w:tc>
        <w:tc>
          <w:tcPr>
            <w:tcW w:type="dxa" w:w="2176"/>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Embedded or flexible part</w:t>
            </w:r>
          </w:p>
        </w:tc>
        <w:tc>
          <w:tcPr>
            <w:tcW w:type="dxa" w:w="18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Indexes</w:t>
            </w:r>
          </w:p>
        </w:tc>
      </w:tr>
      <w:tr>
        <w:trPr>
          <w:cantSplit/>
        </w:trPr>
        <w:tc>
          <w:tcPr>
            <w:tcW w:type="dxa" w:w="205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users</w:t>
            </w:r>
          </w:p>
        </w:tc>
        <w:tc>
          <w:tcPr>
            <w:tcW w:type="dxa" w:w="3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Account and nutrition goals</w:t>
            </w:r>
          </w:p>
        </w:tc>
        <w:tc>
          <w:tcPr>
            <w:tcW w:type="dxa" w:w="217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nutritionGoals</w:t>
            </w:r>
            <w:r>
              <w:rPr>
                <w:rFonts w:ascii="Times New Roman" w:cs="Times New Roman" w:eastAsia="Times New Roman" w:hAnsi="Times New Roman"/>
                <w:color w:val="262626"/>
                <w:sz w:val="21"/>
                <w:szCs w:val="21"/>
              </w:rPr>
              <w:t xml:space="preserve"> object</w:t>
            </w:r>
          </w:p>
        </w:tc>
        <w:tc>
          <w:tcPr>
            <w:tcW w:type="dxa" w:w="18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unique </w:t>
            </w:r>
            <w:r>
              <w:rPr>
                <w:rFonts w:ascii="Courier New" w:cs="Courier New" w:eastAsia="Courier New" w:hAnsi="Courier New"/>
                <w:color w:val="1B7A7A"/>
                <w:sz w:val="18"/>
                <w:szCs w:val="18"/>
              </w:rPr>
              <w:t xml:space="preserve">email</w:t>
            </w:r>
          </w:p>
        </w:tc>
      </w:tr>
      <w:tr>
        <w:trPr>
          <w:cantSplit/>
        </w:trPr>
        <w:tc>
          <w:tcPr>
            <w:tcW w:type="dxa" w:w="205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healthmetrics</w:t>
            </w:r>
          </w:p>
        </w:tc>
        <w:tc>
          <w:tcPr>
            <w:tcW w:type="dxa" w:w="30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One health log (sleep, steps, heart rate, water, weight)</w:t>
            </w:r>
          </w:p>
        </w:tc>
        <w:tc>
          <w:tcPr>
            <w:tcW w:type="dxa" w:w="217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source</w:t>
            </w:r>
            <w:r>
              <w:rPr>
                <w:rFonts w:ascii="Times New Roman" w:cs="Times New Roman" w:eastAsia="Times New Roman" w:hAnsi="Times New Roman"/>
                <w:color w:val="262626"/>
                <w:sz w:val="21"/>
                <w:szCs w:val="21"/>
              </w:rPr>
              <w:t xml:space="preserve"> enumeration</w:t>
            </w:r>
          </w:p>
        </w:tc>
        <w:tc>
          <w:tcPr>
            <w:tcW w:type="dxa" w:w="18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{user, date}</w:t>
            </w:r>
          </w:p>
        </w:tc>
      </w:tr>
      <w:tr>
        <w:trPr>
          <w:cantSplit/>
        </w:trPr>
        <w:tc>
          <w:tcPr>
            <w:tcW w:type="dxa" w:w="205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nutritionlogs</w:t>
            </w:r>
          </w:p>
        </w:tc>
        <w:tc>
          <w:tcPr>
            <w:tcW w:type="dxa" w:w="3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One meal with its macros</w:t>
            </w:r>
          </w:p>
        </w:tc>
        <w:tc>
          <w:tcPr>
            <w:tcW w:type="dxa" w:w="217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items[]</w:t>
            </w:r>
            <w:r>
              <w:rPr>
                <w:rFonts w:ascii="Times New Roman" w:cs="Times New Roman" w:eastAsia="Times New Roman" w:hAnsi="Times New Roman"/>
                <w:color w:val="262626"/>
                <w:sz w:val="21"/>
                <w:szCs w:val="21"/>
              </w:rPr>
              <w:t xml:space="preserve"> food items</w:t>
            </w:r>
          </w:p>
        </w:tc>
        <w:tc>
          <w:tcPr>
            <w:tcW w:type="dxa" w:w="18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{user, date}</w:t>
            </w:r>
          </w:p>
        </w:tc>
      </w:tr>
      <w:tr>
        <w:trPr>
          <w:cantSplit/>
        </w:trPr>
        <w:tc>
          <w:tcPr>
            <w:tcW w:type="dxa" w:w="205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academicgoals</w:t>
            </w:r>
          </w:p>
        </w:tc>
        <w:tc>
          <w:tcPr>
            <w:tcW w:type="dxa" w:w="30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Exam, project, assignment or course goal</w:t>
            </w:r>
          </w:p>
        </w:tc>
        <w:tc>
          <w:tcPr>
            <w:tcW w:type="dxa" w:w="217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milestones[]</w:t>
            </w:r>
          </w:p>
        </w:tc>
        <w:tc>
          <w:tcPr>
            <w:tcW w:type="dxa" w:w="18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_id</w:t>
            </w:r>
          </w:p>
        </w:tc>
      </w:tr>
      <w:tr>
        <w:trPr>
          <w:cantSplit/>
        </w:trPr>
        <w:tc>
          <w:tcPr>
            <w:tcW w:type="dxa" w:w="205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documents</w:t>
            </w:r>
          </w:p>
        </w:tc>
        <w:tc>
          <w:tcPr>
            <w:tcW w:type="dxa" w:w="3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Uploaded file in the personal vault</w:t>
            </w:r>
          </w:p>
        </w:tc>
        <w:tc>
          <w:tcPr>
            <w:tcW w:type="dxa" w:w="217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metadata</w:t>
            </w:r>
            <w:r>
              <w:rPr>
                <w:rFonts w:ascii="Times New Roman" w:cs="Times New Roman" w:eastAsia="Times New Roman" w:hAnsi="Times New Roman"/>
                <w:color w:val="262626"/>
                <w:sz w:val="21"/>
                <w:szCs w:val="21"/>
              </w:rPr>
              <w:t xml:space="preserve"> (schema-less)</w:t>
            </w:r>
          </w:p>
        </w:tc>
        <w:tc>
          <w:tcPr>
            <w:tcW w:type="dxa" w:w="18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text </w:t>
            </w:r>
            <w:r>
              <w:rPr>
                <w:rFonts w:ascii="Courier New" w:cs="Courier New" w:eastAsia="Courier New" w:hAnsi="Courier New"/>
                <w:color w:val="1B7A7A"/>
                <w:sz w:val="18"/>
                <w:szCs w:val="18"/>
              </w:rPr>
              <w:t xml:space="preserve">{title, ocrText, tags}</w:t>
            </w:r>
          </w:p>
        </w:tc>
      </w:tr>
      <w:tr>
        <w:trPr>
          <w:cantSplit/>
        </w:trPr>
        <w:tc>
          <w:tcPr>
            <w:tcW w:type="dxa" w:w="205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chatmessages</w:t>
            </w:r>
          </w:p>
        </w:tc>
        <w:tc>
          <w:tcPr>
            <w:tcW w:type="dxa" w:w="30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Conversation with the AI twin</w:t>
            </w:r>
          </w:p>
        </w:tc>
        <w:tc>
          <w:tcPr>
            <w:tcW w:type="dxa" w:w="217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actions[]</w:t>
            </w:r>
            <w:r>
              <w:rPr>
                <w:rFonts w:ascii="Times New Roman" w:cs="Times New Roman" w:eastAsia="Times New Roman" w:hAnsi="Times New Roman"/>
                <w:color w:val="262626"/>
                <w:sz w:val="21"/>
                <w:szCs w:val="21"/>
              </w:rPr>
              <w:t xml:space="preserve"> references</w:t>
            </w:r>
          </w:p>
        </w:tc>
        <w:tc>
          <w:tcPr>
            <w:tcW w:type="dxa" w:w="18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{user, timestamp}</w:t>
            </w:r>
          </w:p>
        </w:tc>
      </w:tr>
      <w:tr>
        <w:trPr>
          <w:cantSplit/>
        </w:trPr>
        <w:tc>
          <w:tcPr>
            <w:tcW w:type="dxa" w:w="205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agentactions</w:t>
            </w:r>
          </w:p>
        </w:tc>
        <w:tc>
          <w:tcPr>
            <w:tcW w:type="dxa" w:w="3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Change proposed by the AI, awaiting confirmation</w:t>
            </w:r>
          </w:p>
        </w:tc>
        <w:tc>
          <w:tcPr>
            <w:tcW w:type="dxa" w:w="217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args</w:t>
            </w:r>
            <w:r>
              <w:rPr>
                <w:rFonts w:ascii="Times New Roman" w:cs="Times New Roman" w:eastAsia="Times New Roman" w:hAnsi="Times New Roman"/>
                <w:color w:val="262626"/>
                <w:sz w:val="21"/>
                <w:szCs w:val="21"/>
              </w:rPr>
              <w:t xml:space="preserve"> (schema-less)</w:t>
            </w:r>
          </w:p>
        </w:tc>
        <w:tc>
          <w:tcPr>
            <w:tcW w:type="dxa" w:w="18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{user, status, createdAt}</w:t>
            </w:r>
          </w:p>
        </w:tc>
      </w:tr>
      <w:tr>
        <w:trPr>
          <w:cantSplit/>
        </w:trPr>
        <w:tc>
          <w:tcPr>
            <w:tcW w:type="dxa" w:w="205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digitaltwinprofiles</w:t>
            </w:r>
          </w:p>
        </w:tc>
        <w:tc>
          <w:tcPr>
            <w:tcW w:type="dxa" w:w="30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Cached summary of the twin</w:t>
            </w:r>
          </w:p>
        </w:tc>
        <w:tc>
          <w:tcPr>
            <w:tcW w:type="dxa" w:w="217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recommendations[]</w:t>
            </w:r>
          </w:p>
        </w:tc>
        <w:tc>
          <w:tcPr>
            <w:tcW w:type="dxa" w:w="18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unique </w:t>
            </w:r>
            <w:r>
              <w:rPr>
                <w:rFonts w:ascii="Courier New" w:cs="Courier New" w:eastAsia="Courier New" w:hAnsi="Courier New"/>
                <w:color w:val="1B7A7A"/>
                <w:sz w:val="18"/>
                <w:szCs w:val="18"/>
              </w:rPr>
              <w:t xml:space="preserve">user</w:t>
            </w:r>
          </w:p>
        </w:tc>
      </w:tr>
    </w:tbl>
    <w:p>
      <w:pPr>
        <w:spacing w:after="200" w:before="80"/>
        <w:jc w:val="center"/>
      </w:pPr>
      <w:r>
        <w:rPr>
          <w:rFonts w:ascii="Times New Roman" w:cs="Times New Roman" w:eastAsia="Times New Roman" w:hAnsi="Times New Roman"/>
          <w:i/>
          <w:iCs/>
          <w:color w:val="2E5C8A"/>
          <w:sz w:val="21"/>
          <w:szCs w:val="21"/>
        </w:rPr>
        <w:t xml:space="preserve">Table 2. Collections of the synapse database</w:t>
      </w:r>
    </w:p>
    <w:p>
      <w:pPr>
        <w:spacing w:after="140" w:line="324"/>
        <w:jc w:val="both"/>
      </w:pPr>
      <w:r>
        <w:rPr>
          <w:rFonts w:ascii="Times New Roman" w:cs="Times New Roman" w:eastAsia="Times New Roman" w:hAnsi="Times New Roman"/>
          <w:color w:val="262626"/>
          <w:sz w:val="24"/>
          <w:szCs w:val="24"/>
        </w:rPr>
        <w:t xml:space="preserve">The choice between embedding and referencing was made per relationship, according to how the data is read and how large it can grow:</w:t>
      </w:r>
    </w:p>
    <w:p>
      <w:pPr>
        <w:pStyle w:val="ListParagraph"/>
        <w:numPr>
          <w:ilvl w:val="0"/>
          <w:numId w:val="2"/>
        </w:numPr>
        <w:spacing w:after="80" w:line="312"/>
        <w:jc w:val="both"/>
      </w:pPr>
      <w:r>
        <w:rPr>
          <w:rFonts w:ascii="Times New Roman" w:cs="Times New Roman" w:eastAsia="Times New Roman" w:hAnsi="Times New Roman"/>
          <w:b/>
          <w:bCs/>
          <w:color w:val="262626"/>
          <w:sz w:val="24"/>
          <w:szCs w:val="24"/>
        </w:rPr>
        <w:t xml:space="preserve">Embedded food items in a meal.</w:t>
      </w:r>
      <w:r>
        <w:rPr>
          <w:rFonts w:ascii="Times New Roman" w:cs="Times New Roman" w:eastAsia="Times New Roman" w:hAnsi="Times New Roman"/>
          <w:color w:val="262626"/>
          <w:sz w:val="24"/>
          <w:szCs w:val="24"/>
        </w:rPr>
        <w:t xml:space="preserve"> A meal is always displayed with its items, and the number of items is small. A single read returns the complete meal, while </w:t>
      </w:r>
      <w:r>
        <w:rPr>
          <w:rFonts w:ascii="Courier New" w:cs="Courier New" w:eastAsia="Courier New" w:hAnsi="Courier New"/>
          <w:color w:val="1B7A7A"/>
          <w:sz w:val="21"/>
          <w:szCs w:val="21"/>
        </w:rPr>
        <w:t xml:space="preserve">$unwind</w:t>
      </w:r>
      <w:r>
        <w:rPr>
          <w:rFonts w:ascii="Times New Roman" w:cs="Times New Roman" w:eastAsia="Times New Roman" w:hAnsi="Times New Roman"/>
          <w:color w:val="262626"/>
          <w:sz w:val="24"/>
          <w:szCs w:val="24"/>
        </w:rPr>
        <w:t xml:space="preserve"> still allows item-level analysis.</w:t>
      </w:r>
    </w:p>
    <w:p>
      <w:pPr>
        <w:pStyle w:val="ListParagraph"/>
        <w:numPr>
          <w:ilvl w:val="0"/>
          <w:numId w:val="2"/>
        </w:numPr>
        <w:spacing w:after="80" w:line="312"/>
        <w:jc w:val="both"/>
      </w:pPr>
      <w:r>
        <w:rPr>
          <w:rFonts w:ascii="Times New Roman" w:cs="Times New Roman" w:eastAsia="Times New Roman" w:hAnsi="Times New Roman"/>
          <w:b/>
          <w:bCs/>
          <w:color w:val="262626"/>
          <w:sz w:val="24"/>
          <w:szCs w:val="24"/>
        </w:rPr>
        <w:t xml:space="preserve">Embedded milestones in a goal.</w:t>
      </w:r>
      <w:r>
        <w:rPr>
          <w:rFonts w:ascii="Times New Roman" w:cs="Times New Roman" w:eastAsia="Times New Roman" w:hAnsi="Times New Roman"/>
          <w:color w:val="262626"/>
          <w:sz w:val="24"/>
          <w:szCs w:val="24"/>
        </w:rPr>
        <w:t xml:space="preserve"> Progress is derived from the milestones, so keeping them in the same document makes a milestone update atomic.</w:t>
      </w:r>
    </w:p>
    <w:p>
      <w:pPr>
        <w:pStyle w:val="ListParagraph"/>
        <w:numPr>
          <w:ilvl w:val="0"/>
          <w:numId w:val="2"/>
        </w:numPr>
        <w:spacing w:after="80" w:line="312"/>
        <w:jc w:val="both"/>
      </w:pPr>
      <w:r>
        <w:rPr>
          <w:rFonts w:ascii="Times New Roman" w:cs="Times New Roman" w:eastAsia="Times New Roman" w:hAnsi="Times New Roman"/>
          <w:b/>
          <w:bCs/>
          <w:color w:val="262626"/>
          <w:sz w:val="24"/>
          <w:szCs w:val="24"/>
        </w:rPr>
        <w:t xml:space="preserve">Separate time-series collections.</w:t>
      </w:r>
      <w:r>
        <w:rPr>
          <w:rFonts w:ascii="Times New Roman" w:cs="Times New Roman" w:eastAsia="Times New Roman" w:hAnsi="Times New Roman"/>
          <w:color w:val="262626"/>
          <w:sz w:val="24"/>
          <w:szCs w:val="24"/>
        </w:rPr>
        <w:t xml:space="preserve"> Health and nutrition logs grow without limit. Storing them inside the user document would eventually exceed the 16 MB document limit, so they are kept in their own collections and indexed by user and date.</w:t>
      </w:r>
    </w:p>
    <w:p>
      <w:pPr>
        <w:pStyle w:val="ListParagraph"/>
        <w:numPr>
          <w:ilvl w:val="0"/>
          <w:numId w:val="2"/>
        </w:numPr>
        <w:spacing w:after="80" w:line="312"/>
        <w:jc w:val="both"/>
      </w:pPr>
      <w:r>
        <w:rPr>
          <w:rFonts w:ascii="Times New Roman" w:cs="Times New Roman" w:eastAsia="Times New Roman" w:hAnsi="Times New Roman"/>
          <w:b/>
          <w:bCs/>
          <w:color w:val="262626"/>
          <w:sz w:val="24"/>
          <w:szCs w:val="24"/>
        </w:rPr>
        <w:t xml:space="preserve">Schema-less metadata.</w:t>
      </w:r>
      <w:r>
        <w:rPr>
          <w:rFonts w:ascii="Times New Roman" w:cs="Times New Roman" w:eastAsia="Times New Roman" w:hAnsi="Times New Roman"/>
          <w:color w:val="262626"/>
          <w:sz w:val="24"/>
          <w:szCs w:val="24"/>
        </w:rPr>
        <w:t xml:space="preserve"> Fields extracted from an identity card differ from those of an insurance policy. A flexible field stores both without schema migration, which a fixed relational table cannot do.</w:t>
      </w:r>
    </w:p>
    <w:p>
      <w:pPr>
        <w:pStyle w:val="Heading2"/>
      </w:pPr>
      <w:r>
        <w:rPr>
          <w:rFonts w:ascii="Times New Roman" w:cs="Times New Roman" w:eastAsia="Times New Roman" w:hAnsi="Times New Roman"/>
        </w:rPr>
        <w:t xml:space="preserve">5.3 Indexing Strategy</w:t>
      </w:r>
    </w:p>
    <w:p>
      <w:pPr>
        <w:spacing w:after="140" w:line="324"/>
        <w:jc w:val="both"/>
      </w:pPr>
      <w:r>
        <w:rPr>
          <w:rFonts w:ascii="Times New Roman" w:cs="Times New Roman" w:eastAsia="Times New Roman" w:hAnsi="Times New Roman"/>
          <w:color w:val="262626"/>
          <w:sz w:val="24"/>
          <w:szCs w:val="24"/>
        </w:rPr>
        <w:t xml:space="preserve">Indexes were chosen from the access patterns of the application. The compound index </w:t>
      </w:r>
      <w:r>
        <w:rPr>
          <w:rFonts w:ascii="Courier New" w:cs="Courier New" w:eastAsia="Courier New" w:hAnsi="Courier New"/>
          <w:color w:val="1B7A7A"/>
          <w:sz w:val="21"/>
          <w:szCs w:val="21"/>
        </w:rPr>
        <w:t xml:space="preserve">{user: 1, date: -1}</w:t>
      </w:r>
      <w:r>
        <w:rPr>
          <w:rFonts w:ascii="Times New Roman" w:cs="Times New Roman" w:eastAsia="Times New Roman" w:hAnsi="Times New Roman"/>
          <w:color w:val="262626"/>
          <w:sz w:val="24"/>
          <w:szCs w:val="24"/>
        </w:rPr>
        <w:t xml:space="preserve"> follows the equality–sort–range rule: the equality condition on </w:t>
      </w:r>
      <w:r>
        <w:rPr>
          <w:rFonts w:ascii="Courier New" w:cs="Courier New" w:eastAsia="Courier New" w:hAnsi="Courier New"/>
          <w:color w:val="1B7A7A"/>
          <w:sz w:val="21"/>
          <w:szCs w:val="21"/>
        </w:rPr>
        <w:t xml:space="preserve">user</w:t>
      </w:r>
      <w:r>
        <w:rPr>
          <w:rFonts w:ascii="Times New Roman" w:cs="Times New Roman" w:eastAsia="Times New Roman" w:hAnsi="Times New Roman"/>
          <w:color w:val="262626"/>
          <w:sz w:val="24"/>
          <w:szCs w:val="24"/>
        </w:rPr>
        <w:t xml:space="preserve"> comes first, followed by the field used for sorting and range filtering. The unique index on </w:t>
      </w:r>
      <w:r>
        <w:rPr>
          <w:rFonts w:ascii="Courier New" w:cs="Courier New" w:eastAsia="Courier New" w:hAnsi="Courier New"/>
          <w:color w:val="1B7A7A"/>
          <w:sz w:val="21"/>
          <w:szCs w:val="21"/>
        </w:rPr>
        <w:t xml:space="preserve">email</w:t>
      </w:r>
      <w:r>
        <w:rPr>
          <w:rFonts w:ascii="Times New Roman" w:cs="Times New Roman" w:eastAsia="Times New Roman" w:hAnsi="Times New Roman"/>
          <w:color w:val="262626"/>
          <w:sz w:val="24"/>
          <w:szCs w:val="24"/>
        </w:rPr>
        <w:t xml:space="preserve"> supports login and prevents duplicate accounts, and the text index on </w:t>
      </w:r>
      <w:r>
        <w:rPr>
          <w:rFonts w:ascii="Courier New" w:cs="Courier New" w:eastAsia="Courier New" w:hAnsi="Courier New"/>
          <w:color w:val="1B7A7A"/>
          <w:sz w:val="21"/>
          <w:szCs w:val="21"/>
        </w:rPr>
        <w:t xml:space="preserve">documents</w:t>
      </w:r>
      <w:r>
        <w:rPr>
          <w:rFonts w:ascii="Times New Roman" w:cs="Times New Roman" w:eastAsia="Times New Roman" w:hAnsi="Times New Roman"/>
          <w:color w:val="262626"/>
          <w:sz w:val="24"/>
          <w:szCs w:val="24"/>
        </w:rPr>
        <w:t xml:space="preserve"> enables keyword search ranked by relevance. The effect of indexing is verified with the Explain Plan in Section 7.</w:t>
      </w:r>
    </w:p>
    <w:p>
      <w:pPr>
        <w:pStyle w:val="Heading2"/>
      </w:pPr>
      <w:r>
        <w:rPr>
          <w:rFonts w:ascii="Times New Roman" w:cs="Times New Roman" w:eastAsia="Times New Roman" w:hAnsi="Times New Roman"/>
        </w:rPr>
        <w:t xml:space="preserve">5.4 Query and Aggregation Design</w:t>
      </w:r>
    </w:p>
    <w:p>
      <w:pPr>
        <w:spacing w:after="140" w:line="324"/>
        <w:jc w:val="both"/>
      </w:pPr>
      <w:r>
        <w:rPr>
          <w:rFonts w:ascii="Times New Roman" w:cs="Times New Roman" w:eastAsia="Times New Roman" w:hAnsi="Times New Roman"/>
          <w:color w:val="262626"/>
          <w:sz w:val="24"/>
          <w:szCs w:val="24"/>
        </w:rPr>
        <w:t xml:space="preserve">Seven representative queries were designed to cover the database features used by the application. Each corresponds to a screen of the application and is demonstrated in Section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700"/>
        <w:gridCol w:w="1900"/>
        <w:gridCol w:w="2726"/>
      </w:tblGrid>
      <w:tr>
        <w:trPr>
          <w:tblHeader/>
        </w:trPr>
        <w:tc>
          <w:tcPr>
            <w:tcW w:type="dxa" w:w="7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color w:val="FFFFFF"/>
                <w:sz w:val="21"/>
                <w:szCs w:val="21"/>
              </w:rPr>
              <w:t xml:space="preserve">No.</w:t>
            </w:r>
          </w:p>
        </w:tc>
        <w:tc>
          <w:tcPr>
            <w:tcW w:type="dxa" w:w="37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Question answered</w:t>
            </w:r>
          </w:p>
        </w:tc>
        <w:tc>
          <w:tcPr>
            <w:tcW w:type="dxa" w:w="19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Collection</w:t>
            </w:r>
          </w:p>
        </w:tc>
        <w:tc>
          <w:tcPr>
            <w:tcW w:type="dxa" w:w="2726"/>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Technique</w:t>
            </w:r>
          </w:p>
        </w:tc>
      </w:tr>
      <w:tr>
        <w:trPr>
          <w:cantSplit/>
        </w:trPr>
        <w:tc>
          <w:tcPr>
            <w:tcW w:type="dxa" w:w="7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Q1</w:t>
            </w:r>
          </w:p>
        </w:tc>
        <w:tc>
          <w:tcPr>
            <w:tcW w:type="dxa" w:w="37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Which logs show less than six hours of sleep?</w:t>
            </w:r>
          </w:p>
        </w:tc>
        <w:tc>
          <w:tcPr>
            <w:tcW w:type="dxa" w:w="19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healthmetrics</w:t>
            </w:r>
          </w:p>
        </w:tc>
        <w:tc>
          <w:tcPr>
            <w:tcW w:type="dxa" w:w="272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$match</w:t>
            </w:r>
            <w:r>
              <w:rPr>
                <w:rFonts w:ascii="Times New Roman" w:cs="Times New Roman" w:eastAsia="Times New Roman" w:hAnsi="Times New Roman"/>
                <w:color w:val="262626"/>
                <w:sz w:val="21"/>
                <w:szCs w:val="21"/>
              </w:rPr>
              <w:t xml:space="preserve"> with </w:t>
            </w:r>
            <w:r>
              <w:rPr>
                <w:rFonts w:ascii="Courier New" w:cs="Courier New" w:eastAsia="Courier New" w:hAnsi="Courier New"/>
                <w:color w:val="1B7A7A"/>
                <w:sz w:val="18"/>
                <w:szCs w:val="18"/>
              </w:rPr>
              <w:t xml:space="preserve">$lt</w:t>
            </w:r>
            <w:r>
              <w:rPr>
                <w:rFonts w:ascii="Times New Roman" w:cs="Times New Roman" w:eastAsia="Times New Roman" w:hAnsi="Times New Roman"/>
                <w:color w:val="262626"/>
                <w:sz w:val="21"/>
                <w:szCs w:val="21"/>
              </w:rPr>
              <w:t xml:space="preserve">, </w:t>
            </w:r>
            <w:r>
              <w:rPr>
                <w:rFonts w:ascii="Courier New" w:cs="Courier New" w:eastAsia="Courier New" w:hAnsi="Courier New"/>
                <w:color w:val="1B7A7A"/>
                <w:sz w:val="18"/>
                <w:szCs w:val="18"/>
              </w:rPr>
              <w:t xml:space="preserve">$project</w:t>
            </w:r>
            <w:r>
              <w:rPr>
                <w:rFonts w:ascii="Times New Roman" w:cs="Times New Roman" w:eastAsia="Times New Roman" w:hAnsi="Times New Roman"/>
                <w:color w:val="262626"/>
                <w:sz w:val="21"/>
                <w:szCs w:val="21"/>
              </w:rPr>
              <w:t xml:space="preserve">, </w:t>
            </w:r>
            <w:r>
              <w:rPr>
                <w:rFonts w:ascii="Courier New" w:cs="Courier New" w:eastAsia="Courier New" w:hAnsi="Courier New"/>
                <w:color w:val="1B7A7A"/>
                <w:sz w:val="18"/>
                <w:szCs w:val="18"/>
              </w:rPr>
              <w:t xml:space="preserve">$sort</w:t>
            </w:r>
          </w:p>
        </w:tc>
      </w:tr>
      <w:tr>
        <w:trPr>
          <w:cantSplit/>
        </w:trPr>
        <w:tc>
          <w:tcPr>
            <w:tcW w:type="dxa" w:w="7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Q2</w:t>
            </w:r>
          </w:p>
        </w:tc>
        <w:tc>
          <w:tcPr>
            <w:tcW w:type="dxa" w:w="37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How do steps and heart rate vary with sleep quality?</w:t>
            </w:r>
          </w:p>
        </w:tc>
        <w:tc>
          <w:tcPr>
            <w:tcW w:type="dxa" w:w="19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healthmetrics</w:t>
            </w:r>
          </w:p>
        </w:tc>
        <w:tc>
          <w:tcPr>
            <w:tcW w:type="dxa" w:w="272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$group</w:t>
            </w:r>
            <w:r>
              <w:rPr>
                <w:rFonts w:ascii="Times New Roman" w:cs="Times New Roman" w:eastAsia="Times New Roman" w:hAnsi="Times New Roman"/>
                <w:color w:val="262626"/>
                <w:sz w:val="21"/>
                <w:szCs w:val="21"/>
              </w:rPr>
              <w:t xml:space="preserve"> with </w:t>
            </w:r>
            <w:r>
              <w:rPr>
                <w:rFonts w:ascii="Courier New" w:cs="Courier New" w:eastAsia="Courier New" w:hAnsi="Courier New"/>
                <w:color w:val="1B7A7A"/>
                <w:sz w:val="18"/>
                <w:szCs w:val="18"/>
              </w:rPr>
              <w:t xml:space="preserve">$avg</w:t>
            </w:r>
          </w:p>
        </w:tc>
      </w:tr>
      <w:tr>
        <w:trPr>
          <w:cantSplit/>
        </w:trPr>
        <w:tc>
          <w:tcPr>
            <w:tcW w:type="dxa" w:w="7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Q3</w:t>
            </w:r>
          </w:p>
        </w:tc>
        <w:tc>
          <w:tcPr>
            <w:tcW w:type="dxa" w:w="37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Which foods are eaten most often?</w:t>
            </w:r>
          </w:p>
        </w:tc>
        <w:tc>
          <w:tcPr>
            <w:tcW w:type="dxa" w:w="19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nutritionlogs</w:t>
            </w:r>
          </w:p>
        </w:tc>
        <w:tc>
          <w:tcPr>
            <w:tcW w:type="dxa" w:w="272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$unwind</w:t>
            </w:r>
            <w:r>
              <w:rPr>
                <w:rFonts w:ascii="Times New Roman" w:cs="Times New Roman" w:eastAsia="Times New Roman" w:hAnsi="Times New Roman"/>
                <w:color w:val="262626"/>
                <w:sz w:val="21"/>
                <w:szCs w:val="21"/>
              </w:rPr>
              <w:t xml:space="preserve"> on embedded array</w:t>
            </w:r>
          </w:p>
        </w:tc>
      </w:tr>
      <w:tr>
        <w:trPr>
          <w:cantSplit/>
        </w:trPr>
        <w:tc>
          <w:tcPr>
            <w:tcW w:type="dxa" w:w="7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Q4</w:t>
            </w:r>
          </w:p>
        </w:tc>
        <w:tc>
          <w:tcPr>
            <w:tcW w:type="dxa" w:w="37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Who owns each goal and how far has it progressed?</w:t>
            </w:r>
          </w:p>
        </w:tc>
        <w:tc>
          <w:tcPr>
            <w:tcW w:type="dxa" w:w="19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academicgoals, users</w:t>
            </w:r>
          </w:p>
        </w:tc>
        <w:tc>
          <w:tcPr>
            <w:tcW w:type="dxa" w:w="272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$lookup</w:t>
            </w:r>
            <w:r>
              <w:rPr>
                <w:rFonts w:ascii="Times New Roman" w:cs="Times New Roman" w:eastAsia="Times New Roman" w:hAnsi="Times New Roman"/>
                <w:color w:val="262626"/>
                <w:sz w:val="21"/>
                <w:szCs w:val="21"/>
              </w:rPr>
              <w:t xml:space="preserve"> join</w:t>
            </w:r>
          </w:p>
        </w:tc>
      </w:tr>
      <w:tr>
        <w:trPr>
          <w:cantSplit/>
        </w:trPr>
        <w:tc>
          <w:tcPr>
            <w:tcW w:type="dxa" w:w="7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Q5</w:t>
            </w:r>
          </w:p>
        </w:tc>
        <w:tc>
          <w:tcPr>
            <w:tcW w:type="dxa" w:w="37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Which documents mention “insurance”?</w:t>
            </w:r>
          </w:p>
        </w:tc>
        <w:tc>
          <w:tcPr>
            <w:tcW w:type="dxa" w:w="19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documents</w:t>
            </w:r>
          </w:p>
        </w:tc>
        <w:tc>
          <w:tcPr>
            <w:tcW w:type="dxa" w:w="272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$text</w:t>
            </w:r>
            <w:r>
              <w:rPr>
                <w:rFonts w:ascii="Times New Roman" w:cs="Times New Roman" w:eastAsia="Times New Roman" w:hAnsi="Times New Roman"/>
                <w:color w:val="262626"/>
                <w:sz w:val="21"/>
                <w:szCs w:val="21"/>
              </w:rPr>
              <w:t xml:space="preserve"> with </w:t>
            </w:r>
            <w:r>
              <w:rPr>
                <w:rFonts w:ascii="Courier New" w:cs="Courier New" w:eastAsia="Courier New" w:hAnsi="Courier New"/>
                <w:color w:val="1B7A7A"/>
                <w:sz w:val="18"/>
                <w:szCs w:val="18"/>
              </w:rPr>
              <w:t xml:space="preserve">textScore</w:t>
            </w:r>
          </w:p>
        </w:tc>
      </w:tr>
      <w:tr>
        <w:trPr>
          <w:cantSplit/>
        </w:trPr>
        <w:tc>
          <w:tcPr>
            <w:tcW w:type="dxa" w:w="7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Q6</w:t>
            </w:r>
          </w:p>
        </w:tc>
        <w:tc>
          <w:tcPr>
            <w:tcW w:type="dxa" w:w="37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How many milestones of a goal are complete?</w:t>
            </w:r>
          </w:p>
        </w:tc>
        <w:tc>
          <w:tcPr>
            <w:tcW w:type="dxa" w:w="19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academicgoals</w:t>
            </w:r>
          </w:p>
        </w:tc>
        <w:tc>
          <w:tcPr>
            <w:tcW w:type="dxa" w:w="272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$filter</w:t>
            </w:r>
            <w:r>
              <w:rPr>
                <w:rFonts w:ascii="Times New Roman" w:cs="Times New Roman" w:eastAsia="Times New Roman" w:hAnsi="Times New Roman"/>
                <w:color w:val="262626"/>
                <w:sz w:val="21"/>
                <w:szCs w:val="21"/>
              </w:rPr>
              <w:t xml:space="preserve"> and </w:t>
            </w:r>
            <w:r>
              <w:rPr>
                <w:rFonts w:ascii="Courier New" w:cs="Courier New" w:eastAsia="Courier New" w:hAnsi="Courier New"/>
                <w:color w:val="1B7A7A"/>
                <w:sz w:val="18"/>
                <w:szCs w:val="18"/>
              </w:rPr>
              <w:t xml:space="preserve">$size</w:t>
            </w:r>
            <w:r>
              <w:rPr>
                <w:rFonts w:ascii="Times New Roman" w:cs="Times New Roman" w:eastAsia="Times New Roman" w:hAnsi="Times New Roman"/>
                <w:color w:val="262626"/>
                <w:sz w:val="21"/>
                <w:szCs w:val="21"/>
              </w:rPr>
              <w:t xml:space="preserve"> on array</w:t>
            </w:r>
          </w:p>
        </w:tc>
      </w:tr>
      <w:tr>
        <w:trPr>
          <w:cantSplit/>
        </w:trPr>
        <w:tc>
          <w:tcPr>
            <w:tcW w:type="dxa" w:w="7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Q7</w:t>
            </w:r>
          </w:p>
        </w:tc>
        <w:tc>
          <w:tcPr>
            <w:tcW w:type="dxa" w:w="37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How many goals are in each status?</w:t>
            </w:r>
          </w:p>
        </w:tc>
        <w:tc>
          <w:tcPr>
            <w:tcW w:type="dxa" w:w="19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academicgoals</w:t>
            </w:r>
          </w:p>
        </w:tc>
        <w:tc>
          <w:tcPr>
            <w:tcW w:type="dxa" w:w="272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$group</w:t>
            </w:r>
            <w:r>
              <w:rPr>
                <w:rFonts w:ascii="Times New Roman" w:cs="Times New Roman" w:eastAsia="Times New Roman" w:hAnsi="Times New Roman"/>
                <w:color w:val="262626"/>
                <w:sz w:val="21"/>
                <w:szCs w:val="21"/>
              </w:rPr>
              <w:t xml:space="preserve"> with </w:t>
            </w:r>
            <w:r>
              <w:rPr>
                <w:rFonts w:ascii="Courier New" w:cs="Courier New" w:eastAsia="Courier New" w:hAnsi="Courier New"/>
                <w:color w:val="1B7A7A"/>
                <w:sz w:val="18"/>
                <w:szCs w:val="18"/>
              </w:rPr>
              <w:t xml:space="preserve">$sum</w:t>
            </w:r>
            <w:r>
              <w:rPr>
                <w:rFonts w:ascii="Times New Roman" w:cs="Times New Roman" w:eastAsia="Times New Roman" w:hAnsi="Times New Roman"/>
                <w:color w:val="262626"/>
                <w:sz w:val="21"/>
                <w:szCs w:val="21"/>
              </w:rPr>
              <w:t xml:space="preserve"> and </w:t>
            </w:r>
            <w:r>
              <w:rPr>
                <w:rFonts w:ascii="Courier New" w:cs="Courier New" w:eastAsia="Courier New" w:hAnsi="Courier New"/>
                <w:color w:val="1B7A7A"/>
                <w:sz w:val="18"/>
                <w:szCs w:val="18"/>
              </w:rPr>
              <w:t xml:space="preserve">$avg</w:t>
            </w:r>
          </w:p>
        </w:tc>
      </w:tr>
    </w:tbl>
    <w:p>
      <w:pPr>
        <w:spacing w:after="200" w:before="80"/>
        <w:jc w:val="center"/>
      </w:pPr>
      <w:r>
        <w:rPr>
          <w:rFonts w:ascii="Times New Roman" w:cs="Times New Roman" w:eastAsia="Times New Roman" w:hAnsi="Times New Roman"/>
          <w:i/>
          <w:iCs/>
          <w:color w:val="2E5C8A"/>
          <w:sz w:val="21"/>
          <w:szCs w:val="21"/>
        </w:rPr>
        <w:t xml:space="preserve">Table 3. Representative queries</w:t>
      </w:r>
    </w:p>
    <w:p>
      <w:pPr>
        <w:pStyle w:val="Heading2"/>
      </w:pPr>
      <w:r>
        <w:rPr>
          <w:rFonts w:ascii="Times New Roman" w:cs="Times New Roman" w:eastAsia="Times New Roman" w:hAnsi="Times New Roman"/>
        </w:rPr>
        <w:t xml:space="preserve">5.5 AI Agent with Confirmed Actions</w:t>
      </w:r>
    </w:p>
    <w:p>
      <w:pPr>
        <w:spacing w:after="140" w:line="324"/>
        <w:jc w:val="both"/>
      </w:pPr>
      <w:r>
        <w:rPr>
          <w:rFonts w:ascii="Times New Roman" w:cs="Times New Roman" w:eastAsia="Times New Roman" w:hAnsi="Times New Roman"/>
          <w:color w:val="262626"/>
          <w:sz w:val="24"/>
          <w:szCs w:val="24"/>
        </w:rPr>
        <w:t xml:space="preserve">The assistant uses the Gemini </w:t>
      </w:r>
      <w:r>
        <w:rPr>
          <w:rFonts w:ascii="Courier New" w:cs="Courier New" w:eastAsia="Courier New" w:hAnsi="Courier New"/>
          <w:color w:val="1B7A7A"/>
          <w:sz w:val="21"/>
          <w:szCs w:val="21"/>
        </w:rPr>
        <w:t xml:space="preserve">generateContent</w:t>
      </w:r>
      <w:r>
        <w:rPr>
          <w:rFonts w:ascii="Times New Roman" w:cs="Times New Roman" w:eastAsia="Times New Roman" w:hAnsi="Times New Roman"/>
          <w:color w:val="262626"/>
          <w:sz w:val="24"/>
          <w:szCs w:val="24"/>
        </w:rPr>
        <w:t xml:space="preserve"> interface with function calling over twelve tools. Five tools only read data (overview, health logs, meals, goals and document search) and seven propose changes (logging a meal or health entry, creating or updating a goal, adding milestones, completing a milestone and setting nutrition goals). A write tool never modifies data directly. Instead, it stores a document with status </w:t>
      </w:r>
      <w:r>
        <w:rPr>
          <w:rFonts w:ascii="Courier New" w:cs="Courier New" w:eastAsia="Courier New" w:hAnsi="Courier New"/>
          <w:color w:val="1B7A7A"/>
          <w:sz w:val="21"/>
          <w:szCs w:val="21"/>
        </w:rPr>
        <w:t xml:space="preserve">pending</w:t>
      </w:r>
      <w:r>
        <w:rPr>
          <w:rFonts w:ascii="Times New Roman" w:cs="Times New Roman" w:eastAsia="Times New Roman" w:hAnsi="Times New Roman"/>
          <w:color w:val="262626"/>
          <w:sz w:val="24"/>
          <w:szCs w:val="24"/>
        </w:rPr>
        <w:t xml:space="preserve"> in the </w:t>
      </w:r>
      <w:r>
        <w:rPr>
          <w:rFonts w:ascii="Courier New" w:cs="Courier New" w:eastAsia="Courier New" w:hAnsi="Courier New"/>
          <w:color w:val="1B7A7A"/>
          <w:sz w:val="21"/>
          <w:szCs w:val="21"/>
        </w:rPr>
        <w:t xml:space="preserve">agentactions</w:t>
      </w:r>
      <w:r>
        <w:rPr>
          <w:rFonts w:ascii="Times New Roman" w:cs="Times New Roman" w:eastAsia="Times New Roman" w:hAnsi="Times New Roman"/>
          <w:color w:val="262626"/>
          <w:sz w:val="24"/>
          <w:szCs w:val="24"/>
        </w:rPr>
        <w:t xml:space="preserve"> collection, and the chat interface displays a Confirm or Cancel card.</w:t>
      </w:r>
    </w:p>
    <w:p>
      <w:pPr>
        <w:spacing w:after="140" w:line="324"/>
        <w:jc w:val="both"/>
      </w:pPr>
      <w:r>
        <w:rPr>
          <w:rFonts w:ascii="Times New Roman" w:cs="Times New Roman" w:eastAsia="Times New Roman" w:hAnsi="Times New Roman"/>
          <w:color w:val="262626"/>
          <w:sz w:val="24"/>
          <w:szCs w:val="24"/>
        </w:rPr>
        <w:t xml:space="preserve">When the user confirms, the server claims the action with an atomic </w:t>
      </w:r>
      <w:r>
        <w:rPr>
          <w:rFonts w:ascii="Courier New" w:cs="Courier New" w:eastAsia="Courier New" w:hAnsi="Courier New"/>
          <w:color w:val="1B7A7A"/>
          <w:sz w:val="21"/>
          <w:szCs w:val="21"/>
        </w:rPr>
        <w:t xml:space="preserve">findOneAndUpdate</w:t>
      </w:r>
      <w:r>
        <w:rPr>
          <w:rFonts w:ascii="Times New Roman" w:cs="Times New Roman" w:eastAsia="Times New Roman" w:hAnsi="Times New Roman"/>
          <w:color w:val="262626"/>
          <w:sz w:val="24"/>
          <w:szCs w:val="24"/>
        </w:rPr>
        <w:t xml:space="preserve"> that changes the status from </w:t>
      </w:r>
      <w:r>
        <w:rPr>
          <w:rFonts w:ascii="Courier New" w:cs="Courier New" w:eastAsia="Courier New" w:hAnsi="Courier New"/>
          <w:color w:val="1B7A7A"/>
          <w:sz w:val="21"/>
          <w:szCs w:val="21"/>
        </w:rPr>
        <w:t xml:space="preserve">pending</w:t>
      </w:r>
      <w:r>
        <w:rPr>
          <w:rFonts w:ascii="Times New Roman" w:cs="Times New Roman" w:eastAsia="Times New Roman" w:hAnsi="Times New Roman"/>
          <w:color w:val="262626"/>
          <w:sz w:val="24"/>
          <w:szCs w:val="24"/>
        </w:rPr>
        <w:t xml:space="preserve"> to </w:t>
      </w:r>
      <w:r>
        <w:rPr>
          <w:rFonts w:ascii="Courier New" w:cs="Courier New" w:eastAsia="Courier New" w:hAnsi="Courier New"/>
          <w:color w:val="1B7A7A"/>
          <w:sz w:val="21"/>
          <w:szCs w:val="21"/>
        </w:rPr>
        <w:t xml:space="preserve">executing</w:t>
      </w:r>
      <w:r>
        <w:rPr>
          <w:rFonts w:ascii="Times New Roman" w:cs="Times New Roman" w:eastAsia="Times New Roman" w:hAnsi="Times New Roman"/>
          <w:color w:val="262626"/>
          <w:sz w:val="24"/>
          <w:szCs w:val="24"/>
        </w:rPr>
        <w:t xml:space="preserve">, so a double click cannot run the action twice. Actions older than 24 hours expire. When no Gemini key is configured, the assistant falls back to rule-based answers, so the application remains usable.</w:t>
      </w:r>
    </w:p>
    <w:p>
      <w:pPr>
        <w:pStyle w:val="Heading2"/>
      </w:pPr>
      <w:r>
        <w:rPr>
          <w:rFonts w:ascii="Times New Roman" w:cs="Times New Roman" w:eastAsia="Times New Roman" w:hAnsi="Times New Roman"/>
        </w:rPr>
        <w:t xml:space="preserve">5.6 Security</w:t>
      </w:r>
    </w:p>
    <w:p>
      <w:pPr>
        <w:pStyle w:val="ListParagraph"/>
        <w:numPr>
          <w:ilvl w:val="0"/>
          <w:numId w:val="2"/>
        </w:numPr>
        <w:spacing w:after="80" w:line="312"/>
        <w:jc w:val="both"/>
      </w:pPr>
      <w:r>
        <w:rPr>
          <w:rFonts w:ascii="Times New Roman" w:cs="Times New Roman" w:eastAsia="Times New Roman" w:hAnsi="Times New Roman"/>
          <w:color w:val="262626"/>
          <w:sz w:val="24"/>
          <w:szCs w:val="24"/>
        </w:rPr>
        <w:t xml:space="preserve">Passwords are hashed with bcrypt, and sessions use signed JWTs whose secret is kept in an environment file that is excluded from version control.</w:t>
      </w:r>
    </w:p>
    <w:p>
      <w:pPr>
        <w:pStyle w:val="ListParagraph"/>
        <w:numPr>
          <w:ilvl w:val="0"/>
          <w:numId w:val="2"/>
        </w:numPr>
        <w:spacing w:after="80" w:line="312"/>
        <w:jc w:val="both"/>
      </w:pPr>
      <w:r>
        <w:rPr>
          <w:rFonts w:ascii="Times New Roman" w:cs="Times New Roman" w:eastAsia="Times New Roman" w:hAnsi="Times New Roman"/>
          <w:color w:val="262626"/>
          <w:sz w:val="24"/>
          <w:szCs w:val="24"/>
        </w:rPr>
        <w:t xml:space="preserve">Uploaded files are not served publicly. They are streamed through an endpoint that verifies that the requester owns the document.</w:t>
      </w:r>
    </w:p>
    <w:p>
      <w:pPr>
        <w:pStyle w:val="ListParagraph"/>
        <w:numPr>
          <w:ilvl w:val="0"/>
          <w:numId w:val="2"/>
        </w:numPr>
        <w:spacing w:after="80" w:line="312"/>
        <w:jc w:val="both"/>
      </w:pPr>
      <w:r>
        <w:rPr>
          <w:rFonts w:ascii="Times New Roman" w:cs="Times New Roman" w:eastAsia="Times New Roman" w:hAnsi="Times New Roman"/>
          <w:color w:val="262626"/>
          <w:sz w:val="24"/>
          <w:szCs w:val="24"/>
        </w:rPr>
        <w:t xml:space="preserve">Cross-origin requests are limited to the configured client address, and request bodies are limited to 1 MB.</w:t>
      </w:r>
    </w:p>
    <w:p>
      <w:pPr>
        <w:pStyle w:val="Heading1"/>
      </w:pPr>
      <w:r>
        <w:rPr>
          <w:rFonts w:ascii="Times New Roman" w:cs="Times New Roman" w:eastAsia="Times New Roman" w:hAnsi="Times New Roman"/>
        </w:rPr>
        <w:t xml:space="preserve">6. Implementation</w:t>
      </w:r>
    </w:p>
    <w:p>
      <w:pPr>
        <w:pStyle w:val="Heading2"/>
      </w:pPr>
      <w:r>
        <w:rPr>
          <w:rFonts w:ascii="Times New Roman" w:cs="Times New Roman" w:eastAsia="Times New Roman" w:hAnsi="Times New Roman"/>
        </w:rPr>
        <w:t xml:space="preserve">6.1 Back End</w:t>
      </w:r>
    </w:p>
    <w:p>
      <w:pPr>
        <w:spacing w:after="140" w:line="324"/>
        <w:jc w:val="both"/>
      </w:pPr>
      <w:r>
        <w:rPr>
          <w:rFonts w:ascii="Times New Roman" w:cs="Times New Roman" w:eastAsia="Times New Roman" w:hAnsi="Times New Roman"/>
          <w:color w:val="262626"/>
          <w:sz w:val="24"/>
          <w:szCs w:val="24"/>
        </w:rPr>
        <w:t xml:space="preserve">The back end is an Express 4 application on Node.js that uses Mongoose 8 for schema definition and validation. It exposes eleven route modules under </w:t>
      </w:r>
      <w:r>
        <w:rPr>
          <w:rFonts w:ascii="Courier New" w:cs="Courier New" w:eastAsia="Courier New" w:hAnsi="Courier New"/>
          <w:color w:val="1B7A7A"/>
          <w:sz w:val="21"/>
          <w:szCs w:val="21"/>
        </w:rPr>
        <w:t xml:space="preserve">/api</w:t>
      </w:r>
      <w:r>
        <w:rPr>
          <w:rFonts w:ascii="Times New Roman" w:cs="Times New Roman" w:eastAsia="Times New Roman" w:hAnsi="Times New Roman"/>
          <w:color w:val="262626"/>
          <w:sz w:val="24"/>
          <w:szCs w:val="24"/>
        </w:rPr>
        <w:t xml:space="preserve">: authentication, dashboard, health, nutrition, goals, academic, documents, chat, digital twin, profile and agent. Schema validation enforces required fields, enumerations such as meal type and goal status, numeric ranges on progress, and unique e-mail addresses. An insights module averages sleep, steps, water and macronutrients against the user’s goals, detects overdue and at-risk goals and expiring documents, and combines these signals into the wellness score. A central error handler converts upload-size errors, invalid identifiers and unknown routes into clear HTTP responses.</w:t>
      </w:r>
    </w:p>
    <w:p>
      <w:pPr>
        <w:pStyle w:val="Heading2"/>
      </w:pPr>
      <w:r>
        <w:rPr>
          <w:rFonts w:ascii="Times New Roman" w:cs="Times New Roman" w:eastAsia="Times New Roman" w:hAnsi="Times New Roman"/>
        </w:rPr>
        <w:t xml:space="preserve">6.2 Front End</w:t>
      </w:r>
    </w:p>
    <w:p>
      <w:pPr>
        <w:spacing w:after="140" w:line="324"/>
        <w:jc w:val="both"/>
      </w:pPr>
      <w:r>
        <w:rPr>
          <w:rFonts w:ascii="Times New Roman" w:cs="Times New Roman" w:eastAsia="Times New Roman" w:hAnsi="Times New Roman"/>
          <w:color w:val="262626"/>
          <w:sz w:val="24"/>
          <w:szCs w:val="24"/>
        </w:rPr>
        <w:t xml:space="preserve">The front end is a React 19 single-page application with nine pages: Dashboard, Health, Nutrition, Academic, Documents, AI Twin, Profile, Login and Register. Charts are drawn as hand-written SVG without an external charting library. The interface supports light and dark themes and a responsive layout down to a 375-pixel screen width, and it uses skeleton loaders while data is fetched.</w:t>
      </w:r>
    </w:p>
    <w:p>
      <w:pPr>
        <w:pStyle w:val="Heading2"/>
      </w:pPr>
      <w:r>
        <w:rPr>
          <w:rFonts w:ascii="Times New Roman" w:cs="Times New Roman" w:eastAsia="Times New Roman" w:hAnsi="Times New Roman"/>
        </w:rPr>
        <w:t xml:space="preserve">6.3 Sample Dataset</w:t>
      </w:r>
    </w:p>
    <w:p>
      <w:pPr>
        <w:spacing w:after="140" w:line="324"/>
        <w:jc w:val="both"/>
      </w:pPr>
      <w:r>
        <w:rPr>
          <w:rFonts w:ascii="Times New Roman" w:cs="Times New Roman" w:eastAsia="Times New Roman" w:hAnsi="Times New Roman"/>
          <w:color w:val="262626"/>
          <w:sz w:val="24"/>
          <w:szCs w:val="24"/>
        </w:rPr>
        <w:t xml:space="preserve">A seeding script (</w:t>
      </w:r>
      <w:r>
        <w:rPr>
          <w:rFonts w:ascii="Courier New" w:cs="Courier New" w:eastAsia="Courier New" w:hAnsi="Courier New"/>
          <w:color w:val="1B7A7A"/>
          <w:sz w:val="21"/>
          <w:szCs w:val="21"/>
        </w:rPr>
        <w:t xml:space="preserve">backend/scripts/seed.js</w:t>
      </w:r>
      <w:r>
        <w:rPr>
          <w:rFonts w:ascii="Times New Roman" w:cs="Times New Roman" w:eastAsia="Times New Roman" w:hAnsi="Times New Roman"/>
          <w:color w:val="262626"/>
          <w:sz w:val="24"/>
          <w:szCs w:val="24"/>
        </w:rPr>
        <w:t xml:space="preserve">) creates a demonstration student with thirty days of realistic data, including an examination week in which sleep falls below six hours. The script replaces only the demonstration user’s data, so it can be run repeatedly. Table 4 lists the document counts in MongoDB Atlas after seeding (Figure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3"/>
        <w:gridCol w:w="1800"/>
        <w:gridCol w:w="2713"/>
        <w:gridCol w:w="1800"/>
      </w:tblGrid>
      <w:tr>
        <w:trPr>
          <w:tblHeader/>
        </w:trPr>
        <w:tc>
          <w:tcPr>
            <w:tcW w:type="dxa" w:w="2713"/>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Collection</w:t>
            </w:r>
          </w:p>
        </w:tc>
        <w:tc>
          <w:tcPr>
            <w:tcW w:type="dxa" w:w="18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color w:val="FFFFFF"/>
                <w:sz w:val="21"/>
                <w:szCs w:val="21"/>
              </w:rPr>
              <w:t xml:space="preserve">Documents</w:t>
            </w:r>
          </w:p>
        </w:tc>
        <w:tc>
          <w:tcPr>
            <w:tcW w:type="dxa" w:w="2713"/>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Collection</w:t>
            </w:r>
          </w:p>
        </w:tc>
        <w:tc>
          <w:tcPr>
            <w:tcW w:type="dxa" w:w="18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color w:val="FFFFFF"/>
                <w:sz w:val="21"/>
                <w:szCs w:val="21"/>
              </w:rPr>
              <w:t xml:space="preserve">Documents</w:t>
            </w:r>
          </w:p>
        </w:tc>
      </w:tr>
      <w:tr>
        <w:trPr>
          <w:cantSplit/>
        </w:trPr>
        <w:tc>
          <w:tcPr>
            <w:tcW w:type="dxa" w:w="2713"/>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nutritionlogs</w:t>
            </w:r>
          </w:p>
        </w:tc>
        <w:tc>
          <w:tcPr>
            <w:tcW w:type="dxa" w:w="18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116</w:t>
            </w:r>
          </w:p>
        </w:tc>
        <w:tc>
          <w:tcPr>
            <w:tcW w:type="dxa" w:w="2713"/>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documents</w:t>
            </w:r>
          </w:p>
        </w:tc>
        <w:tc>
          <w:tcPr>
            <w:tcW w:type="dxa" w:w="18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8</w:t>
            </w:r>
          </w:p>
        </w:tc>
      </w:tr>
      <w:tr>
        <w:trPr>
          <w:cantSplit/>
        </w:trPr>
        <w:tc>
          <w:tcPr>
            <w:tcW w:type="dxa" w:w="2713"/>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healthmetrics</w:t>
            </w:r>
          </w:p>
        </w:tc>
        <w:tc>
          <w:tcPr>
            <w:tcW w:type="dxa" w:w="18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47</w:t>
            </w:r>
          </w:p>
        </w:tc>
        <w:tc>
          <w:tcPr>
            <w:tcW w:type="dxa" w:w="2713"/>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users</w:t>
            </w:r>
          </w:p>
        </w:tc>
        <w:tc>
          <w:tcPr>
            <w:tcW w:type="dxa" w:w="18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6</w:t>
            </w:r>
          </w:p>
        </w:tc>
      </w:tr>
      <w:tr>
        <w:trPr>
          <w:cantSplit/>
        </w:trPr>
        <w:tc>
          <w:tcPr>
            <w:tcW w:type="dxa" w:w="2713"/>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chatmessages</w:t>
            </w:r>
          </w:p>
        </w:tc>
        <w:tc>
          <w:tcPr>
            <w:tcW w:type="dxa" w:w="18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33</w:t>
            </w:r>
          </w:p>
        </w:tc>
        <w:tc>
          <w:tcPr>
            <w:tcW w:type="dxa" w:w="2713"/>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agentactions</w:t>
            </w:r>
          </w:p>
        </w:tc>
        <w:tc>
          <w:tcPr>
            <w:tcW w:type="dxa" w:w="18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2</w:t>
            </w:r>
          </w:p>
        </w:tc>
      </w:tr>
      <w:tr>
        <w:trPr>
          <w:cantSplit/>
        </w:trPr>
        <w:tc>
          <w:tcPr>
            <w:tcW w:type="dxa" w:w="2713"/>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academicgoals</w:t>
            </w:r>
          </w:p>
        </w:tc>
        <w:tc>
          <w:tcPr>
            <w:tcW w:type="dxa" w:w="18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11</w:t>
            </w:r>
          </w:p>
        </w:tc>
        <w:tc>
          <w:tcPr>
            <w:tcW w:type="dxa" w:w="2713"/>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digitaltwinprofiles</w:t>
            </w:r>
          </w:p>
        </w:tc>
        <w:tc>
          <w:tcPr>
            <w:tcW w:type="dxa" w:w="18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2</w:t>
            </w:r>
          </w:p>
        </w:tc>
      </w:tr>
    </w:tbl>
    <w:p>
      <w:pPr>
        <w:spacing w:after="200" w:before="80"/>
        <w:jc w:val="center"/>
      </w:pPr>
      <w:r>
        <w:rPr>
          <w:rFonts w:ascii="Times New Roman" w:cs="Times New Roman" w:eastAsia="Times New Roman" w:hAnsi="Times New Roman"/>
          <w:i/>
          <w:iCs/>
          <w:color w:val="2E5C8A"/>
          <w:sz w:val="21"/>
          <w:szCs w:val="21"/>
        </w:rPr>
        <w:t xml:space="preserve">Table 4. Document counts after seeding</w:t>
      </w:r>
    </w:p>
    <w:p>
      <w:pPr>
        <w:pStyle w:val="Heading1"/>
      </w:pPr>
      <w:r>
        <w:rPr>
          <w:rFonts w:ascii="Times New Roman" w:cs="Times New Roman" w:eastAsia="Times New Roman" w:hAnsi="Times New Roman"/>
        </w:rPr>
        <w:t xml:space="preserve">7. Results and Demonstration</w:t>
      </w:r>
    </w:p>
    <w:p>
      <w:pPr>
        <w:spacing w:after="140" w:line="324"/>
        <w:jc w:val="both"/>
      </w:pPr>
      <w:r>
        <w:rPr>
          <w:rFonts w:ascii="Times New Roman" w:cs="Times New Roman" w:eastAsia="Times New Roman" w:hAnsi="Times New Roman"/>
          <w:color w:val="262626"/>
          <w:sz w:val="24"/>
          <w:szCs w:val="24"/>
        </w:rPr>
        <w:t xml:space="preserve">All results below were obtained in the MongoDB Atlas web Data Explorer on Cluster0, database </w:t>
      </w:r>
      <w:r>
        <w:rPr>
          <w:rFonts w:ascii="Courier New" w:cs="Courier New" w:eastAsia="Courier New" w:hAnsi="Courier New"/>
          <w:color w:val="1B7A7A"/>
          <w:sz w:val="21"/>
          <w:szCs w:val="21"/>
        </w:rPr>
        <w:t xml:space="preserve">synapse</w:t>
      </w:r>
      <w:r>
        <w:rPr>
          <w:rFonts w:ascii="Times New Roman" w:cs="Times New Roman" w:eastAsia="Times New Roman" w:hAnsi="Times New Roman"/>
          <w:color w:val="262626"/>
          <w:sz w:val="24"/>
          <w:szCs w:val="24"/>
        </w:rPr>
        <w:t xml:space="preserve">. Find queries were entered in the Filter bar, and aggregation pipelines were entered in the Aggregations tab in text mode.</w:t>
      </w:r>
    </w:p>
    <w:p>
      <w:pPr>
        <w:pStyle w:val="Heading2"/>
      </w:pPr>
      <w:r>
        <w:rPr>
          <w:rFonts w:ascii="Times New Roman" w:cs="Times New Roman" w:eastAsia="Times New Roman" w:hAnsi="Times New Roman"/>
        </w:rPr>
        <w:t xml:space="preserve">7.1 Database and Indexes</w:t>
      </w:r>
    </w:p>
    <w:p>
      <w:pPr>
        <w:keepNext/>
        <w:spacing w:after="60" w:before="80"/>
        <w:jc w:val="center"/>
      </w:pPr>
      <w:r>
        <w:drawing>
          <wp:inline distT="0" distB="0" distL="0" distR="0">
            <wp:extent cx="5715000" cy="2390775"/>
            <wp:effectExtent t="0" r="0" b="0" l="0"/>
            <wp:docPr id="1" name="img02.png" descr="Figure 2. The eight collections of the synapse database with document counts" title="Figure 2. The eight collections of the synapse database with document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90775"/>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2. The eight collections of the synapse database with document counts</w:t>
      </w:r>
    </w:p>
    <w:p>
      <w:pPr>
        <w:spacing w:after="140" w:line="324"/>
        <w:jc w:val="both"/>
      </w:pPr>
      <w:r>
        <w:rPr>
          <w:rFonts w:ascii="Times New Roman" w:cs="Times New Roman" w:eastAsia="Times New Roman" w:hAnsi="Times New Roman"/>
          <w:color w:val="262626"/>
          <w:sz w:val="24"/>
          <w:szCs w:val="24"/>
        </w:rPr>
        <w:t xml:space="preserve">The demonstration user (Figure 3) was retrieved with the filter below. The record shows the embedded </w:t>
      </w:r>
      <w:r>
        <w:rPr>
          <w:rFonts w:ascii="Courier New" w:cs="Courier New" w:eastAsia="Courier New" w:hAnsi="Courier New"/>
          <w:color w:val="1B7A7A"/>
          <w:sz w:val="21"/>
          <w:szCs w:val="21"/>
        </w:rPr>
        <w:t xml:space="preserve">nutritionGoals</w:t>
      </w:r>
      <w:r>
        <w:rPr>
          <w:rFonts w:ascii="Times New Roman" w:cs="Times New Roman" w:eastAsia="Times New Roman" w:hAnsi="Times New Roman"/>
          <w:color w:val="262626"/>
          <w:sz w:val="24"/>
          <w:szCs w:val="24"/>
        </w:rPr>
        <w:t xml:space="preserve"> object and a bcrypt hash in place of the plain-text password.</w:t>
      </w:r>
    </w:p>
    <w:p>
      <w:pPr>
        <w:keepNext w:val="false"/>
        <w:keepLines/>
        <w:pBdr>
          <w:left w:val="single" w:color="1B7A7A" w:sz="18" w:space="6"/>
        </w:pBdr>
        <w:shd w:fill="F2F4F7" w:color="auto" w:val="clear"/>
        <w:spacing w:after="160" w:before="60" w:line="252"/>
        <w:ind w:left="200" w:right="120"/>
        <w:jc w:val="left"/>
      </w:pPr>
      <w:r>
        <w:rPr>
          <w:rFonts w:ascii="Courier New" w:cs="Courier New" w:eastAsia="Courier New" w:hAnsi="Courier New"/>
          <w:color w:val="1F2D3D"/>
          <w:sz w:val="18"/>
          <w:szCs w:val="18"/>
        </w:rPr>
        <w:t xml:space="preserve">{ email: "demo@synapse.dev" }</w:t>
      </w:r>
    </w:p>
    <w:p>
      <w:pPr>
        <w:keepNext/>
        <w:spacing w:after="60" w:before="80"/>
        <w:jc w:val="center"/>
      </w:pPr>
      <w:r>
        <w:drawing>
          <wp:inline distT="0" distB="0" distL="0" distR="0">
            <wp:extent cx="5715000" cy="1447800"/>
            <wp:effectExtent t="0" r="0" b="0" l="0"/>
            <wp:docPr id="1" name="img03.png" descr="Figure 3. Demonstration user document" title="Figure 3. Demonstration user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447800"/>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3. Demonstration user document</w:t>
      </w:r>
    </w:p>
    <w:p>
      <w:pPr>
        <w:keepNext/>
        <w:spacing w:after="60" w:before="80"/>
        <w:jc w:val="center"/>
      </w:pPr>
      <w:r>
        <w:drawing>
          <wp:inline distT="0" distB="0" distL="0" distR="0">
            <wp:extent cx="5715000" cy="2590800"/>
            <wp:effectExtent t="0" r="0" b="0" l="0"/>
            <wp:docPr id="1" name="img04.png" descr="Figure 4. Indexes on healthmetrics, including the compound index user_1_date_-1" title="Figure 4. Indexes on healthmetrics, including the compound index user_1_dat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90800"/>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4. Indexes on healthmetrics, including the compound index user_1_date_-1</w:t>
      </w:r>
    </w:p>
    <w:p>
      <w:pPr>
        <w:keepNext/>
        <w:spacing w:after="60" w:before="80"/>
        <w:jc w:val="center"/>
      </w:pPr>
      <w:r>
        <w:drawing>
          <wp:inline distT="0" distB="0" distL="0" distR="0">
            <wp:extent cx="5715000" cy="2619375"/>
            <wp:effectExtent t="0" r="0" b="0" l="0"/>
            <wp:docPr id="1" name="img05.png" descr="Figure 5. Text index on the documents collection over title, ocrText and tags" title="Figure 5. Text index on the documents collection over title, ocrText and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19375"/>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5. Text index on the documents collection over title, ocrText and tags</w:t>
      </w:r>
    </w:p>
    <w:p>
      <w:pPr>
        <w:pStyle w:val="Heading2"/>
      </w:pPr>
      <w:r>
        <w:rPr>
          <w:rFonts w:ascii="Times New Roman" w:cs="Times New Roman" w:eastAsia="Times New Roman" w:hAnsi="Times New Roman"/>
        </w:rPr>
        <w:t xml:space="preserve">7.2 Q1: Logs with Less Than Six Hours of Sleep</w:t>
      </w:r>
    </w:p>
    <w:p>
      <w:pPr>
        <w:keepNext/>
        <w:keepLines/>
        <w:pBdr>
          <w:left w:val="single" w:color="1B7A7A" w:sz="18" w:space="6"/>
        </w:pBdr>
        <w:shd w:fill="F2F4F7" w:color="auto" w:val="clear"/>
        <w:spacing w:after="0" w:before="60" w:line="252"/>
        <w:ind w:left="200" w:right="120"/>
        <w:jc w:val="left"/>
      </w:pPr>
      <w:r>
        <w:rPr>
          <w:rFonts w:ascii="Courier New" w:cs="Courier New" w:eastAsia="Courier New" w:hAnsi="Courier New"/>
          <w:color w:val="1F2D3D"/>
          <w:sz w:val="18"/>
          <w:szCs w:val="18"/>
        </w:rPr>
        <w:t xml:space="preserve">[</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$match: { sleepHours: { $lt: 6 }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$project: { _id: 0, date: 1, sleepHours: 1,</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sleepQuality: 1, steps: 1, heartRate: 1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$sort: { sleepHours: 1 } }</w:t>
      </w:r>
    </w:p>
    <w:p>
      <w:pPr>
        <w:keepNext w:val="false"/>
        <w:keepLines/>
        <w:pBdr>
          <w:left w:val="single" w:color="1B7A7A" w:sz="18" w:space="6"/>
        </w:pBdr>
        <w:shd w:fill="F2F4F7" w:color="auto" w:val="clear"/>
        <w:spacing w:after="160" w:before="0" w:line="252"/>
        <w:ind w:left="200" w:right="120"/>
        <w:jc w:val="left"/>
      </w:pPr>
      <w:r>
        <w:rPr>
          <w:rFonts w:ascii="Courier New" w:cs="Courier New" w:eastAsia="Courier New" w:hAnsi="Courier New"/>
          <w:color w:val="1F2D3D"/>
          <w:sz w:val="18"/>
          <w:szCs w:val="18"/>
        </w:rPr>
        <w:t xml:space="preserve">]</w:t>
      </w:r>
    </w:p>
    <w:p>
      <w:pPr>
        <w:keepNext/>
        <w:spacing w:after="60" w:before="80"/>
        <w:jc w:val="center"/>
      </w:pPr>
      <w:r>
        <w:drawing>
          <wp:inline distT="0" distB="0" distL="0" distR="0">
            <wp:extent cx="5715000" cy="2533650"/>
            <wp:effectExtent t="0" r="0" b="0" l="0"/>
            <wp:docPr id="1" name="img06.png" descr="Figure 6. Q1 output: five logs from the examination week" title="Figure 6. Q1 output: five logs from the examination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33650"/>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6. Q1 output: five logs from the examination week</w:t>
      </w:r>
    </w:p>
    <w:p>
      <w:pPr>
        <w:spacing w:after="140" w:line="324"/>
        <w:jc w:val="both"/>
      </w:pPr>
      <w:r>
        <w:rPr>
          <w:rFonts w:ascii="Times New Roman" w:cs="Times New Roman" w:eastAsia="Times New Roman" w:hAnsi="Times New Roman"/>
          <w:color w:val="262626"/>
          <w:sz w:val="24"/>
          <w:szCs w:val="24"/>
        </w:rPr>
        <w:t xml:space="preserve">The query returned five logs. The entries shown fall in the examination week in early October and combine sleep quality “poor”, a resting heart rate of 83 beats per minute and only about 4,300 to 4,700 steps, which is markedly lower activity than on normal days.</w:t>
      </w:r>
    </w:p>
    <w:p>
      <w:pPr>
        <w:pStyle w:val="Heading2"/>
      </w:pPr>
      <w:r>
        <w:rPr>
          <w:rFonts w:ascii="Times New Roman" w:cs="Times New Roman" w:eastAsia="Times New Roman" w:hAnsi="Times New Roman"/>
        </w:rPr>
        <w:t xml:space="preserve">7.3 Effect of Indexing (Explain Plan)</w:t>
      </w:r>
    </w:p>
    <w:p>
      <w:pPr>
        <w:spacing w:after="140" w:line="324"/>
        <w:jc w:val="both"/>
      </w:pPr>
      <w:r>
        <w:rPr>
          <w:rFonts w:ascii="Times New Roman" w:cs="Times New Roman" w:eastAsia="Times New Roman" w:hAnsi="Times New Roman"/>
          <w:color w:val="262626"/>
          <w:sz w:val="24"/>
          <w:szCs w:val="24"/>
        </w:rPr>
        <w:t xml:space="preserve">Two lookups on the </w:t>
      </w:r>
      <w:r>
        <w:rPr>
          <w:rFonts w:ascii="Courier New" w:cs="Courier New" w:eastAsia="Courier New" w:hAnsi="Courier New"/>
          <w:color w:val="1B7A7A"/>
          <w:sz w:val="21"/>
          <w:szCs w:val="21"/>
        </w:rPr>
        <w:t xml:space="preserve">users</w:t>
      </w:r>
      <w:r>
        <w:rPr>
          <w:rFonts w:ascii="Times New Roman" w:cs="Times New Roman" w:eastAsia="Times New Roman" w:hAnsi="Times New Roman"/>
          <w:color w:val="262626"/>
          <w:sz w:val="24"/>
          <w:szCs w:val="24"/>
        </w:rPr>
        <w:t xml:space="preserve"> collection were compared with the Explain Plan. The first filters on the indexed </w:t>
      </w:r>
      <w:r>
        <w:rPr>
          <w:rFonts w:ascii="Courier New" w:cs="Courier New" w:eastAsia="Courier New" w:hAnsi="Courier New"/>
          <w:color w:val="1B7A7A"/>
          <w:sz w:val="21"/>
          <w:szCs w:val="21"/>
        </w:rPr>
        <w:t xml:space="preserve">email</w:t>
      </w:r>
      <w:r>
        <w:rPr>
          <w:rFonts w:ascii="Times New Roman" w:cs="Times New Roman" w:eastAsia="Times New Roman" w:hAnsi="Times New Roman"/>
          <w:color w:val="262626"/>
          <w:sz w:val="24"/>
          <w:szCs w:val="24"/>
        </w:rPr>
        <w:t xml:space="preserve"> field and the second on the unindexed </w:t>
      </w:r>
      <w:r>
        <w:rPr>
          <w:rFonts w:ascii="Courier New" w:cs="Courier New" w:eastAsia="Courier New" w:hAnsi="Courier New"/>
          <w:color w:val="1B7A7A"/>
          <w:sz w:val="21"/>
          <w:szCs w:val="21"/>
        </w:rPr>
        <w:t xml:space="preserve">name</w:t>
      </w:r>
      <w:r>
        <w:rPr>
          <w:rFonts w:ascii="Times New Roman" w:cs="Times New Roman" w:eastAsia="Times New Roman" w:hAnsi="Times New Roman"/>
          <w:color w:val="262626"/>
          <w:sz w:val="24"/>
          <w:szCs w:val="24"/>
        </w:rPr>
        <w:t xml:space="preserve"> field.</w:t>
      </w:r>
    </w:p>
    <w:p>
      <w:pPr>
        <w:keepNext w:val="false"/>
        <w:keepLines/>
        <w:pBdr>
          <w:left w:val="single" w:color="1B7A7A" w:sz="18" w:space="6"/>
        </w:pBdr>
        <w:shd w:fill="F2F4F7" w:color="auto" w:val="clear"/>
        <w:spacing w:after="160" w:before="60" w:line="252"/>
        <w:ind w:left="200" w:right="120"/>
        <w:jc w:val="left"/>
      </w:pPr>
      <w:r>
        <w:rPr>
          <w:rFonts w:ascii="Courier New" w:cs="Courier New" w:eastAsia="Courier New" w:hAnsi="Courier New"/>
          <w:color w:val="1F2D3D"/>
          <w:sz w:val="18"/>
          <w:szCs w:val="18"/>
        </w:rPr>
        <w:t xml:space="preserve">[ { $match: { email: "demo@synapse.dev" } } ]</w:t>
      </w:r>
    </w:p>
    <w:p>
      <w:pPr>
        <w:keepNext/>
        <w:spacing w:after="60" w:before="80"/>
        <w:jc w:val="center"/>
      </w:pPr>
      <w:r>
        <w:drawing>
          <wp:inline distT="0" distB="0" distL="0" distR="0">
            <wp:extent cx="5715000" cy="2609850"/>
            <wp:effectExtent t="0" r="0" b="0" l="0"/>
            <wp:docPr id="1" name="img07.png" descr="Figure 7. Explain Plan for the indexed lookup: EXPRESS_IXSCAN on email_1" title="Figure 7. Explain Plan for the indexed lookup: EXPRESS_IXSCAN on emai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09850"/>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7. Explain Plan for the indexed lookup: EXPRESS_IXSCAN on email_1</w:t>
      </w:r>
    </w:p>
    <w:p>
      <w:pPr>
        <w:keepNext w:val="false"/>
        <w:keepLines/>
        <w:pBdr>
          <w:left w:val="single" w:color="1B7A7A" w:sz="18" w:space="6"/>
        </w:pBdr>
        <w:shd w:fill="F2F4F7" w:color="auto" w:val="clear"/>
        <w:spacing w:after="160" w:before="60" w:line="252"/>
        <w:ind w:left="200" w:right="120"/>
        <w:jc w:val="left"/>
      </w:pPr>
      <w:r>
        <w:rPr>
          <w:rFonts w:ascii="Courier New" w:cs="Courier New" w:eastAsia="Courier New" w:hAnsi="Courier New"/>
          <w:color w:val="1F2D3D"/>
          <w:sz w:val="18"/>
          <w:szCs w:val="18"/>
        </w:rPr>
        <w:t xml:space="preserve">[ { $match: { name: "Demo Student" } } ]</w:t>
      </w:r>
    </w:p>
    <w:p>
      <w:pPr>
        <w:keepNext/>
        <w:spacing w:after="60" w:before="80"/>
        <w:jc w:val="center"/>
      </w:pPr>
      <w:r>
        <w:drawing>
          <wp:inline distT="0" distB="0" distL="0" distR="0">
            <wp:extent cx="5715000" cy="3562350"/>
            <wp:effectExtent t="0" r="0" b="0" l="0"/>
            <wp:docPr id="1" name="img08.png" descr="Figure 8. Explain Plan for the unindexed lookup: COLLSCAN" title="Figure 8. Explain Plan for the unindexed lookup: COLL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62350"/>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8. Explain Plan for the unindexed lookup: COLLSCAN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300"/>
        <w:gridCol w:w="1400"/>
        <w:gridCol w:w="1500"/>
        <w:gridCol w:w="1826"/>
      </w:tblGrid>
      <w:tr>
        <w:trPr>
          <w:tblHeader/>
        </w:trPr>
        <w:tc>
          <w:tcPr>
            <w:tcW w:type="dxa" w:w="20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Query</w:t>
            </w:r>
          </w:p>
        </w:tc>
        <w:tc>
          <w:tcPr>
            <w:tcW w:type="dxa" w:w="23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Winning plan</w:t>
            </w:r>
          </w:p>
        </w:tc>
        <w:tc>
          <w:tcPr>
            <w:tcW w:type="dxa" w:w="14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Index used</w:t>
            </w:r>
          </w:p>
        </w:tc>
        <w:tc>
          <w:tcPr>
            <w:tcW w:type="dxa" w:w="15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color w:val="FFFFFF"/>
                <w:sz w:val="21"/>
                <w:szCs w:val="21"/>
              </w:rPr>
              <w:t xml:space="preserve">Keys examined</w:t>
            </w:r>
          </w:p>
        </w:tc>
        <w:tc>
          <w:tcPr>
            <w:tcW w:type="dxa" w:w="1826"/>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color w:val="FFFFFF"/>
                <w:sz w:val="21"/>
                <w:szCs w:val="21"/>
              </w:rPr>
              <w:t xml:space="preserve">Documents examined</w:t>
            </w:r>
          </w:p>
        </w:tc>
      </w:tr>
      <w:tr>
        <w:trPr>
          <w:cantSplit/>
        </w:trPr>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 email: ... }</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EXPRESS_IXSCAN</w:t>
            </w:r>
          </w:p>
        </w:tc>
        <w:tc>
          <w:tcPr>
            <w:tcW w:type="dxa" w:w="14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email_1</w:t>
            </w:r>
          </w:p>
        </w:tc>
        <w:tc>
          <w:tcPr>
            <w:tcW w:type="dxa" w:w="15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1</w:t>
            </w:r>
          </w:p>
        </w:tc>
        <w:tc>
          <w:tcPr>
            <w:tcW w:type="dxa" w:w="182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1</w:t>
            </w:r>
          </w:p>
        </w:tc>
      </w:tr>
      <w:tr>
        <w:trPr>
          <w:cantSplit/>
        </w:trPr>
        <w:tc>
          <w:tcPr>
            <w:tcW w:type="dxa" w:w="20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 name: ... }</w:t>
            </w:r>
          </w:p>
        </w:tc>
        <w:tc>
          <w:tcPr>
            <w:tcW w:type="dxa" w:w="23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COLLSCAN</w:t>
            </w:r>
          </w:p>
        </w:tc>
        <w:tc>
          <w:tcPr>
            <w:tcW w:type="dxa" w:w="14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none</w:t>
            </w:r>
          </w:p>
        </w:tc>
        <w:tc>
          <w:tcPr>
            <w:tcW w:type="dxa" w:w="15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0</w:t>
            </w:r>
          </w:p>
        </w:tc>
        <w:tc>
          <w:tcPr>
            <w:tcW w:type="dxa" w:w="182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color w:val="262626"/>
                <w:sz w:val="21"/>
                <w:szCs w:val="21"/>
              </w:rPr>
              <w:t xml:space="preserve">6 (all)</w:t>
            </w:r>
          </w:p>
        </w:tc>
      </w:tr>
    </w:tbl>
    <w:p>
      <w:pPr>
        <w:spacing w:after="200" w:before="80"/>
        <w:jc w:val="center"/>
      </w:pPr>
      <w:r>
        <w:rPr>
          <w:rFonts w:ascii="Times New Roman" w:cs="Times New Roman" w:eastAsia="Times New Roman" w:hAnsi="Times New Roman"/>
          <w:i/>
          <w:iCs/>
          <w:color w:val="2E5C8A"/>
          <w:sz w:val="21"/>
          <w:szCs w:val="21"/>
        </w:rPr>
        <w:t xml:space="preserve">Table 5. Explain Plan comparison</w:t>
      </w:r>
    </w:p>
    <w:p>
      <w:pPr>
        <w:spacing w:after="140" w:line="324"/>
        <w:jc w:val="both"/>
      </w:pPr>
      <w:r>
        <w:rPr>
          <w:rFonts w:ascii="Times New Roman" w:cs="Times New Roman" w:eastAsia="Times New Roman" w:hAnsi="Times New Roman"/>
          <w:color w:val="262626"/>
          <w:sz w:val="24"/>
          <w:szCs w:val="24"/>
        </w:rPr>
        <w:t xml:space="preserve">With the index, MongoDB examined one key and one document. Without it, every document in the collection was examined. The cost of the indexed lookup depends only on the number of matching documents, whereas the cost of the collection scan grows with the size of the collection, so the difference widens as more users register.</w:t>
      </w:r>
    </w:p>
    <w:p>
      <w:pPr>
        <w:pStyle w:val="Heading2"/>
      </w:pPr>
      <w:r>
        <w:rPr>
          <w:rFonts w:ascii="Times New Roman" w:cs="Times New Roman" w:eastAsia="Times New Roman" w:hAnsi="Times New Roman"/>
        </w:rPr>
        <w:t xml:space="preserve">7.4 Q2: Health Averages by Sleep Quality</w:t>
      </w:r>
    </w:p>
    <w:p>
      <w:pPr>
        <w:keepNext/>
        <w:keepLines/>
        <w:pBdr>
          <w:left w:val="single" w:color="1B7A7A" w:sz="18" w:space="6"/>
        </w:pBdr>
        <w:shd w:fill="F2F4F7" w:color="auto" w:val="clear"/>
        <w:spacing w:after="0" w:before="60" w:line="252"/>
        <w:ind w:left="200" w:right="120"/>
        <w:jc w:val="left"/>
      </w:pPr>
      <w:r>
        <w:rPr>
          <w:rFonts w:ascii="Courier New" w:cs="Courier New" w:eastAsia="Courier New" w:hAnsi="Courier New"/>
          <w:color w:val="1F2D3D"/>
          <w:sz w:val="18"/>
          <w:szCs w:val="18"/>
        </w:rPr>
        <w:t xml:space="preserve">[</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$match: { sleepQuality: { $exists: true }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$group: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_id: "$sleepQuality",</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days: { $sum: 1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avgSleep: { $avg: "$sleepHours"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avgSteps: { $avg: "$steps"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avgHeartRate: { $avg: "$heartRate" }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$sort: { avgSleep: 1 } }</w:t>
      </w:r>
    </w:p>
    <w:p>
      <w:pPr>
        <w:keepNext w:val="false"/>
        <w:keepLines/>
        <w:pBdr>
          <w:left w:val="single" w:color="1B7A7A" w:sz="18" w:space="6"/>
        </w:pBdr>
        <w:shd w:fill="F2F4F7" w:color="auto" w:val="clear"/>
        <w:spacing w:after="160" w:before="0" w:line="252"/>
        <w:ind w:left="200" w:right="120"/>
        <w:jc w:val="left"/>
      </w:pPr>
      <w:r>
        <w:rPr>
          <w:rFonts w:ascii="Courier New" w:cs="Courier New" w:eastAsia="Courier New" w:hAnsi="Courier New"/>
          <w:color w:val="1F2D3D"/>
          <w:sz w:val="18"/>
          <w:szCs w:val="18"/>
        </w:rPr>
        <w:t xml:space="preserve">]</w:t>
      </w:r>
    </w:p>
    <w:p>
      <w:pPr>
        <w:pBdr>
          <w:top w:val="dashed" w:color="C00000" w:sz="6" w:space="8"/>
          <w:bottom w:val="dashed" w:color="C00000" w:sz="6" w:space="8"/>
          <w:left w:val="dashed" w:color="C00000" w:sz="6" w:space="8"/>
          <w:right w:val="dashed" w:color="C00000" w:sz="6" w:space="8"/>
        </w:pBdr>
        <w:spacing w:after="220" w:before="120"/>
        <w:jc w:val="center"/>
      </w:pPr>
      <w:r>
        <w:rPr>
          <w:rFonts w:ascii="Times New Roman" w:cs="Times New Roman" w:eastAsia="Times New Roman" w:hAnsi="Times New Roman"/>
          <w:i/>
          <w:iCs/>
          <w:color w:val="C00000"/>
          <w:sz w:val="22"/>
          <w:szCs w:val="22"/>
        </w:rPr>
        <w:t xml:space="preserve">Insert screenshot here: output of Q2 from the Aggregations tab of healthmetrics</w:t>
      </w:r>
    </w:p>
    <w:p>
      <w:pPr>
        <w:spacing w:after="220"/>
        <w:jc w:val="center"/>
      </w:pPr>
      <w:r>
        <w:rPr>
          <w:rFonts w:ascii="Times New Roman" w:cs="Times New Roman" w:eastAsia="Times New Roman" w:hAnsi="Times New Roman"/>
          <w:i/>
          <w:iCs/>
          <w:color w:val="2E5C8A"/>
          <w:sz w:val="21"/>
          <w:szCs w:val="21"/>
        </w:rPr>
        <w:t xml:space="preserve">Figure 9. Q2 output: averages grouped by sleep quality</w:t>
      </w:r>
    </w:p>
    <w:p>
      <w:pPr>
        <w:spacing w:after="140" w:line="324"/>
        <w:jc w:val="both"/>
      </w:pPr>
      <w:r>
        <w:rPr>
          <w:rFonts w:ascii="Times New Roman" w:cs="Times New Roman" w:eastAsia="Times New Roman" w:hAnsi="Times New Roman"/>
          <w:color w:val="262626"/>
          <w:sz w:val="24"/>
          <w:szCs w:val="24"/>
        </w:rPr>
        <w:t xml:space="preserve">The pipeline groups the health logs by sleep quality and computes the number of days and the average sleep, steps and heart rate for each group, which summarises how activity and heart rate change with the quality of sleep.</w:t>
      </w:r>
    </w:p>
    <w:p>
      <w:pPr>
        <w:pStyle w:val="Heading2"/>
      </w:pPr>
      <w:r>
        <w:rPr>
          <w:rFonts w:ascii="Times New Roman" w:cs="Times New Roman" w:eastAsia="Times New Roman" w:hAnsi="Times New Roman"/>
        </w:rPr>
        <w:t xml:space="preserve">7.5 Q3: Most Frequently Eaten Foods</w:t>
      </w:r>
    </w:p>
    <w:p>
      <w:pPr>
        <w:keepNext/>
        <w:keepLines/>
        <w:pBdr>
          <w:left w:val="single" w:color="1B7A7A" w:sz="18" w:space="6"/>
        </w:pBdr>
        <w:shd w:fill="F2F4F7" w:color="auto" w:val="clear"/>
        <w:spacing w:after="0" w:before="60" w:line="252"/>
        <w:ind w:left="200" w:right="120"/>
        <w:jc w:val="left"/>
      </w:pPr>
      <w:r>
        <w:rPr>
          <w:rFonts w:ascii="Courier New" w:cs="Courier New" w:eastAsia="Courier New" w:hAnsi="Courier New"/>
          <w:color w:val="1F2D3D"/>
          <w:sz w:val="18"/>
          <w:szCs w:val="18"/>
        </w:rPr>
        <w:t xml:space="preserve">[</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$unwind: "$items"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$group: { _id: "$items.name", timesEaten: { $sum: 1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totalCalories: { $sum: "$items.calories" }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$sort: { timesEaten: -1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$limit: 5 }</w:t>
      </w:r>
    </w:p>
    <w:p>
      <w:pPr>
        <w:keepNext w:val="false"/>
        <w:keepLines/>
        <w:pBdr>
          <w:left w:val="single" w:color="1B7A7A" w:sz="18" w:space="6"/>
        </w:pBdr>
        <w:shd w:fill="F2F4F7" w:color="auto" w:val="clear"/>
        <w:spacing w:after="160" w:before="0" w:line="252"/>
        <w:ind w:left="200" w:right="120"/>
        <w:jc w:val="left"/>
      </w:pPr>
      <w:r>
        <w:rPr>
          <w:rFonts w:ascii="Courier New" w:cs="Courier New" w:eastAsia="Courier New" w:hAnsi="Courier New"/>
          <w:color w:val="1F2D3D"/>
          <w:sz w:val="18"/>
          <w:szCs w:val="18"/>
        </w:rPr>
        <w:t xml:space="preserve">]</w:t>
      </w:r>
    </w:p>
    <w:p>
      <w:pPr>
        <w:keepNext/>
        <w:spacing w:after="60" w:before="80"/>
        <w:jc w:val="center"/>
      </w:pPr>
      <w:r>
        <w:drawing>
          <wp:inline distT="0" distB="0" distL="0" distR="0">
            <wp:extent cx="5715000" cy="1838325"/>
            <wp:effectExtent t="0" r="0" b="0" l="0"/>
            <wp:docPr id="1" name="img10.png" descr="Figure 10. Q3 output: most frequently eaten foods" title="Figure 10. Q3 output: most frequently eaten f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838325"/>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10. Q3 output: most frequently eaten foods</w:t>
      </w:r>
    </w:p>
    <w:p>
      <w:pPr>
        <w:spacing w:after="140" w:line="324"/>
        <w:jc w:val="both"/>
      </w:pPr>
      <w:r>
        <w:rPr>
          <w:rFonts w:ascii="Courier New" w:cs="Courier New" w:eastAsia="Courier New" w:hAnsi="Courier New"/>
          <w:color w:val="1B7A7A"/>
          <w:sz w:val="21"/>
          <w:szCs w:val="21"/>
        </w:rPr>
        <w:t xml:space="preserve">$unwind</w:t>
      </w:r>
      <w:r>
        <w:rPr>
          <w:rFonts w:ascii="Times New Roman" w:cs="Times New Roman" w:eastAsia="Times New Roman" w:hAnsi="Times New Roman"/>
          <w:color w:val="262626"/>
          <w:sz w:val="24"/>
          <w:szCs w:val="24"/>
        </w:rPr>
        <w:t xml:space="preserve"> turned each embedded food item into a separate row before grouping. Roasted chana was the most frequent item (17 times, 2,720 kcal), followed by protein shake (16 times, 2,880 kcal) and apple (15 times, 1,425 kcal). This shows that embedding items inside a meal does not prevent item-level analysis.</w:t>
      </w:r>
    </w:p>
    <w:p>
      <w:pPr>
        <w:pStyle w:val="Heading2"/>
      </w:pPr>
      <w:r>
        <w:rPr>
          <w:rFonts w:ascii="Times New Roman" w:cs="Times New Roman" w:eastAsia="Times New Roman" w:hAnsi="Times New Roman"/>
        </w:rPr>
        <w:t xml:space="preserve">7.6 Q4: Goals with Their Owners</w:t>
      </w:r>
    </w:p>
    <w:p>
      <w:pPr>
        <w:keepNext/>
        <w:keepLines/>
        <w:pBdr>
          <w:left w:val="single" w:color="1B7A7A" w:sz="18" w:space="6"/>
        </w:pBdr>
        <w:shd w:fill="F2F4F7" w:color="auto" w:val="clear"/>
        <w:spacing w:after="0" w:before="60" w:line="252"/>
        <w:ind w:left="200" w:right="120"/>
        <w:jc w:val="left"/>
      </w:pPr>
      <w:r>
        <w:rPr>
          <w:rFonts w:ascii="Courier New" w:cs="Courier New" w:eastAsia="Courier New" w:hAnsi="Courier New"/>
          <w:color w:val="1F2D3D"/>
          <w:sz w:val="18"/>
          <w:szCs w:val="18"/>
        </w:rPr>
        <w:t xml:space="preserve">[</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$lookup: { from: "users", localField: "user",</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foreignField: "_id", as: "owner"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$unwind: "$owner"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$project: { _id: 0, goal: "$title", status: 1,</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progress: 1, owner: "$owner.name"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$sort: { progress: -1 } }</w:t>
      </w:r>
    </w:p>
    <w:p>
      <w:pPr>
        <w:keepNext w:val="false"/>
        <w:keepLines/>
        <w:pBdr>
          <w:left w:val="single" w:color="1B7A7A" w:sz="18" w:space="6"/>
        </w:pBdr>
        <w:shd w:fill="F2F4F7" w:color="auto" w:val="clear"/>
        <w:spacing w:after="160" w:before="0" w:line="252"/>
        <w:ind w:left="200" w:right="120"/>
        <w:jc w:val="left"/>
      </w:pPr>
      <w:r>
        <w:rPr>
          <w:rFonts w:ascii="Courier New" w:cs="Courier New" w:eastAsia="Courier New" w:hAnsi="Courier New"/>
          <w:color w:val="1F2D3D"/>
          <w:sz w:val="18"/>
          <w:szCs w:val="18"/>
        </w:rPr>
        <w:t xml:space="preserve">]</w:t>
      </w:r>
    </w:p>
    <w:p>
      <w:pPr>
        <w:keepNext/>
        <w:spacing w:after="60" w:before="80"/>
        <w:jc w:val="center"/>
      </w:pPr>
      <w:r>
        <w:drawing>
          <wp:inline distT="0" distB="0" distL="0" distR="0">
            <wp:extent cx="5715000" cy="2047875"/>
            <wp:effectExtent t="0" r="0" b="0" l="0"/>
            <wp:docPr id="1" name="img11.png" descr="Figure 11. Q4 output: goals joined with their owners" title="Figure 11. Q4 output: goals joined with their ow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47875"/>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11. Q4 output: goals joined with their owners</w:t>
      </w:r>
    </w:p>
    <w:p>
      <w:pPr>
        <w:spacing w:after="140" w:line="324"/>
        <w:jc w:val="both"/>
      </w:pPr>
      <w:r>
        <w:rPr>
          <w:rFonts w:ascii="Times New Roman" w:cs="Times New Roman" w:eastAsia="Times New Roman" w:hAnsi="Times New Roman"/>
          <w:color w:val="262626"/>
          <w:sz w:val="24"/>
          <w:szCs w:val="24"/>
        </w:rPr>
        <w:t xml:space="preserve">The </w:t>
      </w:r>
      <w:r>
        <w:rPr>
          <w:rFonts w:ascii="Courier New" w:cs="Courier New" w:eastAsia="Courier New" w:hAnsi="Courier New"/>
          <w:color w:val="1B7A7A"/>
          <w:sz w:val="21"/>
          <w:szCs w:val="21"/>
        </w:rPr>
        <w:t xml:space="preserve">$lookup</w:t>
      </w:r>
      <w:r>
        <w:rPr>
          <w:rFonts w:ascii="Times New Roman" w:cs="Times New Roman" w:eastAsia="Times New Roman" w:hAnsi="Times New Roman"/>
          <w:color w:val="262626"/>
          <w:sz w:val="24"/>
          <w:szCs w:val="24"/>
        </w:rPr>
        <w:t xml:space="preserve"> stage joined all eleven goals with the matching user document, in the same way as a relational join, and returned each goal with its owner’s name, status and progress.</w:t>
      </w:r>
    </w:p>
    <w:p>
      <w:pPr>
        <w:pStyle w:val="Heading2"/>
      </w:pPr>
      <w:r>
        <w:rPr>
          <w:rFonts w:ascii="Times New Roman" w:cs="Times New Roman" w:eastAsia="Times New Roman" w:hAnsi="Times New Roman"/>
        </w:rPr>
        <w:t xml:space="preserve">7.7 Q5: Full-Text Search and Document Expiry</w:t>
      </w:r>
    </w:p>
    <w:p>
      <w:pPr>
        <w:keepNext/>
        <w:keepLines/>
        <w:pBdr>
          <w:left w:val="single" w:color="1B7A7A" w:sz="18" w:space="6"/>
        </w:pBdr>
        <w:shd w:fill="F2F4F7" w:color="auto" w:val="clear"/>
        <w:spacing w:after="0" w:before="60" w:line="252"/>
        <w:ind w:left="200" w:right="120"/>
        <w:jc w:val="left"/>
      </w:pPr>
      <w:r>
        <w:rPr>
          <w:rFonts w:ascii="Courier New" w:cs="Courier New" w:eastAsia="Courier New" w:hAnsi="Courier New"/>
          <w:color w:val="1F2D3D"/>
          <w:sz w:val="18"/>
          <w:szCs w:val="18"/>
        </w:rPr>
        <w:t xml:space="preserve">[</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$match: { $text: { $search: "insurance" }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$project: { title: 1, category: 1,</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score: { $meta: "textScore" }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$sort: { score: { $meta: "textScore" } } }</w:t>
      </w:r>
    </w:p>
    <w:p>
      <w:pPr>
        <w:keepNext w:val="false"/>
        <w:keepLines/>
        <w:pBdr>
          <w:left w:val="single" w:color="1B7A7A" w:sz="18" w:space="6"/>
        </w:pBdr>
        <w:shd w:fill="F2F4F7" w:color="auto" w:val="clear"/>
        <w:spacing w:after="160" w:before="0" w:line="252"/>
        <w:ind w:left="200" w:right="120"/>
        <w:jc w:val="left"/>
      </w:pPr>
      <w:r>
        <w:rPr>
          <w:rFonts w:ascii="Courier New" w:cs="Courier New" w:eastAsia="Courier New" w:hAnsi="Courier New"/>
          <w:color w:val="1F2D3D"/>
          <w:sz w:val="18"/>
          <w:szCs w:val="18"/>
        </w:rPr>
        <w:t xml:space="preserve">]</w:t>
      </w:r>
    </w:p>
    <w:p>
      <w:pPr>
        <w:keepNext/>
        <w:spacing w:after="60" w:before="80"/>
        <w:jc w:val="center"/>
      </w:pPr>
      <w:r>
        <w:drawing>
          <wp:inline distT="0" distB="0" distL="0" distR="0">
            <wp:extent cx="5715000" cy="1143000"/>
            <wp:effectExtent t="0" r="0" b="0" l="0"/>
            <wp:docPr id="1" name="img12.png" descr="Figure 12. Q5 output: text search ranked by relevance" title="Figure 12. Q5 output: text search ranked by rele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143000"/>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12. Q5 output: text search ranked by relevance</w:t>
      </w:r>
    </w:p>
    <w:p>
      <w:pPr>
        <w:spacing w:after="140" w:line="324"/>
        <w:jc w:val="both"/>
      </w:pPr>
      <w:r>
        <w:rPr>
          <w:rFonts w:ascii="Times New Roman" w:cs="Times New Roman" w:eastAsia="Times New Roman" w:hAnsi="Times New Roman"/>
          <w:color w:val="262626"/>
          <w:sz w:val="24"/>
          <w:szCs w:val="24"/>
        </w:rPr>
        <w:t xml:space="preserve">The text index matched “Health insurance policy” with a relevance score of 2.24. A second pipeline lists documents by expiry date, which the application uses for expiry alerts:</w:t>
      </w:r>
    </w:p>
    <w:p>
      <w:pPr>
        <w:keepNext/>
        <w:keepLines/>
        <w:pBdr>
          <w:left w:val="single" w:color="1B7A7A" w:sz="18" w:space="6"/>
        </w:pBdr>
        <w:shd w:fill="F2F4F7" w:color="auto" w:val="clear"/>
        <w:spacing w:after="0" w:before="60" w:line="252"/>
        <w:ind w:left="200" w:right="120"/>
        <w:jc w:val="left"/>
      </w:pPr>
      <w:r>
        <w:rPr>
          <w:rFonts w:ascii="Courier New" w:cs="Courier New" w:eastAsia="Courier New" w:hAnsi="Courier New"/>
          <w:color w:val="1F2D3D"/>
          <w:sz w:val="18"/>
          <w:szCs w:val="18"/>
        </w:rPr>
        <w:t xml:space="preserve">[</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$match: { expiryDate: { $exists: true }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$project: { _id: 0, title: 1, category: 1, expiryDate: 1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$sort: { expiryDate: 1 } }</w:t>
      </w:r>
    </w:p>
    <w:p>
      <w:pPr>
        <w:keepNext w:val="false"/>
        <w:keepLines/>
        <w:pBdr>
          <w:left w:val="single" w:color="1B7A7A" w:sz="18" w:space="6"/>
        </w:pBdr>
        <w:shd w:fill="F2F4F7" w:color="auto" w:val="clear"/>
        <w:spacing w:after="160" w:before="0" w:line="252"/>
        <w:ind w:left="200" w:right="120"/>
        <w:jc w:val="left"/>
      </w:pPr>
      <w:r>
        <w:rPr>
          <w:rFonts w:ascii="Courier New" w:cs="Courier New" w:eastAsia="Courier New" w:hAnsi="Courier New"/>
          <w:color w:val="1F2D3D"/>
          <w:sz w:val="18"/>
          <w:szCs w:val="18"/>
        </w:rPr>
        <w:t xml:space="preserve">]</w:t>
      </w:r>
    </w:p>
    <w:p>
      <w:pPr>
        <w:keepNext/>
        <w:spacing w:after="60" w:before="80"/>
        <w:jc w:val="center"/>
      </w:pPr>
      <w:r>
        <w:drawing>
          <wp:inline distT="0" distB="0" distL="0" distR="0">
            <wp:extent cx="5715000" cy="1400175"/>
            <wp:effectExtent t="0" r="0" b="0" l="0"/>
            <wp:docPr id="1" name="img13.png" descr="Figure 13. Documents sorted by expiry date" title="Figure 13. Documents sorted by expiry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1400175"/>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13. Documents sorted by expiry date</w:t>
      </w:r>
    </w:p>
    <w:p>
      <w:pPr>
        <w:pStyle w:val="Heading2"/>
      </w:pPr>
      <w:r>
        <w:rPr>
          <w:rFonts w:ascii="Times New Roman" w:cs="Times New Roman" w:eastAsia="Times New Roman" w:hAnsi="Times New Roman"/>
        </w:rPr>
        <w:t xml:space="preserve">7.8 Q6: Embedded Milestones</w:t>
      </w:r>
    </w:p>
    <w:p>
      <w:pPr>
        <w:spacing w:after="140" w:line="324"/>
        <w:jc w:val="both"/>
      </w:pPr>
      <w:r>
        <w:rPr>
          <w:rFonts w:ascii="Times New Roman" w:cs="Times New Roman" w:eastAsia="Times New Roman" w:hAnsi="Times New Roman"/>
          <w:color w:val="262626"/>
          <w:sz w:val="24"/>
          <w:szCs w:val="24"/>
        </w:rPr>
        <w:t xml:space="preserve">The goal “Operating Systems CAT-2” stores its milestones inside the goal document (Figure 14). The pipeline below counts the completed milestones directly inside the array without unwinding it.</w:t>
      </w:r>
    </w:p>
    <w:p>
      <w:pPr>
        <w:keepNext w:val="false"/>
        <w:keepLines/>
        <w:pBdr>
          <w:left w:val="single" w:color="1B7A7A" w:sz="18" w:space="6"/>
        </w:pBdr>
        <w:shd w:fill="F2F4F7" w:color="auto" w:val="clear"/>
        <w:spacing w:after="160" w:before="60" w:line="252"/>
        <w:ind w:left="200" w:right="120"/>
        <w:jc w:val="left"/>
      </w:pPr>
      <w:r>
        <w:rPr>
          <w:rFonts w:ascii="Courier New" w:cs="Courier New" w:eastAsia="Courier New" w:hAnsi="Courier New"/>
          <w:color w:val="1F2D3D"/>
          <w:sz w:val="18"/>
          <w:szCs w:val="18"/>
        </w:rPr>
        <w:t xml:space="preserve">{ title: "Operating Systems CAT-2" }</w:t>
      </w:r>
    </w:p>
    <w:p>
      <w:pPr>
        <w:keepNext/>
        <w:spacing w:after="60" w:before="80"/>
        <w:jc w:val="center"/>
      </w:pPr>
      <w:r>
        <w:drawing>
          <wp:inline distT="0" distB="0" distL="0" distR="0">
            <wp:extent cx="5715000" cy="2019300"/>
            <wp:effectExtent t="0" r="0" b="0" l="0"/>
            <wp:docPr id="1" name="img14.png" descr="Figure 14. Goal document with embedded milestones (progress 35)" title="Figure 14. Goal document with embedded milestones (progress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019300"/>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14. Goal document with embedded milestones (progress 35)</w:t>
      </w:r>
    </w:p>
    <w:p>
      <w:pPr>
        <w:keepNext/>
        <w:keepLines/>
        <w:pBdr>
          <w:left w:val="single" w:color="1B7A7A" w:sz="18" w:space="6"/>
        </w:pBdr>
        <w:shd w:fill="F2F4F7" w:color="auto" w:val="clear"/>
        <w:spacing w:after="0" w:before="60" w:line="252"/>
        <w:ind w:left="200" w:right="120"/>
        <w:jc w:val="left"/>
      </w:pPr>
      <w:r>
        <w:rPr>
          <w:rFonts w:ascii="Courier New" w:cs="Courier New" w:eastAsia="Courier New" w:hAnsi="Courier New"/>
          <w:color w:val="1F2D3D"/>
          <w:sz w:val="18"/>
          <w:szCs w:val="18"/>
        </w:rPr>
        <w:t xml:space="preserve">[</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$match: { title: "Operating Systems CAT-2"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$project: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_id: 0, title: 1,</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done: { $size: { $filter: { input: "$milestones",</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cond: "$$this.completed" }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total: { $size: "$milestones" } } }</w:t>
      </w:r>
    </w:p>
    <w:p>
      <w:pPr>
        <w:keepNext w:val="false"/>
        <w:keepLines/>
        <w:pBdr>
          <w:left w:val="single" w:color="1B7A7A" w:sz="18" w:space="6"/>
        </w:pBdr>
        <w:shd w:fill="F2F4F7" w:color="auto" w:val="clear"/>
        <w:spacing w:after="160" w:before="0" w:line="252"/>
        <w:ind w:left="200" w:right="120"/>
        <w:jc w:val="left"/>
      </w:pPr>
      <w:r>
        <w:rPr>
          <w:rFonts w:ascii="Courier New" w:cs="Courier New" w:eastAsia="Courier New" w:hAnsi="Courier New"/>
          <w:color w:val="1F2D3D"/>
          <w:sz w:val="18"/>
          <w:szCs w:val="18"/>
        </w:rPr>
        <w:t xml:space="preserve">]</w:t>
      </w:r>
    </w:p>
    <w:p>
      <w:pPr>
        <w:keepNext/>
        <w:spacing w:after="60" w:before="80"/>
        <w:jc w:val="center"/>
      </w:pPr>
      <w:r>
        <w:drawing>
          <wp:inline distT="0" distB="0" distL="0" distR="0">
            <wp:extent cx="5715000" cy="828675"/>
            <wp:effectExtent t="0" r="0" b="0" l="0"/>
            <wp:docPr id="1" name="img15.png" descr="Figure 15. Q6 output: one of three milestones completed" title="Figure 15. Q6 output: one of three milestone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828675"/>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15. Q6 output: one of three milestones completed</w:t>
      </w:r>
    </w:p>
    <w:p>
      <w:pPr>
        <w:spacing w:after="140" w:line="324"/>
        <w:jc w:val="both"/>
      </w:pPr>
      <w:r>
        <w:rPr>
          <w:rFonts w:ascii="Times New Roman" w:cs="Times New Roman" w:eastAsia="Times New Roman" w:hAnsi="Times New Roman"/>
          <w:color w:val="262626"/>
          <w:sz w:val="24"/>
          <w:szCs w:val="24"/>
        </w:rPr>
        <w:t xml:space="preserve">The result shows one of three milestones completed. Because the milestones are embedded, marking one as complete is a single atomic positional update (</w:t>
      </w:r>
      <w:r>
        <w:rPr>
          <w:rFonts w:ascii="Courier New" w:cs="Courier New" w:eastAsia="Courier New" w:hAnsi="Courier New"/>
          <w:color w:val="1B7A7A"/>
          <w:sz w:val="21"/>
          <w:szCs w:val="21"/>
        </w:rPr>
        <w:t xml:space="preserve">$set: { "milestones.$.completed": true }</w:t>
      </w:r>
      <w:r>
        <w:rPr>
          <w:rFonts w:ascii="Times New Roman" w:cs="Times New Roman" w:eastAsia="Times New Roman" w:hAnsi="Times New Roman"/>
          <w:color w:val="262626"/>
          <w:sz w:val="24"/>
          <w:szCs w:val="24"/>
        </w:rPr>
        <w:t xml:space="preserve">), which is also how the AI agent’s milestone tool updates progress.</w:t>
      </w:r>
    </w:p>
    <w:p>
      <w:pPr>
        <w:pStyle w:val="Heading2"/>
      </w:pPr>
      <w:r>
        <w:rPr>
          <w:rFonts w:ascii="Times New Roman" w:cs="Times New Roman" w:eastAsia="Times New Roman" w:hAnsi="Times New Roman"/>
        </w:rPr>
        <w:t xml:space="preserve">7.9 Q7: Goals per Status</w:t>
      </w:r>
    </w:p>
    <w:p>
      <w:pPr>
        <w:keepNext/>
        <w:keepLines/>
        <w:pBdr>
          <w:left w:val="single" w:color="1B7A7A" w:sz="18" w:space="6"/>
        </w:pBdr>
        <w:shd w:fill="F2F4F7" w:color="auto" w:val="clear"/>
        <w:spacing w:after="0" w:before="60" w:line="252"/>
        <w:ind w:left="200" w:right="120"/>
        <w:jc w:val="left"/>
      </w:pPr>
      <w:r>
        <w:rPr>
          <w:rFonts w:ascii="Courier New" w:cs="Courier New" w:eastAsia="Courier New" w:hAnsi="Courier New"/>
          <w:color w:val="1F2D3D"/>
          <w:sz w:val="18"/>
          <w:szCs w:val="18"/>
        </w:rPr>
        <w:t xml:space="preserve">[</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$group: { _id: "$status", goals: { $sum: 1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avgProgress: { $avg: "$progress" } } },</w:t>
      </w:r>
    </w:p>
    <w:p>
      <w:pPr>
        <w:keepNext/>
        <w:keepLines/>
        <w:pBdr>
          <w:left w:val="single" w:color="1B7A7A" w:sz="18" w:space="6"/>
        </w:pBdr>
        <w:shd w:fill="F2F4F7" w:color="auto" w:val="clear"/>
        <w:spacing w:after="0" w:before="0" w:line="252"/>
        <w:ind w:left="200" w:right="120"/>
        <w:jc w:val="left"/>
      </w:pPr>
      <w:r>
        <w:rPr>
          <w:rFonts w:ascii="Courier New" w:cs="Courier New" w:eastAsia="Courier New" w:hAnsi="Courier New"/>
          <w:color w:val="1F2D3D"/>
          <w:sz w:val="18"/>
          <w:szCs w:val="18"/>
        </w:rPr>
        <w:t xml:space="preserve">  { $sort: { goals: -1 } }</w:t>
      </w:r>
    </w:p>
    <w:p>
      <w:pPr>
        <w:keepNext w:val="false"/>
        <w:keepLines/>
        <w:pBdr>
          <w:left w:val="single" w:color="1B7A7A" w:sz="18" w:space="6"/>
        </w:pBdr>
        <w:shd w:fill="F2F4F7" w:color="auto" w:val="clear"/>
        <w:spacing w:after="160" w:before="0" w:line="252"/>
        <w:ind w:left="200" w:right="120"/>
        <w:jc w:val="left"/>
      </w:pPr>
      <w:r>
        <w:rPr>
          <w:rFonts w:ascii="Courier New" w:cs="Courier New" w:eastAsia="Courier New" w:hAnsi="Courier New"/>
          <w:color w:val="1F2D3D"/>
          <w:sz w:val="18"/>
          <w:szCs w:val="18"/>
        </w:rPr>
        <w:t xml:space="preserve">]</w:t>
      </w:r>
    </w:p>
    <w:p>
      <w:pPr>
        <w:keepNext/>
        <w:spacing w:after="60" w:before="80"/>
        <w:jc w:val="center"/>
      </w:pPr>
      <w:r>
        <w:drawing>
          <wp:inline distT="0" distB="0" distL="0" distR="0">
            <wp:extent cx="5715000" cy="1647825"/>
            <wp:effectExtent t="0" r="0" b="0" l="0"/>
            <wp:docPr id="1" name="img16.png" descr="Figure 16. Q7 output: goal count and average progress per status" title="Figure 16. Q7 output: goal count and average progress p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647825"/>
                    </a:xfrm>
                    <a:prstGeom prst="rect">
                      <a:avLst/>
                    </a:prstGeom>
                  </pic:spPr>
                </pic:pic>
              </a:graphicData>
            </a:graphic>
          </wp:inline>
        </w:drawing>
      </w:r>
    </w:p>
    <w:p>
      <w:pPr>
        <w:spacing w:after="220"/>
        <w:jc w:val="center"/>
      </w:pPr>
      <w:r>
        <w:rPr>
          <w:rFonts w:ascii="Times New Roman" w:cs="Times New Roman" w:eastAsia="Times New Roman" w:hAnsi="Times New Roman"/>
          <w:i/>
          <w:iCs/>
          <w:color w:val="2E5C8A"/>
          <w:sz w:val="21"/>
          <w:szCs w:val="21"/>
        </w:rPr>
        <w:t xml:space="preserve">Figure 16. Q7 output: goal count and average progress per status</w:t>
      </w:r>
    </w:p>
    <w:p>
      <w:pPr>
        <w:spacing w:after="140" w:line="324"/>
        <w:jc w:val="both"/>
      </w:pPr>
      <w:r>
        <w:rPr>
          <w:rFonts w:ascii="Times New Roman" w:cs="Times New Roman" w:eastAsia="Times New Roman" w:hAnsi="Times New Roman"/>
          <w:color w:val="262626"/>
          <w:sz w:val="24"/>
          <w:szCs w:val="24"/>
        </w:rPr>
        <w:t xml:space="preserve">Six goals were in progress with an average progress of 53.7%, three were completed, and two were overdue with an average progress of 25%. These figures feed the dashboard summary and the overdue alerts.</w:t>
      </w:r>
    </w:p>
    <w:p>
      <w:pPr>
        <w:pStyle w:val="Heading2"/>
      </w:pPr>
      <w:r>
        <w:rPr>
          <w:rFonts w:ascii="Times New Roman" w:cs="Times New Roman" w:eastAsia="Times New Roman" w:hAnsi="Times New Roman"/>
        </w:rPr>
        <w:t xml:space="preserve">7.10 Summary of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4826"/>
      </w:tblGrid>
      <w:tr>
        <w:trPr>
          <w:tblHeader/>
        </w:trPr>
        <w:tc>
          <w:tcPr>
            <w:tcW w:type="dxa" w:w="22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Feature</w:t>
            </w:r>
          </w:p>
        </w:tc>
        <w:tc>
          <w:tcPr>
            <w:tcW w:type="dxa" w:w="2000"/>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Evidence</w:t>
            </w:r>
          </w:p>
        </w:tc>
        <w:tc>
          <w:tcPr>
            <w:tcW w:type="dxa" w:w="4826"/>
            <w:tcBorders>
              <w:top w:val="single" w:color="B4C6E7" w:sz="4"/>
              <w:left w:val="single" w:color="B4C6E7" w:sz="4"/>
              <w:bottom w:val="single" w:color="B4C6E7" w:sz="4"/>
              <w:right w:val="single" w:color="B4C6E7" w:sz="4"/>
            </w:tcBorders>
            <w:shd w:fill="1F3864"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FFFFFF"/>
                <w:sz w:val="21"/>
                <w:szCs w:val="21"/>
              </w:rPr>
              <w:t xml:space="preserve">Observation</w:t>
            </w:r>
          </w:p>
        </w:tc>
      </w:tr>
      <w:tr>
        <w:trPr>
          <w:cantSplit/>
        </w:trPr>
        <w:tc>
          <w:tcPr>
            <w:tcW w:type="dxa" w:w="22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Indexing</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Figures 7–8</w:t>
            </w:r>
          </w:p>
        </w:tc>
        <w:tc>
          <w:tcPr>
            <w:tcW w:type="dxa" w:w="482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Indexed lookup examined 1 document; unindexed lookup examined all 6.</w:t>
            </w:r>
          </w:p>
        </w:tc>
      </w:tr>
      <w:tr>
        <w:trPr>
          <w:cantSplit/>
        </w:trPr>
        <w:tc>
          <w:tcPr>
            <w:tcW w:type="dxa" w:w="22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Aggregation</w:t>
            </w:r>
          </w:p>
        </w:tc>
        <w:tc>
          <w:tcPr>
            <w:tcW w:type="dxa" w:w="20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Figures 6, 9, 16</w:t>
            </w:r>
          </w:p>
        </w:tc>
        <w:tc>
          <w:tcPr>
            <w:tcW w:type="dxa" w:w="482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Logs and goals were summarised on the server into groups and averages.</w:t>
            </w:r>
          </w:p>
        </w:tc>
      </w:tr>
      <w:tr>
        <w:trPr>
          <w:cantSplit/>
        </w:trPr>
        <w:tc>
          <w:tcPr>
            <w:tcW w:type="dxa" w:w="22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Embedded documents</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Figures 10, 14, 15</w:t>
            </w:r>
          </w:p>
        </w:tc>
        <w:tc>
          <w:tcPr>
            <w:tcW w:type="dxa" w:w="482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Meal items and milestones remained fully queryable inside their parent documents.</w:t>
            </w:r>
          </w:p>
        </w:tc>
      </w:tr>
      <w:tr>
        <w:trPr>
          <w:cantSplit/>
        </w:trPr>
        <w:tc>
          <w:tcPr>
            <w:tcW w:type="dxa" w:w="22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Joins</w:t>
            </w:r>
          </w:p>
        </w:tc>
        <w:tc>
          <w:tcPr>
            <w:tcW w:type="dxa" w:w="20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Figure 11</w:t>
            </w:r>
          </w:p>
        </w:tc>
        <w:tc>
          <w:tcPr>
            <w:tcW w:type="dxa" w:w="482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Courier New" w:cs="Courier New" w:eastAsia="Courier New" w:hAnsi="Courier New"/>
                <w:color w:val="1B7A7A"/>
                <w:sz w:val="18"/>
                <w:szCs w:val="18"/>
              </w:rPr>
              <w:t xml:space="preserve">$lookup</w:t>
            </w:r>
            <w:r>
              <w:rPr>
                <w:rFonts w:ascii="Times New Roman" w:cs="Times New Roman" w:eastAsia="Times New Roman" w:hAnsi="Times New Roman"/>
                <w:color w:val="262626"/>
                <w:sz w:val="21"/>
                <w:szCs w:val="21"/>
              </w:rPr>
              <w:t xml:space="preserve"> related goals to users across collections.</w:t>
            </w:r>
          </w:p>
        </w:tc>
      </w:tr>
      <w:tr>
        <w:trPr>
          <w:cantSplit/>
        </w:trPr>
        <w:tc>
          <w:tcPr>
            <w:tcW w:type="dxa" w:w="22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Text search</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Figure 12</w:t>
            </w:r>
          </w:p>
        </w:tc>
        <w:tc>
          <w:tcPr>
            <w:tcW w:type="dxa" w:w="4826"/>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Documents were ranked by relevance through the text index.</w:t>
            </w:r>
          </w:p>
        </w:tc>
      </w:tr>
      <w:tr>
        <w:trPr>
          <w:cantSplit/>
        </w:trPr>
        <w:tc>
          <w:tcPr>
            <w:tcW w:type="dxa" w:w="22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b/>
                <w:bCs/>
                <w:color w:val="1F3864"/>
                <w:sz w:val="21"/>
                <w:szCs w:val="21"/>
              </w:rPr>
              <w:t xml:space="preserve">Cross-module pattern</w:t>
            </w:r>
          </w:p>
        </w:tc>
        <w:tc>
          <w:tcPr>
            <w:tcW w:type="dxa" w:w="2000"/>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Figure 6</w:t>
            </w:r>
          </w:p>
        </w:tc>
        <w:tc>
          <w:tcPr>
            <w:tcW w:type="dxa" w:w="4826"/>
            <w:tcBorders>
              <w:top w:val="single" w:color="B4C6E7" w:sz="4"/>
              <w:left w:val="single" w:color="B4C6E7" w:sz="4"/>
              <w:bottom w:val="single" w:color="B4C6E7" w:sz="4"/>
              <w:right w:val="single" w:color="B4C6E7" w:sz="4"/>
            </w:tcBorders>
            <w:shd w:fill="EAF0F7"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color w:val="262626"/>
                <w:sz w:val="21"/>
                <w:szCs w:val="21"/>
              </w:rPr>
              <w:t xml:space="preserve">Examination-week logs combined poor sleep, low steps and a raised heart rate.</w:t>
            </w:r>
          </w:p>
        </w:tc>
      </w:tr>
    </w:tbl>
    <w:p>
      <w:pPr>
        <w:spacing w:after="200" w:before="80"/>
        <w:jc w:val="center"/>
      </w:pPr>
      <w:r>
        <w:rPr>
          <w:rFonts w:ascii="Times New Roman" w:cs="Times New Roman" w:eastAsia="Times New Roman" w:hAnsi="Times New Roman"/>
          <w:i/>
          <w:iCs/>
          <w:color w:val="2E5C8A"/>
          <w:sz w:val="21"/>
          <w:szCs w:val="21"/>
        </w:rPr>
        <w:t xml:space="preserve">Table 6. Summary of results</w:t>
      </w:r>
    </w:p>
    <w:p>
      <w:pPr>
        <w:pStyle w:val="Heading1"/>
      </w:pPr>
      <w:r>
        <w:rPr>
          <w:rFonts w:ascii="Times New Roman" w:cs="Times New Roman" w:eastAsia="Times New Roman" w:hAnsi="Times New Roman"/>
        </w:rPr>
        <w:t xml:space="preserve">8. Conclusion</w:t>
      </w:r>
    </w:p>
    <w:p>
      <w:pPr>
        <w:spacing w:after="140" w:line="324"/>
        <w:jc w:val="both"/>
      </w:pPr>
      <w:r>
        <w:rPr>
          <w:rFonts w:ascii="Times New Roman" w:cs="Times New Roman" w:eastAsia="Times New Roman" w:hAnsi="Times New Roman"/>
          <w:color w:val="262626"/>
          <w:sz w:val="24"/>
          <w:szCs w:val="24"/>
        </w:rPr>
        <w:t xml:space="preserve">Synapse demonstrates that a document database can unify heterogeneous personal data that is normally scattered across separate applications. Embedding was used for bounded, always-together data such as meal items and milestones, and separate collections were used for unbounded time series, giving both fast single-document reads and full analytical access. Compound, unique and text indexes keep the main access paths efficient, as the Explain Plan comparison confirms, and aggregation pipelines move summarisation from the browser to the database.</w:t>
      </w:r>
    </w:p>
    <w:p>
      <w:pPr>
        <w:spacing w:after="140" w:line="324"/>
        <w:jc w:val="both"/>
      </w:pPr>
      <w:r>
        <w:rPr>
          <w:rFonts w:ascii="Times New Roman" w:cs="Times New Roman" w:eastAsia="Times New Roman" w:hAnsi="Times New Roman"/>
          <w:color w:val="262626"/>
          <w:sz w:val="24"/>
          <w:szCs w:val="24"/>
        </w:rPr>
        <w:t xml:space="preserve">The novel contribution of the project is the combination of a cross-module digital twin with an AI assistant whose changes are stored as pending actions and executed atomically only after user confirmation. This design keeps the benefits of intelligent assistance while leaving the user in control of their data. The complete system, comprising a React front end, an Express API and MongoDB Atlas, has been implemented and demonstrated on a realistic dataset.</w:t>
      </w:r>
    </w:p>
    <w:p>
      <w:pPr>
        <w:pStyle w:val="Heading2"/>
      </w:pPr>
      <w:r>
        <w:rPr>
          <w:rFonts w:ascii="Times New Roman" w:cs="Times New Roman" w:eastAsia="Times New Roman" w:hAnsi="Times New Roman"/>
        </w:rPr>
        <w:t xml:space="preserve">Future Scope</w:t>
      </w:r>
    </w:p>
    <w:p>
      <w:pPr>
        <w:pStyle w:val="ListParagraph"/>
        <w:numPr>
          <w:ilvl w:val="0"/>
          <w:numId w:val="2"/>
        </w:numPr>
        <w:spacing w:after="80" w:line="312"/>
        <w:jc w:val="both"/>
      </w:pPr>
      <w:r>
        <w:rPr>
          <w:rFonts w:ascii="Times New Roman" w:cs="Times New Roman" w:eastAsia="Times New Roman" w:hAnsi="Times New Roman"/>
          <w:color w:val="262626"/>
          <w:sz w:val="24"/>
          <w:szCs w:val="24"/>
        </w:rPr>
        <w:t xml:space="preserve">Store a calendar-day field on each log so that cross-module joins can use plain indexed </w:t>
      </w:r>
      <w:r>
        <w:rPr>
          <w:rFonts w:ascii="Courier New" w:cs="Courier New" w:eastAsia="Courier New" w:hAnsi="Courier New"/>
          <w:color w:val="1B7A7A"/>
          <w:sz w:val="21"/>
          <w:szCs w:val="21"/>
        </w:rPr>
        <w:t xml:space="preserve">localField</w:t>
      </w:r>
      <w:r>
        <w:rPr>
          <w:rFonts w:ascii="Times New Roman" w:cs="Times New Roman" w:eastAsia="Times New Roman" w:hAnsi="Times New Roman"/>
          <w:color w:val="262626"/>
          <w:sz w:val="24"/>
          <w:szCs w:val="24"/>
        </w:rPr>
        <w:t xml:space="preserve"> and </w:t>
      </w:r>
      <w:r>
        <w:rPr>
          <w:rFonts w:ascii="Courier New" w:cs="Courier New" w:eastAsia="Courier New" w:hAnsi="Courier New"/>
          <w:color w:val="1B7A7A"/>
          <w:sz w:val="21"/>
          <w:szCs w:val="21"/>
        </w:rPr>
        <w:t xml:space="preserve">foreignField</w:t>
      </w:r>
      <w:r>
        <w:rPr>
          <w:rFonts w:ascii="Times New Roman" w:cs="Times New Roman" w:eastAsia="Times New Roman" w:hAnsi="Times New Roman"/>
          <w:color w:val="262626"/>
          <w:sz w:val="24"/>
          <w:szCs w:val="24"/>
        </w:rPr>
        <w:t xml:space="preserve"> matching.</w:t>
      </w:r>
    </w:p>
    <w:p>
      <w:pPr>
        <w:pStyle w:val="ListParagraph"/>
        <w:numPr>
          <w:ilvl w:val="0"/>
          <w:numId w:val="2"/>
        </w:numPr>
        <w:spacing w:after="80" w:line="312"/>
        <w:jc w:val="both"/>
      </w:pPr>
      <w:r>
        <w:rPr>
          <w:rFonts w:ascii="Times New Roman" w:cs="Times New Roman" w:eastAsia="Times New Roman" w:hAnsi="Times New Roman"/>
          <w:color w:val="262626"/>
          <w:sz w:val="24"/>
          <w:szCs w:val="24"/>
        </w:rPr>
        <w:t xml:space="preserve">Use MongoDB time-series collections for health logs, and a TTL index to remove expired AI actions automatically.</w:t>
      </w:r>
    </w:p>
    <w:p>
      <w:pPr>
        <w:pStyle w:val="ListParagraph"/>
        <w:numPr>
          <w:ilvl w:val="0"/>
          <w:numId w:val="2"/>
        </w:numPr>
        <w:spacing w:after="80" w:line="312"/>
        <w:jc w:val="both"/>
      </w:pPr>
      <w:r>
        <w:rPr>
          <w:rFonts w:ascii="Times New Roman" w:cs="Times New Roman" w:eastAsia="Times New Roman" w:hAnsi="Times New Roman"/>
          <w:color w:val="262626"/>
          <w:sz w:val="24"/>
          <w:szCs w:val="24"/>
        </w:rPr>
        <w:t xml:space="preserve">Move uploads to GridFS or cloud object storage and fill the </w:t>
      </w:r>
      <w:r>
        <w:rPr>
          <w:rFonts w:ascii="Courier New" w:cs="Courier New" w:eastAsia="Courier New" w:hAnsi="Courier New"/>
          <w:color w:val="1B7A7A"/>
          <w:sz w:val="21"/>
          <w:szCs w:val="21"/>
        </w:rPr>
        <w:t xml:space="preserve">ocrText</w:t>
      </w:r>
      <w:r>
        <w:rPr>
          <w:rFonts w:ascii="Times New Roman" w:cs="Times New Roman" w:eastAsia="Times New Roman" w:hAnsi="Times New Roman"/>
          <w:color w:val="262626"/>
          <w:sz w:val="24"/>
          <w:szCs w:val="24"/>
        </w:rPr>
        <w:t xml:space="preserve"> field automatically with OCR.</w:t>
      </w:r>
    </w:p>
    <w:p>
      <w:pPr>
        <w:pStyle w:val="ListParagraph"/>
        <w:numPr>
          <w:ilvl w:val="0"/>
          <w:numId w:val="2"/>
        </w:numPr>
        <w:spacing w:after="80" w:line="312"/>
        <w:jc w:val="both"/>
      </w:pPr>
      <w:r>
        <w:rPr>
          <w:rFonts w:ascii="Times New Roman" w:cs="Times New Roman" w:eastAsia="Times New Roman" w:hAnsi="Times New Roman"/>
          <w:color w:val="262626"/>
          <w:sz w:val="24"/>
          <w:szCs w:val="24"/>
        </w:rPr>
        <w:t xml:space="preserve">Add real Fitbit and Google Fit synchronisation, Atlas Search for fuzzy matching, and automated API tests with continuous integration.</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2E5C8A"/>
        <w:sz w:val="20"/>
        <w:szCs w:val="20"/>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space="4"/>
      </w:pBdr>
      <w:jc w:val="right"/>
    </w:pPr>
    <w:r>
      <w:rPr>
        <w:rFonts w:ascii="Times New Roman" w:cs="Times New Roman" w:eastAsia="Times New Roman" w:hAnsi="Times New Roman"/>
        <w:i/>
        <w:iCs/>
        <w:color w:val="595959"/>
        <w:sz w:val="18"/>
        <w:szCs w:val="18"/>
      </w:rPr>
      <w:t xml:space="preserve">BCSE302L Database Systems – DA2  |  Synapse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1B7A7A"/>
      </w:rPr>
    </w:lvl>
  </w:abstractNum>
  <w:abstractNum w:abstractNumId="3" w15:restartNumberingAfterBreak="0">
    <w:multiLevelType w:val="hybridMultilevel"/>
    <w:lvl w:ilvl="0" w15:tentative="1">
      <w:start w:val="1"/>
      <w:numFmt w:val="decimal"/>
      <w:lvlText w:val="%1."/>
      <w:lvlJc w:val="left"/>
      <w:pPr>
        <w:ind w:left="540" w:hanging="360"/>
      </w:pPr>
      <w:rPr>
        <w:b/>
        <w:bCs/>
        <w:color w:val="1F3864"/>
      </w:rPr>
    </w:lvl>
  </w:abstractNum>
  <w:abstractNum w:abstractNumId="4" w15:restartNumberingAfterBreak="0">
    <w:multiLevelType w:val="hybridMultilevel"/>
    <w:lvl w:ilvl="0" w15:tentative="1">
      <w:start w:val="1"/>
      <w:numFmt w:val="decimal"/>
      <w:lvlText w:val="%1."/>
      <w:lvlJc w:val="left"/>
      <w:pPr>
        <w:ind w:left="540" w:hanging="3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62626"/>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B7A7A" w:sz="8" w:space="4"/>
      </w:pBd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8a2e3b5b3fd2ce4d08034d17bdbcad05929d15e.png"/><Relationship Id="rId12" Type="http://schemas.openxmlformats.org/officeDocument/2006/relationships/image" Target="media/05388dd0b394c97a0cf19fd4932136277a4517ff.png"/><Relationship Id="rId13" Type="http://schemas.openxmlformats.org/officeDocument/2006/relationships/image" Target="media/95608dbc2f25131129ee5af44075c7fac84453ad.png"/><Relationship Id="rId14" Type="http://schemas.openxmlformats.org/officeDocument/2006/relationships/image" Target="media/91a4a85b703f23f53fd1b3befa42f7a731ced28f.png"/><Relationship Id="rId15" Type="http://schemas.openxmlformats.org/officeDocument/2006/relationships/image" Target="media/997a6a5e7a9ce4aaf97b6f40671f8e31a90e0d56.png"/><Relationship Id="rId16" Type="http://schemas.openxmlformats.org/officeDocument/2006/relationships/image" Target="media/45423e4eaa2292293df1a65bc1541a2b221bf6d9.png"/><Relationship Id="rId17" Type="http://schemas.openxmlformats.org/officeDocument/2006/relationships/image" Target="media/f2bea967fac56ca5ffe97eb25e97299e85c2f966.png"/><Relationship Id="rId18" Type="http://schemas.openxmlformats.org/officeDocument/2006/relationships/image" Target="media/d52aa480e9c75d52d35ccc6be0ab9606cee27dfe.png"/><Relationship Id="rId19" Type="http://schemas.openxmlformats.org/officeDocument/2006/relationships/image" Target="media/cc39108b85095936bb0d22f3f71d355754eb14df.png"/><Relationship Id="rId20" Type="http://schemas.openxmlformats.org/officeDocument/2006/relationships/image" Target="media/b18beef9c3613693b6b14c9ccf3298f2b52d04e5.png"/><Relationship Id="rId21" Type="http://schemas.openxmlformats.org/officeDocument/2006/relationships/image" Target="media/83ed9257f5dc2a458051a811326992d545facefa.png"/><Relationship Id="rId22" Type="http://schemas.openxmlformats.org/officeDocument/2006/relationships/image" Target="media/968dc1ca882148c0889c991fb22cf7b56e4e670f.png"/><Relationship Id="rId23" Type="http://schemas.openxmlformats.org/officeDocument/2006/relationships/image" Target="media/6974454428c8f04737ea8566d6c62de7f45e7a82.png"/><Relationship Id="rId24" Type="http://schemas.openxmlformats.org/officeDocument/2006/relationships/image" Target="media/7542ab475685e75c1e45ad54e7d8ca2a9917a10a.png"/><Relationship Id="rId25" Type="http://schemas.openxmlformats.org/officeDocument/2006/relationships/image" Target="media/8c3e0ad8de7fd7cbeae6e3dc64ef40bd421929d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Synapse – DA2 Project Report</dc:title>
  <dc:creator>Ishan Kumar (24BCE1563)</dc:creator>
  <cp:lastModifiedBy>Un-named</cp:lastModifiedBy>
  <cp:revision>1</cp:revision>
  <dcterms:created xsi:type="dcterms:W3CDTF">2026-10-13T19:16:30.468Z</dcterms:created>
  <dcterms:modified xsi:type="dcterms:W3CDTF">2026-10-13T19:16:30.473Z</dcterms:modified>
</cp:coreProperties>
</file>

<file path=docProps/custom.xml><?xml version="1.0" encoding="utf-8"?>
<Properties xmlns="http://schemas.openxmlformats.org/officeDocument/2006/custom-properties" xmlns:vt="http://schemas.openxmlformats.org/officeDocument/2006/docPropsVTypes"/>
</file>