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75026" w14:textId="18465974" w:rsidR="004C269B" w:rsidRDefault="004C269B">
      <w:pPr>
        <w:rPr>
          <w:b/>
          <w:bCs/>
        </w:rPr>
      </w:pPr>
      <w:r>
        <w:rPr>
          <w:b/>
          <w:bCs/>
        </w:rPr>
        <w:t>Overview IEX: 2 more energy exchanges in India but IEX accounts for 90% trades.</w:t>
      </w:r>
    </w:p>
    <w:p w14:paraId="52BC3A16" w14:textId="77777777" w:rsidR="004C269B" w:rsidRDefault="004C269B">
      <w:pPr>
        <w:rPr>
          <w:b/>
          <w:bCs/>
        </w:rPr>
      </w:pPr>
    </w:p>
    <w:p w14:paraId="529B0ABF" w14:textId="5DE26EA9" w:rsidR="00E526AA" w:rsidRDefault="007F50B6">
      <w:r w:rsidRPr="007F50B6">
        <w:rPr>
          <w:b/>
          <w:bCs/>
        </w:rPr>
        <w:t>National Load Despatch Centre (NLDC):</w:t>
      </w:r>
      <w:r w:rsidRPr="007F50B6">
        <w:t> Functioning as the nodal agency for collective transactions, the NLDC is responsible for verifying the availability of transmission corridors. Before any trade is cleared on IEX, the algorithm must validate that the physical grid can support the flow of power from the seller's region to the buyer's region without violating thermal or stability limits.</w:t>
      </w:r>
    </w:p>
    <w:p w14:paraId="498D8B42" w14:textId="77777777" w:rsidR="007F50B6" w:rsidRDefault="007F50B6"/>
    <w:p w14:paraId="44CB4BCA" w14:textId="5C9A14C8" w:rsidR="007F50B6" w:rsidRDefault="007F50B6">
      <w:r w:rsidRPr="007F50B6">
        <w:rPr>
          <w:b/>
          <w:bCs/>
        </w:rPr>
        <w:t>Regional and State Load Despatch Centres (RLDCs/SLDCs):</w:t>
      </w:r>
      <w:r w:rsidRPr="007F50B6">
        <w:t> These entities manage the scheduling and dispatch at regional and state levels, ensuring that the schedules finalized on the exchange are physically delivered.</w:t>
      </w:r>
    </w:p>
    <w:p w14:paraId="19C54093" w14:textId="77777777" w:rsidR="007F50B6" w:rsidRDefault="007F50B6"/>
    <w:p w14:paraId="3E083310" w14:textId="1FA105AA" w:rsidR="007F50B6" w:rsidRDefault="007F50B6">
      <w:r w:rsidRPr="007F50B6">
        <w:t>Over 60+ Discoms participate on the exchange</w:t>
      </w:r>
      <w:r>
        <w:t xml:space="preserve"> </w:t>
      </w:r>
    </w:p>
    <w:p w14:paraId="148F0C29" w14:textId="238F9AEA" w:rsidR="007F50B6" w:rsidRDefault="007F50B6">
      <w:r>
        <w:t>C</w:t>
      </w:r>
      <w:r w:rsidRPr="007F50B6">
        <w:t>onsumers with a connected load of 1 MW and above to procure power from sources other than their local Discom. Over 4,900 Commercial and Industrial (C&amp;I) consumers—spanning steel, cement, textiles, and chemicals—use IEX to reduce their operational costs.</w:t>
      </w:r>
    </w:p>
    <w:p w14:paraId="69E0DAC2" w14:textId="5835210D" w:rsidR="007F50B6" w:rsidRDefault="007F50B6">
      <w:r w:rsidRPr="007F50B6">
        <w:t>The supply side comprises over 850 conventional generators (thermal, hydro) and 2,100+ renewable energy generators.</w:t>
      </w:r>
    </w:p>
    <w:p w14:paraId="71DF24AE" w14:textId="77777777" w:rsidR="007F50B6" w:rsidRDefault="007F50B6"/>
    <w:p w14:paraId="6786E9D8" w14:textId="77777777" w:rsidR="00E75BE5" w:rsidRPr="00E75BE5" w:rsidRDefault="00E75BE5" w:rsidP="00E75BE5">
      <w:r>
        <w:t>B</w:t>
      </w:r>
      <w:r w:rsidR="007F50B6" w:rsidRPr="007F50B6">
        <w:t>oth buyers and sellers submit active price-quantity bids. The demand curve is derived from the aggregation of buy bids, and the supply curve from sell bids. The intersection of these two curves determines the Market Clearing Price (MCP) and Market Clearing Volume (MCV</w:t>
      </w:r>
      <w:r w:rsidR="007F50B6">
        <w:t>)</w:t>
      </w:r>
      <w:r>
        <w:t>.</w:t>
      </w:r>
      <w:r>
        <w:br/>
      </w:r>
      <w:r>
        <w:br/>
      </w:r>
      <w:r w:rsidRPr="00E75BE5">
        <w:rPr>
          <w:b/>
          <w:bCs/>
        </w:rPr>
        <w:t>Simple Bids:</w:t>
      </w:r>
      <w:r w:rsidRPr="00E75BE5">
        <w:t> These are standard linear bids where a participant wants to buy/sell a specific quantity at a specific price for a specific 15-minute block.</w:t>
      </w:r>
    </w:p>
    <w:p w14:paraId="3DC5E45A" w14:textId="77777777" w:rsidR="00E75BE5" w:rsidRDefault="00E75BE5" w:rsidP="00E75BE5">
      <w:r w:rsidRPr="00E75BE5">
        <w:rPr>
          <w:b/>
          <w:bCs/>
        </w:rPr>
        <w:t>Block Bids (Complex Bids):</w:t>
      </w:r>
      <w:r w:rsidRPr="00E75BE5">
        <w:t> Power plants, particularly thermal ones, have technical limitations. They cannot simply switch on for 15 minutes and then switch off. They require a minimum run-time to reach thermal equilibrium. A "Block Bid" allows a generator to say, "I will sell 100 MW, but only if I am selected for 4 continuous hours (e.g., 6 PM to 10 PM).</w:t>
      </w:r>
    </w:p>
    <w:p w14:paraId="52402E5F" w14:textId="2E39FB3A" w:rsidR="00E75BE5" w:rsidRPr="00E75BE5" w:rsidRDefault="00E75BE5" w:rsidP="00E75BE5">
      <w:r w:rsidRPr="00E75BE5">
        <w:rPr>
          <w:b/>
          <w:bCs/>
        </w:rPr>
        <w:t>Western Region (The Generator):</w:t>
      </w:r>
      <w:r w:rsidRPr="00E75BE5">
        <w:t xml:space="preserve"> The West is historically a power surplus region, rich in coal-fired thermal generation capacity (particularly in Chhattisgarh and Madhya Pradesh). It often produces electricity at a lower cost.</w:t>
      </w:r>
    </w:p>
    <w:p w14:paraId="033FC4DD" w14:textId="60C8CAC4" w:rsidR="00E75BE5" w:rsidRDefault="00E75BE5" w:rsidP="00E75BE5">
      <w:r w:rsidRPr="00E75BE5">
        <w:rPr>
          <w:b/>
          <w:bCs/>
        </w:rPr>
        <w:t>Northern Region (The Consumer):</w:t>
      </w:r>
      <w:r w:rsidRPr="00E75BE5">
        <w:t xml:space="preserve"> The North often faces high demand deficits, especially during summer heatwaves or the agricultural paddy season. It seeks to import this cheaper power from the West.</w:t>
      </w:r>
    </w:p>
    <w:p w14:paraId="7FE458E3" w14:textId="2B9265B9" w:rsidR="00E75BE5" w:rsidRDefault="00E75BE5" w:rsidP="00E75BE5">
      <w:r w:rsidRPr="00E75BE5">
        <w:t xml:space="preserve">Congestion occurs when the volume of electricity that buyers in the North want to purchase from sellers in the West exceeds the physical carrying capacity—known as </w:t>
      </w:r>
      <w:r w:rsidRPr="00E75BE5">
        <w:rPr>
          <w:b/>
          <w:bCs/>
        </w:rPr>
        <w:t>Total Transfer Capability (TTC)</w:t>
      </w:r>
      <w:r w:rsidRPr="00E75BE5">
        <w:t xml:space="preserve"> or </w:t>
      </w:r>
      <w:r w:rsidRPr="00E75BE5">
        <w:rPr>
          <w:b/>
          <w:bCs/>
        </w:rPr>
        <w:t>Available Transfer Capability (ATC)</w:t>
      </w:r>
      <w:r w:rsidRPr="00E75BE5">
        <w:t>—of the transmission links connecting them.</w:t>
      </w:r>
    </w:p>
    <w:p w14:paraId="09BD50D6" w14:textId="77777777" w:rsidR="00E75BE5" w:rsidRPr="00E75BE5" w:rsidRDefault="00E75BE5" w:rsidP="00E75BE5">
      <w:r w:rsidRPr="00E75BE5">
        <w:lastRenderedPageBreak/>
        <w:t xml:space="preserve">When this corridor clogs, the "One Nation, One Price" mechanism breaks down, and the IEX algorithm triggers </w:t>
      </w:r>
      <w:r w:rsidRPr="00E75BE5">
        <w:rPr>
          <w:b/>
          <w:bCs/>
        </w:rPr>
        <w:t>Market Splitting</w:t>
      </w:r>
      <w:r w:rsidRPr="00E75BE5">
        <w:t xml:space="preserve">. The single Market Clearing Price (MCP) splits into two different </w:t>
      </w:r>
      <w:r w:rsidRPr="00E75BE5">
        <w:rPr>
          <w:b/>
          <w:bCs/>
        </w:rPr>
        <w:t>Area Clearing Prices (ACP)</w:t>
      </w:r>
      <w:r w:rsidRPr="00E75BE5">
        <w:t>:</w:t>
      </w:r>
    </w:p>
    <w:p w14:paraId="3ED2E70D" w14:textId="77777777" w:rsidR="00E75BE5" w:rsidRPr="00E75BE5" w:rsidRDefault="00E75BE5" w:rsidP="00E75BE5">
      <w:pPr>
        <w:numPr>
          <w:ilvl w:val="0"/>
          <w:numId w:val="2"/>
        </w:numPr>
      </w:pPr>
      <w:r w:rsidRPr="00E75BE5">
        <w:rPr>
          <w:b/>
          <w:bCs/>
        </w:rPr>
        <w:t>In the West (Export-Constrained):</w:t>
      </w:r>
      <w:r w:rsidRPr="00E75BE5">
        <w:t xml:space="preserve"> Because generators cannot export their surplus power to the North, they are forced to sell it locally. This oversupply competes for limited local demand, driving the price </w:t>
      </w:r>
      <w:r w:rsidRPr="00E75BE5">
        <w:rPr>
          <w:b/>
          <w:bCs/>
        </w:rPr>
        <w:t>down</w:t>
      </w:r>
      <w:r w:rsidRPr="00E75BE5">
        <w:t>.</w:t>
      </w:r>
    </w:p>
    <w:p w14:paraId="3BF6B83D" w14:textId="77777777" w:rsidR="00E75BE5" w:rsidRPr="00E75BE5" w:rsidRDefault="00E75BE5" w:rsidP="00E75BE5">
      <w:pPr>
        <w:numPr>
          <w:ilvl w:val="0"/>
          <w:numId w:val="2"/>
        </w:numPr>
      </w:pPr>
      <w:r w:rsidRPr="00E75BE5">
        <w:rPr>
          <w:b/>
          <w:bCs/>
        </w:rPr>
        <w:t>In the North (Import-Constrained):</w:t>
      </w:r>
      <w:r w:rsidRPr="00E75BE5">
        <w:t xml:space="preserve"> Because they cannot import enough cheap power, the region must rely on more expensive local power plants to meet the remaining demand. This scarcity drives the price </w:t>
      </w:r>
      <w:r w:rsidRPr="00E75BE5">
        <w:rPr>
          <w:b/>
          <w:bCs/>
        </w:rPr>
        <w:t>up</w:t>
      </w:r>
      <w:r w:rsidRPr="00E75BE5">
        <w:t>.</w:t>
      </w:r>
    </w:p>
    <w:p w14:paraId="31C0B6B1" w14:textId="76243C12" w:rsidR="00E75BE5" w:rsidRDefault="00E75BE5" w:rsidP="00E75BE5">
      <w:r w:rsidRPr="00E75BE5">
        <w:t>The Day-Ahead Market (DAM)</w:t>
      </w:r>
      <w:r>
        <w:t xml:space="preserve">, </w:t>
      </w:r>
      <w:r w:rsidR="000217E9" w:rsidRPr="000217E9">
        <w:t>allowing participants to plan their portfolios for the next day (D+1) with a high degree of certainty. It accounts for the largest share of traded volume on the exchange.</w:t>
      </w:r>
    </w:p>
    <w:p w14:paraId="103F6F8A" w14:textId="77777777" w:rsidR="000217E9" w:rsidRDefault="000217E9" w:rsidP="00E75BE5"/>
    <w:p w14:paraId="556B13D0" w14:textId="16D43030" w:rsidR="000217E9" w:rsidRDefault="000217E9" w:rsidP="00E75BE5">
      <w:r w:rsidRPr="000217E9">
        <w:t>The bidding window opens at 10:00 AM and closes at 12:00 PM on the day preceding delivery (D-1</w:t>
      </w:r>
      <w:r>
        <w:t>)</w:t>
      </w:r>
      <w:r w:rsidRPr="000217E9">
        <w:t>. This two-hour window is when the majority of India's short-term power procurement decisions are made.</w:t>
      </w:r>
    </w:p>
    <w:p w14:paraId="49D84058" w14:textId="3F543675" w:rsidR="000217E9" w:rsidRDefault="000217E9" w:rsidP="00E75BE5">
      <w:r w:rsidRPr="000217E9">
        <w:t xml:space="preserve">The delivery day is divided into </w:t>
      </w:r>
      <w:proofErr w:type="gramStart"/>
      <w:r w:rsidRPr="000217E9">
        <w:t>96 time</w:t>
      </w:r>
      <w:proofErr w:type="gramEnd"/>
      <w:r w:rsidRPr="000217E9">
        <w:t xml:space="preserve"> blocks of 15 minutes each (00:00 to 00:15, 00:15 to 00:30, etc.). Participants can bid different prices and quantities for each independent block, allowing for precise load profiling.</w:t>
      </w:r>
    </w:p>
    <w:p w14:paraId="162768DE" w14:textId="77777777" w:rsidR="000217E9" w:rsidRDefault="000217E9" w:rsidP="000217E9">
      <w:pPr>
        <w:rPr>
          <w:b/>
          <w:bCs/>
        </w:rPr>
      </w:pPr>
    </w:p>
    <w:p w14:paraId="20D176DE" w14:textId="4242C25E" w:rsidR="000217E9" w:rsidRPr="000217E9" w:rsidRDefault="000217E9" w:rsidP="000217E9">
      <w:pPr>
        <w:rPr>
          <w:b/>
          <w:bCs/>
        </w:rPr>
      </w:pPr>
      <w:r w:rsidRPr="000217E9">
        <w:rPr>
          <w:b/>
          <w:bCs/>
        </w:rPr>
        <w:t>Green Day-Ahead Market (GDAM)</w:t>
      </w:r>
    </w:p>
    <w:p w14:paraId="0F27928B" w14:textId="306D9E46" w:rsidR="000217E9" w:rsidRDefault="000217E9" w:rsidP="00E75BE5">
      <w:r>
        <w:t>D</w:t>
      </w:r>
      <w:r w:rsidRPr="000217E9">
        <w:t>irect marketplace for "green" energy without the need for long-term PPAs, GDAM allows obligated entities (those with Renewable Purchase Obligations or RPOs) and voluntary buyers (ESG-conscious corporates) to procure renewable power.</w:t>
      </w:r>
      <w:r>
        <w:br/>
      </w:r>
      <w:r>
        <w:br/>
      </w:r>
      <w:r w:rsidRPr="000217E9">
        <w:t>GDAM discovers a separate Green Market Clearing Price. This price theoretically reflects the marginal cost of renewable generation plus the premium for the "green" attribute. However, interestingly, market data often shows GDAM prices trading at parity or even discount to DAM prices during solar peak hours due to the zero marginal cost of solar generation.</w:t>
      </w:r>
    </w:p>
    <w:p w14:paraId="4916F337" w14:textId="77777777" w:rsidR="000217E9" w:rsidRDefault="000217E9" w:rsidP="000217E9">
      <w:r w:rsidRPr="000217E9">
        <w:rPr>
          <w:b/>
          <w:bCs/>
        </w:rPr>
        <w:t>Order Carry Forward (OCF):</w:t>
      </w:r>
      <w:r w:rsidRPr="000217E9">
        <w:t xml:space="preserve"> A critical risk management feature for buyers. A Discom might want to buy </w:t>
      </w:r>
      <w:proofErr w:type="gramStart"/>
      <w:r w:rsidRPr="000217E9">
        <w:t>Green</w:t>
      </w:r>
      <w:proofErr w:type="gramEnd"/>
      <w:r w:rsidRPr="000217E9">
        <w:t xml:space="preserve"> power, but if there isn't enough liquidity or the price is too high, they still need electricity to keep the lights on. The OCF facility allows them to place a bid in GDAM with the condition: "Try to buy Green; if not, move my bid to the Conventional DAM window automatically." This seamless integration reduces the risk of unfulfilled demand.   </w:t>
      </w:r>
    </w:p>
    <w:p w14:paraId="6E23B6F1" w14:textId="5E64F37E" w:rsidR="000217E9" w:rsidRDefault="000217E9" w:rsidP="000217E9">
      <w:r w:rsidRPr="000217E9">
        <w:t>The power procured here counts towards the buyer's RPO compliance.</w:t>
      </w:r>
    </w:p>
    <w:p w14:paraId="4D3B587D" w14:textId="77777777" w:rsidR="000217E9" w:rsidRDefault="000217E9" w:rsidP="000217E9"/>
    <w:p w14:paraId="5F5BE17B" w14:textId="77777777" w:rsidR="007C2617" w:rsidRPr="007C2617" w:rsidRDefault="007C2617" w:rsidP="007C2617">
      <w:pPr>
        <w:rPr>
          <w:b/>
          <w:bCs/>
        </w:rPr>
      </w:pPr>
      <w:r w:rsidRPr="007C2617">
        <w:rPr>
          <w:b/>
          <w:bCs/>
        </w:rPr>
        <w:t>High Price Day-Ahead Market (HP-DAM)</w:t>
      </w:r>
    </w:p>
    <w:p w14:paraId="51F9A1AB" w14:textId="77777777" w:rsidR="007C2617" w:rsidRPr="007C2617" w:rsidRDefault="007C2617" w:rsidP="007C2617">
      <w:r w:rsidRPr="007C2617">
        <w:t>CERC imposes a ceiling price on the exchange (e.g., ₹10/kWh or ₹12/kWh) to protect consumers. However, generators using imported coal or expensive gas/naphtha often have generation costs exceeding this cap. Consequently, they would simply not participate, leading to a supply shortage.</w:t>
      </w:r>
    </w:p>
    <w:p w14:paraId="4C05920D" w14:textId="48F86F9E" w:rsidR="007C2617" w:rsidRDefault="007C2617" w:rsidP="007C2617">
      <w:r w:rsidRPr="007C2617">
        <w:lastRenderedPageBreak/>
        <w:t>HP-DAM was introduced as a specific segment for these high-cost generators (Gas, Imported Coal, Battery Storage).</w:t>
      </w:r>
      <w:r>
        <w:t xml:space="preserve"> T</w:t>
      </w:r>
      <w:r w:rsidRPr="007C2617">
        <w:t>his segment operates with a much higher price ceiling (e.g., ₹20/kWh or ₹50/kWh, subject to regulation), allowing these expensive plants to recover their variable costs.</w:t>
      </w:r>
      <w:r>
        <w:t xml:space="preserve"> </w:t>
      </w:r>
      <w:r w:rsidRPr="007C2617">
        <w:t>Similar to GDAM, uncleared bids from the conventional DAM can flow into HP-DAM. If a buyer is desperate for power and cannot find it at ₹10, they can opt to search in the HP-DAM pool at a higher price.</w:t>
      </w:r>
    </w:p>
    <w:p w14:paraId="430E2C76" w14:textId="77777777" w:rsidR="007C2617" w:rsidRDefault="007C2617" w:rsidP="007C2617"/>
    <w:p w14:paraId="6FA9D2CD" w14:textId="5D5DCC54" w:rsidR="007C2617" w:rsidRPr="007C2617" w:rsidRDefault="007C2617" w:rsidP="007C2617">
      <w:pPr>
        <w:rPr>
          <w:b/>
          <w:bCs/>
        </w:rPr>
      </w:pPr>
      <w:r w:rsidRPr="007C2617">
        <w:rPr>
          <w:b/>
          <w:bCs/>
        </w:rPr>
        <w:t>Real-Time Market (RTM): The 24-Hour Grid Balancer</w:t>
      </w:r>
    </w:p>
    <w:p w14:paraId="260F7651" w14:textId="75E7FE9C" w:rsidR="007C2617" w:rsidRDefault="007C2617" w:rsidP="007C2617">
      <w:r w:rsidRPr="007C2617">
        <w:t>While the Day-Ahead Market allows for planning, the grid operates in real-time reality where forecasts fail. A generator may trip, a cloud may cover a solar park, or a sudden heatwave may spike air conditioning load. The Real-Time Market (RTM)</w:t>
      </w:r>
      <w:r>
        <w:t xml:space="preserve"> </w:t>
      </w:r>
      <w:r w:rsidRPr="007C2617">
        <w:t>is the mechanism designed to handle these sub-hourly deviations.</w:t>
      </w:r>
    </w:p>
    <w:p w14:paraId="1701459D" w14:textId="79E9D997" w:rsidR="007C2617" w:rsidRPr="007C2617" w:rsidRDefault="004913BE" w:rsidP="007C2617">
      <w:r w:rsidRPr="004913BE">
        <w:t>The RTM is a high-frequency trading environment consisting of </w:t>
      </w:r>
      <w:r w:rsidRPr="004913BE">
        <w:rPr>
          <w:b/>
          <w:bCs/>
        </w:rPr>
        <w:t>48 distinct auction sessions</w:t>
      </w:r>
      <w:r w:rsidRPr="004913BE">
        <w:t> per day. Each session covers a delivery duration of 30 minutes (two 15-minute blocks).</w:t>
      </w:r>
    </w:p>
    <w:p w14:paraId="54ED3680" w14:textId="77777777" w:rsidR="00212482" w:rsidRPr="00212482" w:rsidRDefault="00212482" w:rsidP="00212482">
      <w:r w:rsidRPr="00212482">
        <w:rPr>
          <w:b/>
          <w:bCs/>
        </w:rPr>
        <w:t>The RTM Cycle:</w:t>
      </w:r>
    </w:p>
    <w:p w14:paraId="2B50BAA6" w14:textId="77777777" w:rsidR="00212482" w:rsidRPr="00212482" w:rsidRDefault="00212482" w:rsidP="00212482">
      <w:pPr>
        <w:numPr>
          <w:ilvl w:val="0"/>
          <w:numId w:val="5"/>
        </w:numPr>
      </w:pPr>
      <w:r w:rsidRPr="00212482">
        <w:rPr>
          <w:b/>
          <w:bCs/>
        </w:rPr>
        <w:t>Auction Window:</w:t>
      </w:r>
      <w:r w:rsidRPr="00212482">
        <w:t> Bidding opens and closes every 30 minutes.</w:t>
      </w:r>
    </w:p>
    <w:p w14:paraId="531531B1" w14:textId="77777777" w:rsidR="00212482" w:rsidRPr="00212482" w:rsidRDefault="00212482" w:rsidP="00212482">
      <w:pPr>
        <w:numPr>
          <w:ilvl w:val="0"/>
          <w:numId w:val="5"/>
        </w:numPr>
      </w:pPr>
      <w:r w:rsidRPr="00212482">
        <w:rPr>
          <w:b/>
          <w:bCs/>
        </w:rPr>
        <w:t>Gate Closure:</w:t>
      </w:r>
      <w:r w:rsidRPr="00212482">
        <w:t> The auction closes exactly one hour before the start of delivery. For example, for power delivery between 12:00 and 12:30, the auction runs until 10:45, cleared by 11:00, and scheduled by 11:15.</w:t>
      </w:r>
    </w:p>
    <w:p w14:paraId="6F2046C3" w14:textId="77777777" w:rsidR="00212482" w:rsidRPr="00212482" w:rsidRDefault="00212482" w:rsidP="00212482">
      <w:pPr>
        <w:numPr>
          <w:ilvl w:val="0"/>
          <w:numId w:val="5"/>
        </w:numPr>
      </w:pPr>
      <w:r w:rsidRPr="00212482">
        <w:rPr>
          <w:b/>
          <w:bCs/>
        </w:rPr>
        <w:t>Delivery:</w:t>
      </w:r>
      <w:r w:rsidRPr="00212482">
        <w:t> </w:t>
      </w:r>
      <w:proofErr w:type="gramStart"/>
      <w:r w:rsidRPr="00212482">
        <w:t>4 time</w:t>
      </w:r>
      <w:proofErr w:type="gramEnd"/>
      <w:r w:rsidRPr="00212482">
        <w:t xml:space="preserve"> blocks (1 hour) after the gate closure.</w:t>
      </w:r>
    </w:p>
    <w:p w14:paraId="59FC3EFB" w14:textId="77777777" w:rsidR="00A359C1" w:rsidRDefault="00A359C1" w:rsidP="000217E9"/>
    <w:p w14:paraId="1E7D8E3B" w14:textId="77777777" w:rsidR="00A359C1" w:rsidRDefault="00A359C1" w:rsidP="000217E9"/>
    <w:p w14:paraId="44769CCE" w14:textId="647483C1" w:rsidR="000217E9" w:rsidRPr="000217E9" w:rsidRDefault="00A359C1" w:rsidP="000217E9">
      <w:r>
        <w:t>T</w:t>
      </w:r>
      <w:r w:rsidRPr="00A359C1">
        <w:t xml:space="preserve">he CERC further reduced this cap to </w:t>
      </w:r>
      <w:r w:rsidRPr="00A359C1">
        <w:rPr>
          <w:b/>
          <w:bCs/>
        </w:rPr>
        <w:t>₹10/kWh</w:t>
      </w:r>
      <w:r w:rsidRPr="00A359C1">
        <w:t xml:space="preserve"> for all standard segments (DAM, RTM, GDAM, Intra-day, etc.).</w:t>
      </w:r>
      <w:r w:rsidR="008F022F">
        <w:t xml:space="preserve"> </w:t>
      </w:r>
      <w:r w:rsidR="008F022F" w:rsidRPr="008F022F">
        <w:t xml:space="preserve">The CERC approved and implemented a lower ceiling. The operational price cap for the HP-DAM segment is </w:t>
      </w:r>
      <w:r w:rsidR="008F022F" w:rsidRPr="008F022F">
        <w:rPr>
          <w:b/>
          <w:bCs/>
        </w:rPr>
        <w:t>₹20/kWh</w:t>
      </w:r>
      <w:r w:rsidR="008F022F" w:rsidRPr="008F022F">
        <w:t>.</w:t>
      </w:r>
    </w:p>
    <w:p w14:paraId="7724FBA0" w14:textId="77777777" w:rsidR="000217E9" w:rsidRPr="00E75BE5" w:rsidRDefault="000217E9" w:rsidP="00E75BE5"/>
    <w:p w14:paraId="7C552752" w14:textId="3DEB1746" w:rsidR="008F022F" w:rsidRDefault="008F022F" w:rsidP="008F022F">
      <w:pPr>
        <w:rPr>
          <w:b/>
          <w:bCs/>
        </w:rPr>
      </w:pPr>
      <w:r w:rsidRPr="008F022F">
        <w:rPr>
          <w:b/>
          <w:bCs/>
        </w:rPr>
        <w:t> Term-Ahead and Intraday Markets: Bilateral Flexibility</w:t>
      </w:r>
      <w:r>
        <w:rPr>
          <w:b/>
          <w:bCs/>
        </w:rPr>
        <w:t>:</w:t>
      </w:r>
    </w:p>
    <w:p w14:paraId="3E00AA47" w14:textId="593745A1" w:rsidR="008F022F" w:rsidRPr="008F022F" w:rsidRDefault="008F022F" w:rsidP="008F022F">
      <w:r w:rsidRPr="008F022F">
        <w:t>Term-Ahead Market (TAM) facilitates contracts that are more bilateral in nature, providing certainty over longer or more specific durations.</w:t>
      </w:r>
    </w:p>
    <w:p w14:paraId="0C8528CA" w14:textId="77777777" w:rsidR="008F022F" w:rsidRPr="008F022F" w:rsidRDefault="008F022F" w:rsidP="008F022F">
      <w:pPr>
        <w:numPr>
          <w:ilvl w:val="0"/>
          <w:numId w:val="6"/>
        </w:numPr>
      </w:pPr>
      <w:r w:rsidRPr="008F022F">
        <w:rPr>
          <w:b/>
          <w:bCs/>
        </w:rPr>
        <w:t>Intra-Day:</w:t>
      </w:r>
      <w:r w:rsidRPr="008F022F">
        <w:t> Allows trading for the same day, with delivery starting as soon as 3.5 hours after trade execution. The window is open round the clock (00:30 to 20:00).   </w:t>
      </w:r>
    </w:p>
    <w:p w14:paraId="6B7A88F3" w14:textId="77777777" w:rsidR="008F022F" w:rsidRPr="008F022F" w:rsidRDefault="008F022F" w:rsidP="008F022F">
      <w:pPr>
        <w:numPr>
          <w:ilvl w:val="0"/>
          <w:numId w:val="6"/>
        </w:numPr>
      </w:pPr>
      <w:r w:rsidRPr="008F022F">
        <w:rPr>
          <w:b/>
          <w:bCs/>
        </w:rPr>
        <w:t>Day-Ahead Contingency (DAC):</w:t>
      </w:r>
      <w:r w:rsidRPr="008F022F">
        <w:t> A "second chance" window. If a participant failed to clear their bids in the main DAM window (10-12 PM), they can use the DAC window (3 PM - 11 PM) to secure power for the next day. This is critical for risk management.   </w:t>
      </w:r>
    </w:p>
    <w:p w14:paraId="02AC9C68" w14:textId="76D98872" w:rsidR="008F022F" w:rsidRDefault="008F022F" w:rsidP="008F022F">
      <w:pPr>
        <w:numPr>
          <w:ilvl w:val="0"/>
          <w:numId w:val="6"/>
        </w:numPr>
      </w:pPr>
      <w:r w:rsidRPr="008F022F">
        <w:rPr>
          <w:b/>
          <w:bCs/>
        </w:rPr>
        <w:t>Daily and Weekly Contracts:</w:t>
      </w:r>
      <w:r w:rsidRPr="008F022F">
        <w:t> These allow participants to buy power for a block of days (up to 11 days ahead). Weekly contracts (Monday-Sunday) are settled via uniform price step auctions rather than continuous matching. </w:t>
      </w:r>
    </w:p>
    <w:p w14:paraId="79056AC0" w14:textId="77777777" w:rsidR="008F022F" w:rsidRDefault="008F022F" w:rsidP="008F022F">
      <w:pPr>
        <w:rPr>
          <w:b/>
          <w:bCs/>
        </w:rPr>
      </w:pPr>
    </w:p>
    <w:p w14:paraId="47604A7D" w14:textId="77777777" w:rsidR="008F022F" w:rsidRDefault="008F022F" w:rsidP="008F022F">
      <w:pPr>
        <w:rPr>
          <w:b/>
          <w:bCs/>
        </w:rPr>
      </w:pPr>
    </w:p>
    <w:p w14:paraId="0905AB2B" w14:textId="5FDD49AD" w:rsidR="008F022F" w:rsidRPr="008F022F" w:rsidRDefault="008F022F" w:rsidP="008F022F">
      <w:pPr>
        <w:rPr>
          <w:b/>
          <w:bCs/>
        </w:rPr>
      </w:pPr>
      <w:r w:rsidRPr="008F022F">
        <w:rPr>
          <w:b/>
          <w:bCs/>
        </w:rPr>
        <w:lastRenderedPageBreak/>
        <w:t>Green Term-Ahead Market (GTAM)</w:t>
      </w:r>
    </w:p>
    <w:p w14:paraId="39845149" w14:textId="77777777" w:rsidR="008F022F" w:rsidRPr="008F022F" w:rsidRDefault="008F022F" w:rsidP="008F022F">
      <w:r w:rsidRPr="008F022F">
        <w:t>Mirroring the conventional TAM, GTAM allows for the delivery of renewable energy over longer horizons.</w:t>
      </w:r>
    </w:p>
    <w:p w14:paraId="242F2DFF" w14:textId="77777777" w:rsidR="008F022F" w:rsidRPr="008F022F" w:rsidRDefault="008F022F" w:rsidP="008F022F">
      <w:pPr>
        <w:numPr>
          <w:ilvl w:val="0"/>
          <w:numId w:val="7"/>
        </w:numPr>
      </w:pPr>
      <w:r w:rsidRPr="008F022F">
        <w:rPr>
          <w:b/>
          <w:bCs/>
        </w:rPr>
        <w:t>Segments:</w:t>
      </w:r>
      <w:r w:rsidRPr="008F022F">
        <w:t> Solar, Non-Solar, Hydro.</w:t>
      </w:r>
    </w:p>
    <w:p w14:paraId="41044642" w14:textId="77777777" w:rsidR="008F022F" w:rsidRDefault="008F022F" w:rsidP="008F022F">
      <w:pPr>
        <w:numPr>
          <w:ilvl w:val="0"/>
          <w:numId w:val="7"/>
        </w:numPr>
      </w:pPr>
      <w:r w:rsidRPr="008F022F">
        <w:rPr>
          <w:b/>
          <w:bCs/>
        </w:rPr>
        <w:t>Contract Types:</w:t>
      </w:r>
      <w:r w:rsidRPr="008F022F">
        <w:t> Intraday, Contingency, Daily, Weekly.</w:t>
      </w:r>
    </w:p>
    <w:p w14:paraId="7C3A4BCF" w14:textId="77777777" w:rsidR="008F022F" w:rsidRDefault="008F022F" w:rsidP="008F022F"/>
    <w:p w14:paraId="1EA37E73" w14:textId="77777777" w:rsidR="008F022F" w:rsidRPr="008F022F" w:rsidRDefault="008F022F" w:rsidP="008F022F">
      <w:pPr>
        <w:rPr>
          <w:b/>
          <w:bCs/>
        </w:rPr>
      </w:pPr>
      <w:r w:rsidRPr="008F022F">
        <w:rPr>
          <w:b/>
          <w:bCs/>
        </w:rPr>
        <w:t xml:space="preserve">REC and </w:t>
      </w:r>
      <w:proofErr w:type="spellStart"/>
      <w:r w:rsidRPr="008F022F">
        <w:rPr>
          <w:b/>
          <w:bCs/>
        </w:rPr>
        <w:t>ESCerts</w:t>
      </w:r>
      <w:proofErr w:type="spellEnd"/>
    </w:p>
    <w:p w14:paraId="0136CD76" w14:textId="77777777" w:rsidR="008F022F" w:rsidRPr="008F022F" w:rsidRDefault="008F022F" w:rsidP="008F022F">
      <w:r w:rsidRPr="008F022F">
        <w:t>IEX operates markets that decouple the environmental attribute of energy from the electricity itself, creating tradable certificates. This ensures that environmental compliance can be achieved efficiently across geographical boundaries.</w:t>
      </w:r>
    </w:p>
    <w:p w14:paraId="6F92B7F3" w14:textId="77777777" w:rsidR="008F022F" w:rsidRPr="008F022F" w:rsidRDefault="008F022F" w:rsidP="008F022F">
      <w:pPr>
        <w:rPr>
          <w:b/>
          <w:bCs/>
        </w:rPr>
      </w:pPr>
      <w:r w:rsidRPr="008F022F">
        <w:rPr>
          <w:b/>
          <w:bCs/>
        </w:rPr>
        <w:t>Renewable Energy Certificates (REC)</w:t>
      </w:r>
    </w:p>
    <w:p w14:paraId="6AA7E27B" w14:textId="77777777" w:rsidR="008F022F" w:rsidRPr="008F022F" w:rsidRDefault="008F022F" w:rsidP="008F022F">
      <w:r w:rsidRPr="008F022F">
        <w:t>The REC mechanism addresses the geographical imbalance of renewable resources in India. A state like Delhi has high consumption but low land availability for solar parks, whereas Rajasthan has vast deserts for solar but low consumption.</w:t>
      </w:r>
    </w:p>
    <w:p w14:paraId="1D194553" w14:textId="77777777" w:rsidR="00652672" w:rsidRDefault="008F022F" w:rsidP="00652672">
      <w:pPr>
        <w:numPr>
          <w:ilvl w:val="0"/>
          <w:numId w:val="8"/>
        </w:numPr>
      </w:pPr>
      <w:r w:rsidRPr="008F022F">
        <w:rPr>
          <w:b/>
          <w:bCs/>
        </w:rPr>
        <w:t>The Instrument:</w:t>
      </w:r>
      <w:r w:rsidRPr="008F022F">
        <w:t> One REC represents 1 MWh of green electricity injected into the grid</w:t>
      </w:r>
      <w:r w:rsidR="00652672">
        <w:t xml:space="preserve"> (old)</w:t>
      </w:r>
      <w:r w:rsidRPr="008F022F">
        <w:t>.</w:t>
      </w:r>
      <w:r w:rsidR="00652672">
        <w:t xml:space="preserve"> Current</w:t>
      </w:r>
    </w:p>
    <w:p w14:paraId="0FF995FC" w14:textId="61CD53EB" w:rsidR="00652672" w:rsidRPr="00652672" w:rsidRDefault="00652672" w:rsidP="00652672">
      <w:pPr>
        <w:ind w:left="720"/>
      </w:pPr>
      <w:r w:rsidRPr="00652672">
        <w:rPr>
          <w:b/>
          <w:bCs/>
        </w:rPr>
        <w:t>The Multipliers (Current Framework):</w:t>
      </w:r>
    </w:p>
    <w:p w14:paraId="74FBAE46" w14:textId="77777777" w:rsidR="00652672" w:rsidRPr="00652672" w:rsidRDefault="00652672" w:rsidP="00652672">
      <w:pPr>
        <w:ind w:left="360" w:firstLine="360"/>
      </w:pPr>
      <w:r w:rsidRPr="00652672">
        <w:rPr>
          <w:b/>
          <w:bCs/>
        </w:rPr>
        <w:t>On-shore Wind &amp; Solar:</w:t>
      </w:r>
      <w:r w:rsidRPr="00652672">
        <w:t xml:space="preserve"> 1 MWh = </w:t>
      </w:r>
      <w:r w:rsidRPr="00652672">
        <w:rPr>
          <w:b/>
          <w:bCs/>
        </w:rPr>
        <w:t>1 REC</w:t>
      </w:r>
      <w:r w:rsidRPr="00652672">
        <w:t xml:space="preserve"> (Standard)</w:t>
      </w:r>
    </w:p>
    <w:p w14:paraId="7659A970" w14:textId="77777777" w:rsidR="00652672" w:rsidRPr="00652672" w:rsidRDefault="00652672" w:rsidP="00652672">
      <w:pPr>
        <w:ind w:firstLine="720"/>
      </w:pPr>
      <w:r w:rsidRPr="00652672">
        <w:rPr>
          <w:b/>
          <w:bCs/>
        </w:rPr>
        <w:t>Hydro Power:</w:t>
      </w:r>
      <w:r w:rsidRPr="00652672">
        <w:t xml:space="preserve"> 1 MWh = </w:t>
      </w:r>
      <w:r w:rsidRPr="00652672">
        <w:rPr>
          <w:b/>
          <w:bCs/>
        </w:rPr>
        <w:t>1.5 RECs</w:t>
      </w:r>
      <w:r w:rsidRPr="00652672">
        <w:t xml:space="preserve"> (To incentivize hydro, which is costlier than solar).</w:t>
      </w:r>
    </w:p>
    <w:p w14:paraId="68C6312F" w14:textId="77777777" w:rsidR="00652672" w:rsidRPr="00652672" w:rsidRDefault="00652672" w:rsidP="00652672">
      <w:pPr>
        <w:ind w:firstLine="720"/>
      </w:pPr>
      <w:r w:rsidRPr="00652672">
        <w:rPr>
          <w:b/>
          <w:bCs/>
        </w:rPr>
        <w:t>Municipal Solid Waste (MSW) / Non-Fossil Fuel Co-generation:</w:t>
      </w:r>
      <w:r w:rsidRPr="00652672">
        <w:t xml:space="preserve"> 1 MWh = </w:t>
      </w:r>
      <w:r w:rsidRPr="00652672">
        <w:rPr>
          <w:b/>
          <w:bCs/>
        </w:rPr>
        <w:t xml:space="preserve">2 </w:t>
      </w:r>
      <w:proofErr w:type="spellStart"/>
      <w:r w:rsidRPr="00652672">
        <w:rPr>
          <w:b/>
          <w:bCs/>
        </w:rPr>
        <w:t>RECs</w:t>
      </w:r>
      <w:r w:rsidRPr="00652672">
        <w:t>.</w:t>
      </w:r>
      <w:proofErr w:type="spellEnd"/>
    </w:p>
    <w:p w14:paraId="1659CFE3" w14:textId="77777777" w:rsidR="00652672" w:rsidRPr="00652672" w:rsidRDefault="00652672" w:rsidP="00652672">
      <w:pPr>
        <w:ind w:firstLine="720"/>
      </w:pPr>
      <w:r w:rsidRPr="00652672">
        <w:rPr>
          <w:b/>
          <w:bCs/>
        </w:rPr>
        <w:t>Biomass / Biofuel:</w:t>
      </w:r>
      <w:r w:rsidRPr="00652672">
        <w:t xml:space="preserve"> 1 MWh = </w:t>
      </w:r>
      <w:r w:rsidRPr="00652672">
        <w:rPr>
          <w:b/>
          <w:bCs/>
        </w:rPr>
        <w:t xml:space="preserve">2.5 </w:t>
      </w:r>
      <w:proofErr w:type="spellStart"/>
      <w:r w:rsidRPr="00652672">
        <w:rPr>
          <w:b/>
          <w:bCs/>
        </w:rPr>
        <w:t>RECs</w:t>
      </w:r>
      <w:r w:rsidRPr="00652672">
        <w:t>.</w:t>
      </w:r>
      <w:proofErr w:type="spellEnd"/>
    </w:p>
    <w:p w14:paraId="45A8769A" w14:textId="61B64CF6" w:rsidR="008F022F" w:rsidRPr="008F022F" w:rsidRDefault="00652672" w:rsidP="00652672">
      <w:pPr>
        <w:ind w:left="4111" w:hanging="3391"/>
      </w:pPr>
      <w:r w:rsidRPr="00652672">
        <w:rPr>
          <w:b/>
          <w:bCs/>
        </w:rPr>
        <w:t>Offshore Wind / Green Hydrogen:</w:t>
      </w:r>
      <w:r w:rsidRPr="00652672">
        <w:t xml:space="preserve"> High multipliers (e.g., </w:t>
      </w:r>
      <w:r w:rsidRPr="00652672">
        <w:rPr>
          <w:b/>
          <w:bCs/>
        </w:rPr>
        <w:t>3.5 - 4+</w:t>
      </w:r>
      <w:r w:rsidRPr="00652672">
        <w:t>) are proposed/assigned to these nascent technologies to make them financially viable.</w:t>
      </w:r>
    </w:p>
    <w:p w14:paraId="6ADADDB1" w14:textId="7A82AA85" w:rsidR="008F022F" w:rsidRDefault="008F022F" w:rsidP="008F022F">
      <w:pPr>
        <w:numPr>
          <w:ilvl w:val="0"/>
          <w:numId w:val="8"/>
        </w:numPr>
      </w:pPr>
      <w:r w:rsidRPr="008F022F">
        <w:rPr>
          <w:b/>
          <w:bCs/>
        </w:rPr>
        <w:t>Trading:</w:t>
      </w:r>
      <w:r w:rsidRPr="008F022F">
        <w:t> The REC market on IEX allows RE generators (who are not under preferential feed-in tariffs) to sell these certificates to "Obligated Entities" (Discoms, Captive Power Plants, Open Access Consumers) who need to meet RPO targets.</w:t>
      </w:r>
      <w:r w:rsidR="00652672">
        <w:br/>
      </w:r>
    </w:p>
    <w:p w14:paraId="57651169" w14:textId="3CA223A6" w:rsidR="00652672" w:rsidRDefault="00652672" w:rsidP="008F022F">
      <w:pPr>
        <w:numPr>
          <w:ilvl w:val="0"/>
          <w:numId w:val="8"/>
        </w:numPr>
      </w:pPr>
      <w:r w:rsidRPr="00652672">
        <w:t xml:space="preserve">A biomass generator selling 1 MWh of power gets 2.5 </w:t>
      </w:r>
      <w:proofErr w:type="spellStart"/>
      <w:r w:rsidRPr="00652672">
        <w:t>RECs.</w:t>
      </w:r>
      <w:proofErr w:type="spellEnd"/>
      <w:r w:rsidRPr="00652672">
        <w:t xml:space="preserve"> If the market price is ₹360/REC, they earn ₹900, whereas a solar generator earns only ₹360. This promotes technology diversity without fragmenting the market liquidity.</w:t>
      </w:r>
    </w:p>
    <w:p w14:paraId="433B012B" w14:textId="2FA6E559" w:rsidR="00C54DF8" w:rsidRPr="00C54DF8" w:rsidRDefault="00C54DF8" w:rsidP="00C54DF8">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4DF8">
        <w:rPr>
          <w:rFonts w:ascii="Times New Roman" w:eastAsia="Times New Roman" w:hAnsi="Times New Roman" w:cs="Times New Roman"/>
          <w:b/>
          <w:bCs/>
          <w:kern w:val="0"/>
          <w:sz w:val="24"/>
          <w:szCs w:val="24"/>
          <w:lang w:eastAsia="en-IN"/>
          <w14:ligatures w14:val="none"/>
        </w:rPr>
        <w:t>Current Schedule:</w:t>
      </w:r>
      <w:r w:rsidRPr="00C54DF8">
        <w:rPr>
          <w:rFonts w:ascii="Times New Roman" w:eastAsia="Times New Roman" w:hAnsi="Times New Roman" w:cs="Times New Roman"/>
          <w:kern w:val="0"/>
          <w:sz w:val="24"/>
          <w:szCs w:val="24"/>
          <w:lang w:eastAsia="en-IN"/>
          <w14:ligatures w14:val="none"/>
        </w:rPr>
        <w:t xml:space="preserve"> Trading now occurs </w:t>
      </w:r>
      <w:r w:rsidRPr="00C54DF8">
        <w:rPr>
          <w:rFonts w:ascii="Times New Roman" w:eastAsia="Times New Roman" w:hAnsi="Times New Roman" w:cs="Times New Roman"/>
          <w:b/>
          <w:bCs/>
          <w:kern w:val="0"/>
          <w:sz w:val="24"/>
          <w:szCs w:val="24"/>
          <w:lang w:eastAsia="en-IN"/>
          <w14:ligatures w14:val="none"/>
        </w:rPr>
        <w:t>twice a month</w:t>
      </w:r>
      <w:r w:rsidRPr="00C54DF8">
        <w:rPr>
          <w:rFonts w:ascii="Times New Roman" w:eastAsia="Times New Roman" w:hAnsi="Times New Roman" w:cs="Times New Roman"/>
          <w:kern w:val="0"/>
          <w:sz w:val="24"/>
          <w:szCs w:val="24"/>
          <w:lang w:eastAsia="en-IN"/>
          <w14:ligatures w14:val="none"/>
        </w:rPr>
        <w:t>.</w:t>
      </w:r>
    </w:p>
    <w:p w14:paraId="49A8B546" w14:textId="26885466" w:rsidR="00C54DF8" w:rsidRPr="00C54DF8" w:rsidRDefault="00C54DF8" w:rsidP="00C54DF8">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4DF8">
        <w:rPr>
          <w:rFonts w:ascii="Times New Roman" w:eastAsia="Times New Roman" w:hAnsi="Times New Roman" w:cs="Times New Roman"/>
          <w:b/>
          <w:bCs/>
          <w:kern w:val="0"/>
          <w:sz w:val="24"/>
          <w:szCs w:val="24"/>
          <w:lang w:eastAsia="en-IN"/>
          <w14:ligatures w14:val="none"/>
        </w:rPr>
        <w:t>Specific Days:</w:t>
      </w:r>
      <w:r w:rsidRPr="00C54DF8">
        <w:rPr>
          <w:rFonts w:ascii="Times New Roman" w:eastAsia="Times New Roman" w:hAnsi="Times New Roman" w:cs="Times New Roman"/>
          <w:kern w:val="0"/>
          <w:sz w:val="24"/>
          <w:szCs w:val="24"/>
          <w:lang w:eastAsia="en-IN"/>
          <w14:ligatures w14:val="none"/>
        </w:rPr>
        <w:t xml:space="preserve"> The </w:t>
      </w:r>
      <w:r w:rsidRPr="00C54DF8">
        <w:rPr>
          <w:rFonts w:ascii="Times New Roman" w:eastAsia="Times New Roman" w:hAnsi="Times New Roman" w:cs="Times New Roman"/>
          <w:b/>
          <w:bCs/>
          <w:kern w:val="0"/>
          <w:sz w:val="24"/>
          <w:szCs w:val="24"/>
          <w:lang w:eastAsia="en-IN"/>
          <w14:ligatures w14:val="none"/>
        </w:rPr>
        <w:t>Second Wednesday</w:t>
      </w:r>
      <w:r w:rsidRPr="00C54DF8">
        <w:rPr>
          <w:rFonts w:ascii="Times New Roman" w:eastAsia="Times New Roman" w:hAnsi="Times New Roman" w:cs="Times New Roman"/>
          <w:kern w:val="0"/>
          <w:sz w:val="24"/>
          <w:szCs w:val="24"/>
          <w:lang w:eastAsia="en-IN"/>
          <w14:ligatures w14:val="none"/>
        </w:rPr>
        <w:t xml:space="preserve"> and the </w:t>
      </w:r>
      <w:r w:rsidRPr="00C54DF8">
        <w:rPr>
          <w:rFonts w:ascii="Times New Roman" w:eastAsia="Times New Roman" w:hAnsi="Times New Roman" w:cs="Times New Roman"/>
          <w:b/>
          <w:bCs/>
          <w:kern w:val="0"/>
          <w:sz w:val="24"/>
          <w:szCs w:val="24"/>
          <w:lang w:eastAsia="en-IN"/>
          <w14:ligatures w14:val="none"/>
        </w:rPr>
        <w:t>Last Wednesday</w:t>
      </w:r>
      <w:r w:rsidRPr="00C54DF8">
        <w:rPr>
          <w:rFonts w:ascii="Times New Roman" w:eastAsia="Times New Roman" w:hAnsi="Times New Roman" w:cs="Times New Roman"/>
          <w:kern w:val="0"/>
          <w:sz w:val="24"/>
          <w:szCs w:val="24"/>
          <w:lang w:eastAsia="en-IN"/>
          <w14:ligatures w14:val="none"/>
        </w:rPr>
        <w:t xml:space="preserve"> of every month.</w:t>
      </w:r>
    </w:p>
    <w:p w14:paraId="177C8955" w14:textId="77777777" w:rsidR="00C54DF8" w:rsidRDefault="00C54DF8" w:rsidP="00C54DF8">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522CBE02" w14:textId="77777777" w:rsidR="00C54DF8" w:rsidRDefault="00C54DF8" w:rsidP="00C54DF8">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4B21BBDF" w14:textId="1FAD3090" w:rsidR="00C54DF8" w:rsidRPr="00C54DF8" w:rsidRDefault="00C54DF8" w:rsidP="00C54D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4DF8">
        <w:rPr>
          <w:rFonts w:ascii="Times New Roman" w:eastAsia="Times New Roman" w:hAnsi="Times New Roman" w:cs="Times New Roman"/>
          <w:b/>
          <w:bCs/>
          <w:kern w:val="0"/>
          <w:sz w:val="24"/>
          <w:szCs w:val="24"/>
          <w:lang w:eastAsia="en-IN"/>
          <w14:ligatures w14:val="none"/>
        </w:rPr>
        <w:t>Energy Saving Certificates (</w:t>
      </w:r>
      <w:proofErr w:type="spellStart"/>
      <w:r w:rsidRPr="00C54DF8">
        <w:rPr>
          <w:rFonts w:ascii="Times New Roman" w:eastAsia="Times New Roman" w:hAnsi="Times New Roman" w:cs="Times New Roman"/>
          <w:b/>
          <w:bCs/>
          <w:kern w:val="0"/>
          <w:sz w:val="24"/>
          <w:szCs w:val="24"/>
          <w:lang w:eastAsia="en-IN"/>
          <w14:ligatures w14:val="none"/>
        </w:rPr>
        <w:t>ESCerts</w:t>
      </w:r>
      <w:proofErr w:type="spellEnd"/>
      <w:r w:rsidRPr="00C54DF8">
        <w:rPr>
          <w:rFonts w:ascii="Times New Roman" w:eastAsia="Times New Roman" w:hAnsi="Times New Roman" w:cs="Times New Roman"/>
          <w:b/>
          <w:bCs/>
          <w:kern w:val="0"/>
          <w:sz w:val="24"/>
          <w:szCs w:val="24"/>
          <w:lang w:eastAsia="en-IN"/>
          <w14:ligatures w14:val="none"/>
        </w:rPr>
        <w:t>): The Efficiency Currency</w:t>
      </w:r>
    </w:p>
    <w:p w14:paraId="683145D5" w14:textId="7967A797" w:rsidR="00C54DF8" w:rsidRPr="00C54DF8" w:rsidRDefault="00C54DF8" w:rsidP="00C54D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4DF8">
        <w:rPr>
          <w:rFonts w:ascii="Times New Roman" w:eastAsia="Times New Roman" w:hAnsi="Times New Roman" w:cs="Times New Roman"/>
          <w:kern w:val="0"/>
          <w:sz w:val="24"/>
          <w:szCs w:val="24"/>
          <w:lang w:eastAsia="en-IN"/>
          <w14:ligatures w14:val="none"/>
        </w:rPr>
        <w:lastRenderedPageBreak/>
        <w:t xml:space="preserve">This market is distinct because it is not about </w:t>
      </w:r>
      <w:r w:rsidRPr="00C54DF8">
        <w:rPr>
          <w:rFonts w:ascii="Times New Roman" w:eastAsia="Times New Roman" w:hAnsi="Times New Roman" w:cs="Times New Roman"/>
          <w:i/>
          <w:iCs/>
          <w:kern w:val="0"/>
          <w:sz w:val="24"/>
          <w:szCs w:val="24"/>
          <w:lang w:eastAsia="en-IN"/>
          <w14:ligatures w14:val="none"/>
        </w:rPr>
        <w:t>generating</w:t>
      </w:r>
      <w:r w:rsidRPr="00C54DF8">
        <w:rPr>
          <w:rFonts w:ascii="Times New Roman" w:eastAsia="Times New Roman" w:hAnsi="Times New Roman" w:cs="Times New Roman"/>
          <w:kern w:val="0"/>
          <w:sz w:val="24"/>
          <w:szCs w:val="24"/>
          <w:lang w:eastAsia="en-IN"/>
          <w14:ligatures w14:val="none"/>
        </w:rPr>
        <w:t xml:space="preserve"> power, but </w:t>
      </w:r>
      <w:r w:rsidRPr="00C54DF8">
        <w:rPr>
          <w:rFonts w:ascii="Times New Roman" w:eastAsia="Times New Roman" w:hAnsi="Times New Roman" w:cs="Times New Roman"/>
          <w:i/>
          <w:iCs/>
          <w:kern w:val="0"/>
          <w:sz w:val="24"/>
          <w:szCs w:val="24"/>
          <w:lang w:eastAsia="en-IN"/>
          <w14:ligatures w14:val="none"/>
        </w:rPr>
        <w:t>consuming less</w:t>
      </w:r>
      <w:r w:rsidRPr="00C54DF8">
        <w:rPr>
          <w:rFonts w:ascii="Times New Roman" w:eastAsia="Times New Roman" w:hAnsi="Times New Roman" w:cs="Times New Roman"/>
          <w:kern w:val="0"/>
          <w:sz w:val="24"/>
          <w:szCs w:val="24"/>
          <w:lang w:eastAsia="en-IN"/>
          <w14:ligatures w14:val="none"/>
        </w:rPr>
        <w:t xml:space="preserve"> of it. It operates under the </w:t>
      </w:r>
      <w:r w:rsidRPr="00C54DF8">
        <w:rPr>
          <w:rFonts w:ascii="Times New Roman" w:eastAsia="Times New Roman" w:hAnsi="Times New Roman" w:cs="Times New Roman"/>
          <w:b/>
          <w:bCs/>
          <w:kern w:val="0"/>
          <w:sz w:val="24"/>
          <w:szCs w:val="24"/>
          <w:lang w:eastAsia="en-IN"/>
          <w14:ligatures w14:val="none"/>
        </w:rPr>
        <w:t>PAT (Perform, Achieve, Trade)</w:t>
      </w:r>
      <w:r w:rsidRPr="00C54DF8">
        <w:rPr>
          <w:rFonts w:ascii="Times New Roman" w:eastAsia="Times New Roman" w:hAnsi="Times New Roman" w:cs="Times New Roman"/>
          <w:kern w:val="0"/>
          <w:sz w:val="24"/>
          <w:szCs w:val="24"/>
          <w:lang w:eastAsia="en-IN"/>
          <w14:ligatures w14:val="none"/>
        </w:rPr>
        <w:t xml:space="preserve"> scheme.</w:t>
      </w:r>
      <w:r>
        <w:rPr>
          <w:rFonts w:ascii="Times New Roman" w:eastAsia="Times New Roman" w:hAnsi="Times New Roman" w:cs="Times New Roman"/>
          <w:kern w:val="0"/>
          <w:sz w:val="24"/>
          <w:szCs w:val="24"/>
          <w:lang w:eastAsia="en-IN"/>
          <w14:ligatures w14:val="none"/>
        </w:rPr>
        <w:t xml:space="preserve"> </w:t>
      </w:r>
    </w:p>
    <w:p w14:paraId="68856751" w14:textId="1BE415FD" w:rsidR="00C54DF8" w:rsidRPr="00C54DF8" w:rsidRDefault="00C54DF8" w:rsidP="00C54DF8">
      <w:r w:rsidRPr="00C54DF8">
        <w:rPr>
          <w:b/>
          <w:bCs/>
        </w:rPr>
        <w:t>Calculation:</w:t>
      </w:r>
      <w:r w:rsidRPr="00C54DF8">
        <w:t xml:space="preserve"> The floor price is fixed at </w:t>
      </w:r>
      <w:r w:rsidRPr="00C54DF8">
        <w:rPr>
          <w:b/>
          <w:bCs/>
        </w:rPr>
        <w:t>10% of the price of 1 Metric Tonne of Oil Equivalent (MTOE)</w:t>
      </w:r>
      <w:r w:rsidRPr="00C54DF8">
        <w:t xml:space="preserve"> of energy consumed, as notified by the Central Government.</w:t>
      </w:r>
    </w:p>
    <w:p w14:paraId="60D97081" w14:textId="093D36E3" w:rsidR="00C54DF8" w:rsidRDefault="00C54DF8" w:rsidP="00C54DF8">
      <w:r w:rsidRPr="00C54DF8">
        <w:rPr>
          <w:b/>
          <w:bCs/>
        </w:rPr>
        <w:t>Current Value:</w:t>
      </w:r>
      <w:r w:rsidRPr="00C54DF8">
        <w:t xml:space="preserve"> For the current trading cycles (PAT Cycle 2/3), the floor price is typically around </w:t>
      </w:r>
      <w:r w:rsidRPr="00C54DF8">
        <w:rPr>
          <w:b/>
          <w:bCs/>
        </w:rPr>
        <w:t xml:space="preserve">₹1,840 - ₹2,165 per </w:t>
      </w:r>
      <w:proofErr w:type="spellStart"/>
      <w:r w:rsidRPr="00C54DF8">
        <w:rPr>
          <w:b/>
          <w:bCs/>
        </w:rPr>
        <w:t>ESCert</w:t>
      </w:r>
      <w:proofErr w:type="spellEnd"/>
      <w:r w:rsidRPr="00C54DF8">
        <w:t>.</w:t>
      </w:r>
    </w:p>
    <w:p w14:paraId="2896B553" w14:textId="77777777" w:rsidR="00C54DF8" w:rsidRDefault="00C54DF8" w:rsidP="00C54DF8"/>
    <w:p w14:paraId="46F31D0D" w14:textId="77777777" w:rsidR="00C54DF8" w:rsidRDefault="00C54DF8" w:rsidP="00C54DF8">
      <w:r w:rsidRPr="00C54DF8">
        <w:rPr>
          <w:b/>
          <w:bCs/>
        </w:rPr>
        <w:t>Frequency:</w:t>
      </w:r>
      <w:r w:rsidRPr="00C54DF8">
        <w:t xml:space="preserve"> Trading is </w:t>
      </w:r>
      <w:r w:rsidRPr="00C54DF8">
        <w:rPr>
          <w:b/>
          <w:bCs/>
        </w:rPr>
        <w:t>Weekly</w:t>
      </w:r>
      <w:r w:rsidRPr="00C54DF8">
        <w:t>.</w:t>
      </w:r>
    </w:p>
    <w:p w14:paraId="0B97C483" w14:textId="6249DEBE" w:rsidR="00C54DF8" w:rsidRPr="00C54DF8" w:rsidRDefault="00C54DF8" w:rsidP="00C54DF8">
      <w:r w:rsidRPr="00C54DF8">
        <w:rPr>
          <w:b/>
          <w:bCs/>
        </w:rPr>
        <w:t>Day:</w:t>
      </w:r>
      <w:r w:rsidRPr="00C54DF8">
        <w:t xml:space="preserve"> Every </w:t>
      </w:r>
      <w:r w:rsidRPr="00C54DF8">
        <w:rPr>
          <w:b/>
          <w:bCs/>
        </w:rPr>
        <w:t>Tuesday</w:t>
      </w:r>
      <w:r w:rsidRPr="00C54DF8">
        <w:t>.</w:t>
      </w:r>
    </w:p>
    <w:p w14:paraId="585A9DBF" w14:textId="3E7B11DA" w:rsidR="00C54DF8" w:rsidRPr="00C54DF8" w:rsidRDefault="00C54DF8" w:rsidP="00C54DF8">
      <w:r w:rsidRPr="00C54DF8">
        <w:rPr>
          <w:b/>
          <w:bCs/>
        </w:rPr>
        <w:t>Session:</w:t>
      </w:r>
      <w:r w:rsidRPr="00C54DF8">
        <w:t xml:space="preserve"> The bidding window typically runs from </w:t>
      </w:r>
      <w:r w:rsidRPr="00C54DF8">
        <w:rPr>
          <w:b/>
          <w:bCs/>
        </w:rPr>
        <w:t>13:00 to 15:00 hours</w:t>
      </w:r>
      <w:r w:rsidRPr="00C54DF8">
        <w:t>.</w:t>
      </w:r>
    </w:p>
    <w:p w14:paraId="5F225B7B" w14:textId="77777777" w:rsidR="00C54DF8" w:rsidRPr="00C54DF8" w:rsidRDefault="00C54DF8" w:rsidP="00C54DF8"/>
    <w:p w14:paraId="1F225BAC" w14:textId="77777777" w:rsidR="00C54DF8" w:rsidRPr="008F022F" w:rsidRDefault="00C54DF8" w:rsidP="00C54DF8"/>
    <w:p w14:paraId="0858737C" w14:textId="77777777" w:rsidR="008F022F" w:rsidRDefault="008F022F" w:rsidP="008F022F"/>
    <w:p w14:paraId="0937ABA4" w14:textId="0EF23736" w:rsidR="004C269B" w:rsidRPr="008F022F" w:rsidRDefault="004C269B" w:rsidP="008F022F"/>
    <w:p w14:paraId="4EBD0436" w14:textId="77777777" w:rsidR="008F022F" w:rsidRPr="008F022F" w:rsidRDefault="008F022F" w:rsidP="008F022F"/>
    <w:p w14:paraId="231F8CBE" w14:textId="77777777" w:rsidR="00E75BE5" w:rsidRPr="00E75BE5" w:rsidRDefault="00E75BE5" w:rsidP="00E75BE5"/>
    <w:p w14:paraId="1E3C53A6" w14:textId="6EEBA4E6" w:rsidR="009B180B" w:rsidRDefault="009B180B" w:rsidP="009B180B">
      <w:r w:rsidRPr="009B180B">
        <w:t>"</w:t>
      </w:r>
      <w:r>
        <w:t>P</w:t>
      </w:r>
      <w:r w:rsidRPr="009B180B">
        <w:t xml:space="preserve">rice" displayed is not a moving ticker but a resolved equilibrium point. The matching engine is powered by a Mixed Integer Linear Programming (MILP) </w:t>
      </w:r>
      <w:r w:rsidRPr="009B180B">
        <w:t>algorithm,</w:t>
      </w:r>
      <w:r w:rsidRPr="009B180B">
        <w:t xml:space="preserve"> which optimizes for maximum social welfare—defined as the sum of buyer surplus and seller surplus—while adhering to physical transmission constraints.</w:t>
      </w:r>
      <w:r w:rsidRPr="009B180B">
        <w:rPr>
          <w:rFonts w:ascii="Arial" w:eastAsia="Times New Roman" w:hAnsi="Arial" w:cs="Arial"/>
          <w:color w:val="E3E3E3"/>
          <w:kern w:val="0"/>
          <w:sz w:val="24"/>
          <w:szCs w:val="24"/>
          <w:lang w:eastAsia="en-IN"/>
          <w14:ligatures w14:val="none"/>
        </w:rPr>
        <w:t xml:space="preserve"> </w:t>
      </w:r>
      <w:r w:rsidRPr="009B180B">
        <w:t>showing the volume of buy vs. sell bids at various price points, giving the user insight into market sentiment and liquidity resilience.   </w:t>
      </w:r>
    </w:p>
    <w:p w14:paraId="5869FB32" w14:textId="77777777" w:rsidR="009B180B" w:rsidRPr="009B180B" w:rsidRDefault="009B180B" w:rsidP="009B180B">
      <w:r w:rsidRPr="009B180B">
        <w:rPr>
          <w:b/>
          <w:bCs/>
        </w:rPr>
        <w:t>Visual Insight:</w:t>
      </w:r>
    </w:p>
    <w:p w14:paraId="74D68DD2" w14:textId="77777777" w:rsidR="009B180B" w:rsidRPr="009B180B" w:rsidRDefault="009B180B" w:rsidP="009B180B">
      <w:pPr>
        <w:numPr>
          <w:ilvl w:val="0"/>
          <w:numId w:val="10"/>
        </w:numPr>
      </w:pPr>
      <w:r w:rsidRPr="009B180B">
        <w:rPr>
          <w:b/>
          <w:bCs/>
        </w:rPr>
        <w:t>Flat Curve:</w:t>
      </w:r>
      <w:r w:rsidRPr="009B180B">
        <w:t xml:space="preserve"> High liquidity. Large buy/sell orders can be absorbed without significantly changing the price.</w:t>
      </w:r>
    </w:p>
    <w:p w14:paraId="660B9744" w14:textId="77777777" w:rsidR="009B180B" w:rsidRPr="009B180B" w:rsidRDefault="009B180B" w:rsidP="009B180B">
      <w:pPr>
        <w:numPr>
          <w:ilvl w:val="0"/>
          <w:numId w:val="10"/>
        </w:numPr>
      </w:pPr>
      <w:r w:rsidRPr="009B180B">
        <w:rPr>
          <w:b/>
          <w:bCs/>
        </w:rPr>
        <w:t>Steep Curve:</w:t>
      </w:r>
      <w:r w:rsidRPr="009B180B">
        <w:t xml:space="preserve"> Low liquidity. A small change in demand causes a massive price spike (Volatility Risk).</w:t>
      </w:r>
    </w:p>
    <w:p w14:paraId="3B1F16CC" w14:textId="04D0AE2A" w:rsidR="009B180B" w:rsidRPr="009B180B" w:rsidRDefault="009B180B" w:rsidP="009B180B">
      <w:r w:rsidRPr="009B180B">
        <w:t>If the Buy Curve shifts right (higher demand at same prices), sentiment is bullish. If the Sell Curve shifts right (more supply at lower prices), sentiment is bearish.</w:t>
      </w:r>
    </w:p>
    <w:p w14:paraId="447AFB30" w14:textId="0B61D2E9" w:rsidR="007F50B6" w:rsidRDefault="007F50B6"/>
    <w:p w14:paraId="35175216" w14:textId="4614A479" w:rsidR="009B180B" w:rsidRDefault="009B180B">
      <w:r>
        <w:t>M</w:t>
      </w:r>
      <w:r w:rsidRPr="009B180B">
        <w:t>ust monitor is </w:t>
      </w:r>
      <w:r w:rsidRPr="009B180B">
        <w:rPr>
          <w:b/>
          <w:bCs/>
        </w:rPr>
        <w:t>Market Splitting</w:t>
      </w:r>
      <w:r w:rsidRPr="009B180B">
        <w:t>. The IEX platform manages transmission congestion between India's bid areas (North, East, West, South, North-East) by splitting the market into different price zones when the required flow exceeds the Available Transfer Capability (ATC).</w:t>
      </w:r>
      <w:r>
        <w:t xml:space="preserve"> </w:t>
      </w:r>
      <w:r w:rsidRPr="009B180B">
        <w:t>When congestion occurs, the single national MCP fractures into Area Clearing Prices (ACP). For instance, if the corridor to the Southern region is congested, prices in the South may spike (upstream of congestion) while prices in the surplus North drop.</w:t>
      </w:r>
      <w:r>
        <w:t xml:space="preserve"> </w:t>
      </w:r>
      <w:r w:rsidRPr="009B180B">
        <w:t>In FY 2022-23, actual transacted volume was only marginally lower than unconstrained volume (0.01% in DAM), indicating that while congestion is rare, its financial impact is high due to the resulting price spikes</w:t>
      </w:r>
      <w:r w:rsidR="003345DC">
        <w:t>.</w:t>
      </w:r>
      <w:r w:rsidR="003345DC">
        <w:br/>
      </w:r>
      <w:r w:rsidR="003345DC">
        <w:lastRenderedPageBreak/>
        <w:br/>
      </w:r>
    </w:p>
    <w:p w14:paraId="75E7CAB0" w14:textId="77777777" w:rsidR="003345DC" w:rsidRDefault="003345DC"/>
    <w:p w14:paraId="38C2BC35" w14:textId="77777777" w:rsidR="003345DC" w:rsidRDefault="003345DC"/>
    <w:p w14:paraId="58B70AD1" w14:textId="77777777" w:rsidR="003345DC" w:rsidRDefault="003345DC">
      <w:r w:rsidRPr="003345DC">
        <w:t>"Countdown to Gate Closure" widget. It must ingest RTM data at high frequency and calculate the "RTM-DAM Spread." A persistent positive spread (RTM &gt; DAM) indicates systemic under-forecasting of demand, a signal for the user to increase DAM procurement.</w:t>
      </w:r>
    </w:p>
    <w:p w14:paraId="18B86D8E" w14:textId="2B54ACA1" w:rsidR="003345DC" w:rsidRDefault="003345DC">
      <w:r>
        <w:t xml:space="preserve"> </w:t>
      </w:r>
      <w:r w:rsidRPr="003345DC">
        <w:t>A vital operational nuance is that G-DAM clears </w:t>
      </w:r>
      <w:r w:rsidRPr="003345DC">
        <w:rPr>
          <w:i/>
          <w:iCs/>
        </w:rPr>
        <w:t>before</w:t>
      </w:r>
      <w:r w:rsidRPr="003345DC">
        <w:t> the conventional DAM. This gives renewable generators the "first right" to transmission capacity. Uncleared bids in G-DAM can be automatically carried forward to the conventional DAM if the participant enables the Order Carry Forward (OCF) facility.</w:t>
      </w:r>
      <w:r>
        <w:t xml:space="preserve"> D</w:t>
      </w:r>
      <w:r w:rsidRPr="003345DC">
        <w:t>ata from late 2024 and 2025 indicates a structural shift where G-DAM prices (weighted average ~₹3.59/kWh in May 2025) often trade at a discount to conventional DAM prices (which can hover above ₹4.00/kWh) due to solar surpluses during midday. </w:t>
      </w:r>
      <w:proofErr w:type="gramStart"/>
      <w:r w:rsidRPr="003345DC">
        <w:t>T</w:t>
      </w:r>
      <w:r>
        <w:t xml:space="preserve">his </w:t>
      </w:r>
      <w:r w:rsidRPr="003345DC">
        <w:t xml:space="preserve"> "</w:t>
      </w:r>
      <w:proofErr w:type="gramEnd"/>
      <w:r w:rsidRPr="003345DC">
        <w:t xml:space="preserve">Green Discount" </w:t>
      </w:r>
      <w:r>
        <w:t xml:space="preserve">is used </w:t>
      </w:r>
      <w:r w:rsidRPr="003345DC">
        <w:t>as a primary cost optimization lever.</w:t>
      </w:r>
    </w:p>
    <w:p w14:paraId="51098747" w14:textId="77777777" w:rsidR="007C09B9" w:rsidRDefault="007C09B9"/>
    <w:p w14:paraId="51409191" w14:textId="77777777" w:rsidR="007C09B9" w:rsidRPr="007C09B9" w:rsidRDefault="007C09B9" w:rsidP="007C09B9">
      <w:r w:rsidRPr="007C09B9">
        <w:t>While the IEX provides the platform for trading, the Central Electricity Regulatory Commission (CERC) sets the boundary conditions that dictate the financial risk of participation. The most significant of these is the Deviation Settlement Mechanism (DSM), updated significantly in 2024</w:t>
      </w:r>
      <w:r>
        <w:t>.</w:t>
      </w:r>
      <w:r>
        <w:br/>
      </w:r>
      <w:r>
        <w:br/>
      </w:r>
      <w:r w:rsidRPr="007C09B9">
        <w:t>The DSM is not a market; it is a penalty mechanism designed to discourage deviation from scheduled usage. In the Indian grid, frequency is the proxy for the demand-supply balance. The target frequency is 50.00 Hz.</w:t>
      </w:r>
    </w:p>
    <w:p w14:paraId="351D59F1" w14:textId="77777777" w:rsidR="007C09B9" w:rsidRPr="007C09B9" w:rsidRDefault="007C09B9" w:rsidP="007C09B9">
      <w:pPr>
        <w:numPr>
          <w:ilvl w:val="0"/>
          <w:numId w:val="11"/>
        </w:numPr>
      </w:pPr>
      <w:r w:rsidRPr="007C09B9">
        <w:rPr>
          <w:b/>
          <w:bCs/>
        </w:rPr>
        <w:t>Frequency &gt; 50.00 Hz:</w:t>
      </w:r>
      <w:r w:rsidRPr="007C09B9">
        <w:t> Supply exceeds Demand (Grid is "Long").</w:t>
      </w:r>
    </w:p>
    <w:p w14:paraId="42104C77" w14:textId="77777777" w:rsidR="007C09B9" w:rsidRPr="007C09B9" w:rsidRDefault="007C09B9" w:rsidP="007C09B9">
      <w:pPr>
        <w:numPr>
          <w:ilvl w:val="0"/>
          <w:numId w:val="11"/>
        </w:numPr>
      </w:pPr>
      <w:r w:rsidRPr="007C09B9">
        <w:rPr>
          <w:b/>
          <w:bCs/>
        </w:rPr>
        <w:t>Frequency &lt; 50.00 Hz:</w:t>
      </w:r>
      <w:r w:rsidRPr="007C09B9">
        <w:t> Demand exceeds Supply (Grid is "Short").</w:t>
      </w:r>
    </w:p>
    <w:p w14:paraId="54B45A3E" w14:textId="4A3A96D2" w:rsidR="007C09B9" w:rsidRDefault="007C09B9">
      <w:r w:rsidRPr="007C09B9">
        <w:t>The effective band for safe operation is </w:t>
      </w:r>
      <w:r w:rsidRPr="007C09B9">
        <w:rPr>
          <w:b/>
          <w:bCs/>
        </w:rPr>
        <w:t>49.90 Hz to 50.05 Hz</w:t>
      </w:r>
      <w:r w:rsidRPr="007C09B9">
        <w:t>. Within this band, deviations are settled at a "Reference Rate" (RR) or "Contract Rate," often linked to the weighted average ACP of the Day-Ahead Market.</w:t>
      </w:r>
    </w:p>
    <w:p w14:paraId="1D8D61B6" w14:textId="2C20113D" w:rsidR="007C09B9" w:rsidRPr="007C09B9" w:rsidRDefault="007C09B9" w:rsidP="007C09B9">
      <w:r w:rsidRPr="007C09B9">
        <w:t>When the grid frequency is high (f &gt; 50.00 Hz), the system discourages users from injecting more power or drawing less than scheduled.</w:t>
      </w:r>
    </w:p>
    <w:p w14:paraId="53EA4846" w14:textId="77777777" w:rsidR="007C09B9" w:rsidRPr="007C09B9" w:rsidRDefault="007C09B9" w:rsidP="007C09B9">
      <w:pPr>
        <w:numPr>
          <w:ilvl w:val="0"/>
          <w:numId w:val="12"/>
        </w:numPr>
      </w:pPr>
      <w:r w:rsidRPr="007C09B9">
        <w:rPr>
          <w:b/>
          <w:bCs/>
        </w:rPr>
        <w:t>Slope Logic:</w:t>
      </w:r>
      <w:r w:rsidRPr="007C09B9">
        <w:t xml:space="preserve"> For every 0.01 Hz increase in frequency between 50.00 Hz and 50.05 Hz, the receivable rate for a seller (or payable savings for a buyer) is reduced.</w:t>
      </w:r>
    </w:p>
    <w:p w14:paraId="5DE3985E" w14:textId="77777777" w:rsidR="007C09B9" w:rsidRPr="007C09B9" w:rsidRDefault="007C09B9" w:rsidP="007C09B9">
      <w:pPr>
        <w:numPr>
          <w:ilvl w:val="0"/>
          <w:numId w:val="12"/>
        </w:numPr>
      </w:pPr>
      <w:r w:rsidRPr="007C09B9">
        <w:rPr>
          <w:b/>
          <w:bCs/>
        </w:rPr>
        <w:t>The 50.05 Hz Cliff:</w:t>
      </w:r>
      <w:r w:rsidRPr="007C09B9">
        <w:t xml:space="preserve"> As per the regulation </w:t>
      </w:r>
      <w:r w:rsidRPr="007C09B9">
        <w:rPr>
          <w:vertAlign w:val="superscript"/>
        </w:rPr>
        <w:t>12</w:t>
      </w:r>
      <w:r w:rsidRPr="007C09B9">
        <w:t>, when $50.00 &lt; f \le 50.05$, charges are reduced by 3% of RR for every 0.01 Hz step. At 50.05 Hz, the rate becomes 85% of RR.</w:t>
      </w:r>
    </w:p>
    <w:p w14:paraId="7F594069" w14:textId="77777777" w:rsidR="007C09B9" w:rsidRDefault="007C09B9" w:rsidP="007C09B9">
      <w:pPr>
        <w:numPr>
          <w:ilvl w:val="0"/>
          <w:numId w:val="12"/>
        </w:numPr>
      </w:pPr>
      <w:r w:rsidRPr="007C09B9">
        <w:rPr>
          <w:b/>
          <w:bCs/>
        </w:rPr>
        <w:t>Beyond 50.05 Hz:</w:t>
      </w:r>
      <w:r w:rsidRPr="007C09B9">
        <w:t xml:space="preserve"> If frequency exceeds 50.05 Hz, the payment for over-injection often drops to zero.</w:t>
      </w:r>
      <w:r w:rsidRPr="007C09B9">
        <w:rPr>
          <w:vertAlign w:val="superscript"/>
        </w:rPr>
        <w:t>12</w:t>
      </w:r>
      <w:r w:rsidRPr="007C09B9">
        <w:t xml:space="preserve"> This implies that any power pumped into the grid above this frequency is a total financial loss.</w:t>
      </w:r>
    </w:p>
    <w:p w14:paraId="4F6B0AF2" w14:textId="671835C0" w:rsidR="007C09B9" w:rsidRPr="007C09B9" w:rsidRDefault="007C09B9" w:rsidP="007C09B9">
      <w:r w:rsidRPr="007C09B9">
        <w:t>This is the danger zone for grid security. When f &lt; 50.00 Hz, the grid is starving for power.</w:t>
      </w:r>
    </w:p>
    <w:p w14:paraId="588FD615" w14:textId="77777777" w:rsidR="007C09B9" w:rsidRPr="007C09B9" w:rsidRDefault="007C09B9" w:rsidP="007C09B9">
      <w:pPr>
        <w:numPr>
          <w:ilvl w:val="0"/>
          <w:numId w:val="13"/>
        </w:numPr>
      </w:pPr>
      <w:r w:rsidRPr="007C09B9">
        <w:rPr>
          <w:b/>
          <w:bCs/>
        </w:rPr>
        <w:t>Penalty Escalation:</w:t>
      </w:r>
      <w:r w:rsidRPr="007C09B9">
        <w:t xml:space="preserve"> For every 0.01 Hz decrease below 50.00 Hz (down to 49.90 Hz), the deviation charges increase. The multiplier is approximately 1.5% to 3% of RR per step.</w:t>
      </w:r>
      <w:r w:rsidRPr="007C09B9">
        <w:rPr>
          <w:vertAlign w:val="superscript"/>
        </w:rPr>
        <w:t>12</w:t>
      </w:r>
    </w:p>
    <w:p w14:paraId="2114BA40" w14:textId="77777777" w:rsidR="007C09B9" w:rsidRPr="007C09B9" w:rsidRDefault="007C09B9" w:rsidP="007C09B9">
      <w:pPr>
        <w:numPr>
          <w:ilvl w:val="0"/>
          <w:numId w:val="13"/>
        </w:numPr>
      </w:pPr>
      <w:r w:rsidRPr="007C09B9">
        <w:rPr>
          <w:b/>
          <w:bCs/>
        </w:rPr>
        <w:lastRenderedPageBreak/>
        <w:t>The 49.90 Hz Wall:</w:t>
      </w:r>
      <w:r w:rsidRPr="007C09B9">
        <w:t xml:space="preserve"> Below 49.90 Hz, the penalties become draconian. The charges are capped at 150% or even 200% of the Reference Rate (or the Cap Rate of the High-Price DAM, whichever is higher).</w:t>
      </w:r>
      <w:r w:rsidRPr="007C09B9">
        <w:rPr>
          <w:vertAlign w:val="superscript"/>
        </w:rPr>
        <w:t>13</w:t>
      </w:r>
    </w:p>
    <w:p w14:paraId="324B20C8" w14:textId="77777777" w:rsidR="007C09B9" w:rsidRPr="007C09B9" w:rsidRDefault="007C09B9" w:rsidP="007C09B9"/>
    <w:p w14:paraId="218AE13E" w14:textId="32706EC3" w:rsidR="004C269B" w:rsidRDefault="00830A8B">
      <w:r w:rsidRPr="00830A8B">
        <w:t>The price discovered on IEX (e.g., ₹3.67/kWh) is often less than 50% of the final bill for a Commercial &amp; Industrial (C&amp;I) consumer. The remainder consists of "Open Access Charges" levied by the state distribution companies (Discoms) to protect their revenue base.</w:t>
      </w:r>
      <w:r w:rsidR="004C269B">
        <w:br/>
      </w:r>
    </w:p>
    <w:p w14:paraId="37771EBB" w14:textId="77777777" w:rsidR="004C269B" w:rsidRPr="004C269B" w:rsidRDefault="004C269B" w:rsidP="004C269B">
      <w:r w:rsidRPr="004C269B">
        <w:rPr>
          <w:b/>
          <w:bCs/>
        </w:rPr>
        <w:t>Cross Subsidy Surcharge (CSS):</w:t>
      </w:r>
      <w:r w:rsidRPr="004C269B">
        <w:t> This is the most significant adder. It acts as a tax on open access consumers to subsidize agricultural users.</w:t>
      </w:r>
    </w:p>
    <w:p w14:paraId="6FE2B5F6" w14:textId="77777777" w:rsidR="004C269B" w:rsidRPr="004C269B" w:rsidRDefault="004C269B" w:rsidP="004C269B">
      <w:pPr>
        <w:numPr>
          <w:ilvl w:val="1"/>
          <w:numId w:val="14"/>
        </w:numPr>
      </w:pPr>
      <w:r w:rsidRPr="004C269B">
        <w:rPr>
          <w:i/>
          <w:iCs/>
        </w:rPr>
        <w:t>Real Data:</w:t>
      </w:r>
      <w:r w:rsidRPr="004C269B">
        <w:t> For HT Industry in Maharashtra, the approved CSS for FY 2025-26 is </w:t>
      </w:r>
      <w:r w:rsidRPr="004C269B">
        <w:rPr>
          <w:b/>
          <w:bCs/>
        </w:rPr>
        <w:t>₹2.18/kWh</w:t>
      </w:r>
      <w:r w:rsidRPr="004C269B">
        <w:t>.   </w:t>
      </w:r>
    </w:p>
    <w:p w14:paraId="676B89E3" w14:textId="77777777" w:rsidR="004C269B" w:rsidRPr="004C269B" w:rsidRDefault="004C269B" w:rsidP="004C269B">
      <w:r w:rsidRPr="004C269B">
        <w:rPr>
          <w:b/>
          <w:bCs/>
        </w:rPr>
        <w:t>Additional Surcharge (AS):</w:t>
      </w:r>
      <w:r w:rsidRPr="004C269B">
        <w:t> A charge to recover the fixed costs of stranded power generation capacity backed down by the Discom.</w:t>
      </w:r>
    </w:p>
    <w:p w14:paraId="2395BC7B" w14:textId="77777777" w:rsidR="004C269B" w:rsidRPr="004C269B" w:rsidRDefault="004C269B" w:rsidP="004C269B">
      <w:pPr>
        <w:numPr>
          <w:ilvl w:val="1"/>
          <w:numId w:val="14"/>
        </w:numPr>
      </w:pPr>
      <w:r w:rsidRPr="004C269B">
        <w:rPr>
          <w:i/>
          <w:iCs/>
        </w:rPr>
        <w:t>Real Data:</w:t>
      </w:r>
      <w:r w:rsidRPr="004C269B">
        <w:t> Historical data places this around </w:t>
      </w:r>
      <w:r w:rsidRPr="004C269B">
        <w:rPr>
          <w:b/>
          <w:bCs/>
        </w:rPr>
        <w:t>₹1.31/kWh</w:t>
      </w:r>
      <w:r w:rsidRPr="004C269B">
        <w:t>.   </w:t>
      </w:r>
    </w:p>
    <w:p w14:paraId="426C8D8E" w14:textId="77777777" w:rsidR="004C269B" w:rsidRPr="004C269B" w:rsidRDefault="004C269B" w:rsidP="004C269B">
      <w:r w:rsidRPr="004C269B">
        <w:rPr>
          <w:b/>
          <w:bCs/>
        </w:rPr>
        <w:t>Transmission &amp; Wheeling Charges:</w:t>
      </w:r>
    </w:p>
    <w:p w14:paraId="597F5661" w14:textId="77777777" w:rsidR="004C269B" w:rsidRPr="004C269B" w:rsidRDefault="004C269B" w:rsidP="004C269B">
      <w:pPr>
        <w:numPr>
          <w:ilvl w:val="1"/>
          <w:numId w:val="14"/>
        </w:numPr>
      </w:pPr>
      <w:r w:rsidRPr="004C269B">
        <w:rPr>
          <w:b/>
          <w:bCs/>
        </w:rPr>
        <w:t>Wheeling Charge:</w:t>
      </w:r>
      <w:r w:rsidRPr="004C269B">
        <w:t> A per-unit cost for using the distribution network.</w:t>
      </w:r>
    </w:p>
    <w:p w14:paraId="0521A042" w14:textId="77777777" w:rsidR="004C269B" w:rsidRPr="004C269B" w:rsidRDefault="004C269B" w:rsidP="004C269B">
      <w:pPr>
        <w:numPr>
          <w:ilvl w:val="1"/>
          <w:numId w:val="14"/>
        </w:numPr>
      </w:pPr>
      <w:r w:rsidRPr="004C269B">
        <w:rPr>
          <w:b/>
          <w:bCs/>
        </w:rPr>
        <w:t>Transmission Loss:</w:t>
      </w:r>
      <w:r w:rsidRPr="004C269B">
        <w:t> A deduction in kind. MSEDCL data indicates an Intra-State Transmission Loss of </w:t>
      </w:r>
      <w:r w:rsidRPr="004C269B">
        <w:rPr>
          <w:b/>
          <w:bCs/>
        </w:rPr>
        <w:t>3.18%</w:t>
      </w:r>
      <w:r w:rsidRPr="004C269B">
        <w:t>. This means for every 100 units bought on IEX, only 96.82 units reach the consumer. The cost of the missing 3.18 units must be loaded onto the delivered units.   </w:t>
      </w:r>
    </w:p>
    <w:p w14:paraId="7746CE3B" w14:textId="5075B049" w:rsidR="004C269B" w:rsidRDefault="004C269B">
      <w:r>
        <w:t xml:space="preserve">Continuous Monitoring of eighter purchase direct Green Power or Grey Power + </w:t>
      </w:r>
      <w:proofErr w:type="spellStart"/>
      <w:r>
        <w:t>ReC</w:t>
      </w:r>
      <w:proofErr w:type="spellEnd"/>
      <w:r>
        <w:br/>
      </w:r>
    </w:p>
    <w:sectPr w:rsidR="004C269B" w:rsidSect="003345DC">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2125A"/>
    <w:multiLevelType w:val="multilevel"/>
    <w:tmpl w:val="88C6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F7BDB"/>
    <w:multiLevelType w:val="multilevel"/>
    <w:tmpl w:val="978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D04F4"/>
    <w:multiLevelType w:val="multilevel"/>
    <w:tmpl w:val="68B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2C13B3"/>
    <w:multiLevelType w:val="multilevel"/>
    <w:tmpl w:val="CD8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FC2"/>
    <w:multiLevelType w:val="multilevel"/>
    <w:tmpl w:val="060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2B5788"/>
    <w:multiLevelType w:val="multilevel"/>
    <w:tmpl w:val="A81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B63FA4"/>
    <w:multiLevelType w:val="multilevel"/>
    <w:tmpl w:val="7C3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FC2300"/>
    <w:multiLevelType w:val="multilevel"/>
    <w:tmpl w:val="E8D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205BD"/>
    <w:multiLevelType w:val="multilevel"/>
    <w:tmpl w:val="C39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C7B2D"/>
    <w:multiLevelType w:val="multilevel"/>
    <w:tmpl w:val="771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101BBE"/>
    <w:multiLevelType w:val="multilevel"/>
    <w:tmpl w:val="FB4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A660E"/>
    <w:multiLevelType w:val="multilevel"/>
    <w:tmpl w:val="0BE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C454AA"/>
    <w:multiLevelType w:val="multilevel"/>
    <w:tmpl w:val="9570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033684"/>
    <w:multiLevelType w:val="multilevel"/>
    <w:tmpl w:val="631A60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955871">
    <w:abstractNumId w:val="9"/>
  </w:num>
  <w:num w:numId="2" w16cid:durableId="981275581">
    <w:abstractNumId w:val="7"/>
  </w:num>
  <w:num w:numId="3" w16cid:durableId="969675449">
    <w:abstractNumId w:val="12"/>
  </w:num>
  <w:num w:numId="4" w16cid:durableId="197158928">
    <w:abstractNumId w:val="5"/>
  </w:num>
  <w:num w:numId="5" w16cid:durableId="2064133155">
    <w:abstractNumId w:val="0"/>
  </w:num>
  <w:num w:numId="6" w16cid:durableId="326828815">
    <w:abstractNumId w:val="2"/>
  </w:num>
  <w:num w:numId="7" w16cid:durableId="1164203335">
    <w:abstractNumId w:val="11"/>
  </w:num>
  <w:num w:numId="8" w16cid:durableId="759326258">
    <w:abstractNumId w:val="6"/>
  </w:num>
  <w:num w:numId="9" w16cid:durableId="600333853">
    <w:abstractNumId w:val="3"/>
  </w:num>
  <w:num w:numId="10" w16cid:durableId="1443576861">
    <w:abstractNumId w:val="8"/>
  </w:num>
  <w:num w:numId="11" w16cid:durableId="1284653550">
    <w:abstractNumId w:val="4"/>
  </w:num>
  <w:num w:numId="12" w16cid:durableId="865870349">
    <w:abstractNumId w:val="1"/>
  </w:num>
  <w:num w:numId="13" w16cid:durableId="300576972">
    <w:abstractNumId w:val="10"/>
  </w:num>
  <w:num w:numId="14" w16cid:durableId="20062766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0B6"/>
    <w:rsid w:val="000217E9"/>
    <w:rsid w:val="001C1326"/>
    <w:rsid w:val="00212482"/>
    <w:rsid w:val="003345DC"/>
    <w:rsid w:val="00350A56"/>
    <w:rsid w:val="003F621C"/>
    <w:rsid w:val="004913BE"/>
    <w:rsid w:val="004C269B"/>
    <w:rsid w:val="00652672"/>
    <w:rsid w:val="007C09B9"/>
    <w:rsid w:val="007C2617"/>
    <w:rsid w:val="007F50B6"/>
    <w:rsid w:val="00830A8B"/>
    <w:rsid w:val="008F022F"/>
    <w:rsid w:val="009B180B"/>
    <w:rsid w:val="00A359C1"/>
    <w:rsid w:val="00C54DF8"/>
    <w:rsid w:val="00E526AA"/>
    <w:rsid w:val="00E75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D5E9"/>
  <w15:chartTrackingRefBased/>
  <w15:docId w15:val="{75089181-2E49-4F02-8DBF-9864BCE05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5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5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0B6"/>
    <w:rPr>
      <w:rFonts w:eastAsiaTheme="majorEastAsia" w:cstheme="majorBidi"/>
      <w:color w:val="272727" w:themeColor="text1" w:themeTint="D8"/>
    </w:rPr>
  </w:style>
  <w:style w:type="paragraph" w:styleId="Title">
    <w:name w:val="Title"/>
    <w:basedOn w:val="Normal"/>
    <w:next w:val="Normal"/>
    <w:link w:val="TitleChar"/>
    <w:uiPriority w:val="10"/>
    <w:qFormat/>
    <w:rsid w:val="007F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0B6"/>
    <w:pPr>
      <w:spacing w:before="160"/>
      <w:jc w:val="center"/>
    </w:pPr>
    <w:rPr>
      <w:i/>
      <w:iCs/>
      <w:color w:val="404040" w:themeColor="text1" w:themeTint="BF"/>
    </w:rPr>
  </w:style>
  <w:style w:type="character" w:customStyle="1" w:styleId="QuoteChar">
    <w:name w:val="Quote Char"/>
    <w:basedOn w:val="DefaultParagraphFont"/>
    <w:link w:val="Quote"/>
    <w:uiPriority w:val="29"/>
    <w:rsid w:val="007F50B6"/>
    <w:rPr>
      <w:i/>
      <w:iCs/>
      <w:color w:val="404040" w:themeColor="text1" w:themeTint="BF"/>
    </w:rPr>
  </w:style>
  <w:style w:type="paragraph" w:styleId="ListParagraph">
    <w:name w:val="List Paragraph"/>
    <w:basedOn w:val="Normal"/>
    <w:uiPriority w:val="34"/>
    <w:qFormat/>
    <w:rsid w:val="007F50B6"/>
    <w:pPr>
      <w:ind w:left="720"/>
      <w:contextualSpacing/>
    </w:pPr>
  </w:style>
  <w:style w:type="character" w:styleId="IntenseEmphasis">
    <w:name w:val="Intense Emphasis"/>
    <w:basedOn w:val="DefaultParagraphFont"/>
    <w:uiPriority w:val="21"/>
    <w:qFormat/>
    <w:rsid w:val="007F50B6"/>
    <w:rPr>
      <w:i/>
      <w:iCs/>
      <w:color w:val="0F4761" w:themeColor="accent1" w:themeShade="BF"/>
    </w:rPr>
  </w:style>
  <w:style w:type="paragraph" w:styleId="IntenseQuote">
    <w:name w:val="Intense Quote"/>
    <w:basedOn w:val="Normal"/>
    <w:next w:val="Normal"/>
    <w:link w:val="IntenseQuoteChar"/>
    <w:uiPriority w:val="30"/>
    <w:qFormat/>
    <w:rsid w:val="007F5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0B6"/>
    <w:rPr>
      <w:i/>
      <w:iCs/>
      <w:color w:val="0F4761" w:themeColor="accent1" w:themeShade="BF"/>
    </w:rPr>
  </w:style>
  <w:style w:type="character" w:styleId="IntenseReference">
    <w:name w:val="Intense Reference"/>
    <w:basedOn w:val="DefaultParagraphFont"/>
    <w:uiPriority w:val="32"/>
    <w:qFormat/>
    <w:rsid w:val="007F50B6"/>
    <w:rPr>
      <w:b/>
      <w:bCs/>
      <w:smallCaps/>
      <w:color w:val="0F4761" w:themeColor="accent1" w:themeShade="BF"/>
      <w:spacing w:val="5"/>
    </w:rPr>
  </w:style>
  <w:style w:type="paragraph" w:styleId="NormalWeb">
    <w:name w:val="Normal (Web)"/>
    <w:basedOn w:val="Normal"/>
    <w:uiPriority w:val="99"/>
    <w:semiHidden/>
    <w:unhideWhenUsed/>
    <w:rsid w:val="00E75B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3310">
      <w:bodyDiv w:val="1"/>
      <w:marLeft w:val="0"/>
      <w:marRight w:val="0"/>
      <w:marTop w:val="0"/>
      <w:marBottom w:val="0"/>
      <w:divBdr>
        <w:top w:val="none" w:sz="0" w:space="0" w:color="auto"/>
        <w:left w:val="none" w:sz="0" w:space="0" w:color="auto"/>
        <w:bottom w:val="none" w:sz="0" w:space="0" w:color="auto"/>
        <w:right w:val="none" w:sz="0" w:space="0" w:color="auto"/>
      </w:divBdr>
    </w:div>
    <w:div w:id="24916657">
      <w:bodyDiv w:val="1"/>
      <w:marLeft w:val="0"/>
      <w:marRight w:val="0"/>
      <w:marTop w:val="0"/>
      <w:marBottom w:val="0"/>
      <w:divBdr>
        <w:top w:val="none" w:sz="0" w:space="0" w:color="auto"/>
        <w:left w:val="none" w:sz="0" w:space="0" w:color="auto"/>
        <w:bottom w:val="none" w:sz="0" w:space="0" w:color="auto"/>
        <w:right w:val="none" w:sz="0" w:space="0" w:color="auto"/>
      </w:divBdr>
    </w:div>
    <w:div w:id="43843708">
      <w:bodyDiv w:val="1"/>
      <w:marLeft w:val="0"/>
      <w:marRight w:val="0"/>
      <w:marTop w:val="0"/>
      <w:marBottom w:val="0"/>
      <w:divBdr>
        <w:top w:val="none" w:sz="0" w:space="0" w:color="auto"/>
        <w:left w:val="none" w:sz="0" w:space="0" w:color="auto"/>
        <w:bottom w:val="none" w:sz="0" w:space="0" w:color="auto"/>
        <w:right w:val="none" w:sz="0" w:space="0" w:color="auto"/>
      </w:divBdr>
    </w:div>
    <w:div w:id="157424802">
      <w:bodyDiv w:val="1"/>
      <w:marLeft w:val="0"/>
      <w:marRight w:val="0"/>
      <w:marTop w:val="0"/>
      <w:marBottom w:val="0"/>
      <w:divBdr>
        <w:top w:val="none" w:sz="0" w:space="0" w:color="auto"/>
        <w:left w:val="none" w:sz="0" w:space="0" w:color="auto"/>
        <w:bottom w:val="none" w:sz="0" w:space="0" w:color="auto"/>
        <w:right w:val="none" w:sz="0" w:space="0" w:color="auto"/>
      </w:divBdr>
    </w:div>
    <w:div w:id="167643271">
      <w:bodyDiv w:val="1"/>
      <w:marLeft w:val="0"/>
      <w:marRight w:val="0"/>
      <w:marTop w:val="0"/>
      <w:marBottom w:val="0"/>
      <w:divBdr>
        <w:top w:val="none" w:sz="0" w:space="0" w:color="auto"/>
        <w:left w:val="none" w:sz="0" w:space="0" w:color="auto"/>
        <w:bottom w:val="none" w:sz="0" w:space="0" w:color="auto"/>
        <w:right w:val="none" w:sz="0" w:space="0" w:color="auto"/>
      </w:divBdr>
    </w:div>
    <w:div w:id="194463956">
      <w:bodyDiv w:val="1"/>
      <w:marLeft w:val="0"/>
      <w:marRight w:val="0"/>
      <w:marTop w:val="0"/>
      <w:marBottom w:val="0"/>
      <w:divBdr>
        <w:top w:val="none" w:sz="0" w:space="0" w:color="auto"/>
        <w:left w:val="none" w:sz="0" w:space="0" w:color="auto"/>
        <w:bottom w:val="none" w:sz="0" w:space="0" w:color="auto"/>
        <w:right w:val="none" w:sz="0" w:space="0" w:color="auto"/>
      </w:divBdr>
    </w:div>
    <w:div w:id="290289731">
      <w:bodyDiv w:val="1"/>
      <w:marLeft w:val="0"/>
      <w:marRight w:val="0"/>
      <w:marTop w:val="0"/>
      <w:marBottom w:val="0"/>
      <w:divBdr>
        <w:top w:val="none" w:sz="0" w:space="0" w:color="auto"/>
        <w:left w:val="none" w:sz="0" w:space="0" w:color="auto"/>
        <w:bottom w:val="none" w:sz="0" w:space="0" w:color="auto"/>
        <w:right w:val="none" w:sz="0" w:space="0" w:color="auto"/>
      </w:divBdr>
    </w:div>
    <w:div w:id="357390586">
      <w:bodyDiv w:val="1"/>
      <w:marLeft w:val="0"/>
      <w:marRight w:val="0"/>
      <w:marTop w:val="0"/>
      <w:marBottom w:val="0"/>
      <w:divBdr>
        <w:top w:val="none" w:sz="0" w:space="0" w:color="auto"/>
        <w:left w:val="none" w:sz="0" w:space="0" w:color="auto"/>
        <w:bottom w:val="none" w:sz="0" w:space="0" w:color="auto"/>
        <w:right w:val="none" w:sz="0" w:space="0" w:color="auto"/>
      </w:divBdr>
    </w:div>
    <w:div w:id="371342827">
      <w:bodyDiv w:val="1"/>
      <w:marLeft w:val="0"/>
      <w:marRight w:val="0"/>
      <w:marTop w:val="0"/>
      <w:marBottom w:val="0"/>
      <w:divBdr>
        <w:top w:val="none" w:sz="0" w:space="0" w:color="auto"/>
        <w:left w:val="none" w:sz="0" w:space="0" w:color="auto"/>
        <w:bottom w:val="none" w:sz="0" w:space="0" w:color="auto"/>
        <w:right w:val="none" w:sz="0" w:space="0" w:color="auto"/>
      </w:divBdr>
    </w:div>
    <w:div w:id="403188452">
      <w:bodyDiv w:val="1"/>
      <w:marLeft w:val="0"/>
      <w:marRight w:val="0"/>
      <w:marTop w:val="0"/>
      <w:marBottom w:val="0"/>
      <w:divBdr>
        <w:top w:val="none" w:sz="0" w:space="0" w:color="auto"/>
        <w:left w:val="none" w:sz="0" w:space="0" w:color="auto"/>
        <w:bottom w:val="none" w:sz="0" w:space="0" w:color="auto"/>
        <w:right w:val="none" w:sz="0" w:space="0" w:color="auto"/>
      </w:divBdr>
    </w:div>
    <w:div w:id="583807326">
      <w:bodyDiv w:val="1"/>
      <w:marLeft w:val="0"/>
      <w:marRight w:val="0"/>
      <w:marTop w:val="0"/>
      <w:marBottom w:val="0"/>
      <w:divBdr>
        <w:top w:val="none" w:sz="0" w:space="0" w:color="auto"/>
        <w:left w:val="none" w:sz="0" w:space="0" w:color="auto"/>
        <w:bottom w:val="none" w:sz="0" w:space="0" w:color="auto"/>
        <w:right w:val="none" w:sz="0" w:space="0" w:color="auto"/>
      </w:divBdr>
    </w:div>
    <w:div w:id="591821889">
      <w:bodyDiv w:val="1"/>
      <w:marLeft w:val="0"/>
      <w:marRight w:val="0"/>
      <w:marTop w:val="0"/>
      <w:marBottom w:val="0"/>
      <w:divBdr>
        <w:top w:val="none" w:sz="0" w:space="0" w:color="auto"/>
        <w:left w:val="none" w:sz="0" w:space="0" w:color="auto"/>
        <w:bottom w:val="none" w:sz="0" w:space="0" w:color="auto"/>
        <w:right w:val="none" w:sz="0" w:space="0" w:color="auto"/>
      </w:divBdr>
    </w:div>
    <w:div w:id="665328288">
      <w:bodyDiv w:val="1"/>
      <w:marLeft w:val="0"/>
      <w:marRight w:val="0"/>
      <w:marTop w:val="0"/>
      <w:marBottom w:val="0"/>
      <w:divBdr>
        <w:top w:val="none" w:sz="0" w:space="0" w:color="auto"/>
        <w:left w:val="none" w:sz="0" w:space="0" w:color="auto"/>
        <w:bottom w:val="none" w:sz="0" w:space="0" w:color="auto"/>
        <w:right w:val="none" w:sz="0" w:space="0" w:color="auto"/>
      </w:divBdr>
    </w:div>
    <w:div w:id="868225128">
      <w:bodyDiv w:val="1"/>
      <w:marLeft w:val="0"/>
      <w:marRight w:val="0"/>
      <w:marTop w:val="0"/>
      <w:marBottom w:val="0"/>
      <w:divBdr>
        <w:top w:val="none" w:sz="0" w:space="0" w:color="auto"/>
        <w:left w:val="none" w:sz="0" w:space="0" w:color="auto"/>
        <w:bottom w:val="none" w:sz="0" w:space="0" w:color="auto"/>
        <w:right w:val="none" w:sz="0" w:space="0" w:color="auto"/>
      </w:divBdr>
    </w:div>
    <w:div w:id="979698812">
      <w:bodyDiv w:val="1"/>
      <w:marLeft w:val="0"/>
      <w:marRight w:val="0"/>
      <w:marTop w:val="0"/>
      <w:marBottom w:val="0"/>
      <w:divBdr>
        <w:top w:val="none" w:sz="0" w:space="0" w:color="auto"/>
        <w:left w:val="none" w:sz="0" w:space="0" w:color="auto"/>
        <w:bottom w:val="none" w:sz="0" w:space="0" w:color="auto"/>
        <w:right w:val="none" w:sz="0" w:space="0" w:color="auto"/>
      </w:divBdr>
    </w:div>
    <w:div w:id="999962523">
      <w:bodyDiv w:val="1"/>
      <w:marLeft w:val="0"/>
      <w:marRight w:val="0"/>
      <w:marTop w:val="0"/>
      <w:marBottom w:val="0"/>
      <w:divBdr>
        <w:top w:val="none" w:sz="0" w:space="0" w:color="auto"/>
        <w:left w:val="none" w:sz="0" w:space="0" w:color="auto"/>
        <w:bottom w:val="none" w:sz="0" w:space="0" w:color="auto"/>
        <w:right w:val="none" w:sz="0" w:space="0" w:color="auto"/>
      </w:divBdr>
    </w:div>
    <w:div w:id="1000504210">
      <w:bodyDiv w:val="1"/>
      <w:marLeft w:val="0"/>
      <w:marRight w:val="0"/>
      <w:marTop w:val="0"/>
      <w:marBottom w:val="0"/>
      <w:divBdr>
        <w:top w:val="none" w:sz="0" w:space="0" w:color="auto"/>
        <w:left w:val="none" w:sz="0" w:space="0" w:color="auto"/>
        <w:bottom w:val="none" w:sz="0" w:space="0" w:color="auto"/>
        <w:right w:val="none" w:sz="0" w:space="0" w:color="auto"/>
      </w:divBdr>
    </w:div>
    <w:div w:id="1057629424">
      <w:bodyDiv w:val="1"/>
      <w:marLeft w:val="0"/>
      <w:marRight w:val="0"/>
      <w:marTop w:val="0"/>
      <w:marBottom w:val="0"/>
      <w:divBdr>
        <w:top w:val="none" w:sz="0" w:space="0" w:color="auto"/>
        <w:left w:val="none" w:sz="0" w:space="0" w:color="auto"/>
        <w:bottom w:val="none" w:sz="0" w:space="0" w:color="auto"/>
        <w:right w:val="none" w:sz="0" w:space="0" w:color="auto"/>
      </w:divBdr>
    </w:div>
    <w:div w:id="1068452625">
      <w:bodyDiv w:val="1"/>
      <w:marLeft w:val="0"/>
      <w:marRight w:val="0"/>
      <w:marTop w:val="0"/>
      <w:marBottom w:val="0"/>
      <w:divBdr>
        <w:top w:val="none" w:sz="0" w:space="0" w:color="auto"/>
        <w:left w:val="none" w:sz="0" w:space="0" w:color="auto"/>
        <w:bottom w:val="none" w:sz="0" w:space="0" w:color="auto"/>
        <w:right w:val="none" w:sz="0" w:space="0" w:color="auto"/>
      </w:divBdr>
    </w:div>
    <w:div w:id="1092816817">
      <w:bodyDiv w:val="1"/>
      <w:marLeft w:val="0"/>
      <w:marRight w:val="0"/>
      <w:marTop w:val="0"/>
      <w:marBottom w:val="0"/>
      <w:divBdr>
        <w:top w:val="none" w:sz="0" w:space="0" w:color="auto"/>
        <w:left w:val="none" w:sz="0" w:space="0" w:color="auto"/>
        <w:bottom w:val="none" w:sz="0" w:space="0" w:color="auto"/>
        <w:right w:val="none" w:sz="0" w:space="0" w:color="auto"/>
      </w:divBdr>
    </w:div>
    <w:div w:id="1112286033">
      <w:bodyDiv w:val="1"/>
      <w:marLeft w:val="0"/>
      <w:marRight w:val="0"/>
      <w:marTop w:val="0"/>
      <w:marBottom w:val="0"/>
      <w:divBdr>
        <w:top w:val="none" w:sz="0" w:space="0" w:color="auto"/>
        <w:left w:val="none" w:sz="0" w:space="0" w:color="auto"/>
        <w:bottom w:val="none" w:sz="0" w:space="0" w:color="auto"/>
        <w:right w:val="none" w:sz="0" w:space="0" w:color="auto"/>
      </w:divBdr>
    </w:div>
    <w:div w:id="1127623641">
      <w:bodyDiv w:val="1"/>
      <w:marLeft w:val="0"/>
      <w:marRight w:val="0"/>
      <w:marTop w:val="0"/>
      <w:marBottom w:val="0"/>
      <w:divBdr>
        <w:top w:val="none" w:sz="0" w:space="0" w:color="auto"/>
        <w:left w:val="none" w:sz="0" w:space="0" w:color="auto"/>
        <w:bottom w:val="none" w:sz="0" w:space="0" w:color="auto"/>
        <w:right w:val="none" w:sz="0" w:space="0" w:color="auto"/>
      </w:divBdr>
    </w:div>
    <w:div w:id="1157258831">
      <w:bodyDiv w:val="1"/>
      <w:marLeft w:val="0"/>
      <w:marRight w:val="0"/>
      <w:marTop w:val="0"/>
      <w:marBottom w:val="0"/>
      <w:divBdr>
        <w:top w:val="none" w:sz="0" w:space="0" w:color="auto"/>
        <w:left w:val="none" w:sz="0" w:space="0" w:color="auto"/>
        <w:bottom w:val="none" w:sz="0" w:space="0" w:color="auto"/>
        <w:right w:val="none" w:sz="0" w:space="0" w:color="auto"/>
      </w:divBdr>
    </w:div>
    <w:div w:id="1178886241">
      <w:bodyDiv w:val="1"/>
      <w:marLeft w:val="0"/>
      <w:marRight w:val="0"/>
      <w:marTop w:val="0"/>
      <w:marBottom w:val="0"/>
      <w:divBdr>
        <w:top w:val="none" w:sz="0" w:space="0" w:color="auto"/>
        <w:left w:val="none" w:sz="0" w:space="0" w:color="auto"/>
        <w:bottom w:val="none" w:sz="0" w:space="0" w:color="auto"/>
        <w:right w:val="none" w:sz="0" w:space="0" w:color="auto"/>
      </w:divBdr>
    </w:div>
    <w:div w:id="1187449117">
      <w:bodyDiv w:val="1"/>
      <w:marLeft w:val="0"/>
      <w:marRight w:val="0"/>
      <w:marTop w:val="0"/>
      <w:marBottom w:val="0"/>
      <w:divBdr>
        <w:top w:val="none" w:sz="0" w:space="0" w:color="auto"/>
        <w:left w:val="none" w:sz="0" w:space="0" w:color="auto"/>
        <w:bottom w:val="none" w:sz="0" w:space="0" w:color="auto"/>
        <w:right w:val="none" w:sz="0" w:space="0" w:color="auto"/>
      </w:divBdr>
    </w:div>
    <w:div w:id="1243489981">
      <w:bodyDiv w:val="1"/>
      <w:marLeft w:val="0"/>
      <w:marRight w:val="0"/>
      <w:marTop w:val="0"/>
      <w:marBottom w:val="0"/>
      <w:divBdr>
        <w:top w:val="none" w:sz="0" w:space="0" w:color="auto"/>
        <w:left w:val="none" w:sz="0" w:space="0" w:color="auto"/>
        <w:bottom w:val="none" w:sz="0" w:space="0" w:color="auto"/>
        <w:right w:val="none" w:sz="0" w:space="0" w:color="auto"/>
      </w:divBdr>
    </w:div>
    <w:div w:id="1285036772">
      <w:bodyDiv w:val="1"/>
      <w:marLeft w:val="0"/>
      <w:marRight w:val="0"/>
      <w:marTop w:val="0"/>
      <w:marBottom w:val="0"/>
      <w:divBdr>
        <w:top w:val="none" w:sz="0" w:space="0" w:color="auto"/>
        <w:left w:val="none" w:sz="0" w:space="0" w:color="auto"/>
        <w:bottom w:val="none" w:sz="0" w:space="0" w:color="auto"/>
        <w:right w:val="none" w:sz="0" w:space="0" w:color="auto"/>
      </w:divBdr>
    </w:div>
    <w:div w:id="1360887779">
      <w:bodyDiv w:val="1"/>
      <w:marLeft w:val="0"/>
      <w:marRight w:val="0"/>
      <w:marTop w:val="0"/>
      <w:marBottom w:val="0"/>
      <w:divBdr>
        <w:top w:val="none" w:sz="0" w:space="0" w:color="auto"/>
        <w:left w:val="none" w:sz="0" w:space="0" w:color="auto"/>
        <w:bottom w:val="none" w:sz="0" w:space="0" w:color="auto"/>
        <w:right w:val="none" w:sz="0" w:space="0" w:color="auto"/>
      </w:divBdr>
    </w:div>
    <w:div w:id="1364794324">
      <w:bodyDiv w:val="1"/>
      <w:marLeft w:val="0"/>
      <w:marRight w:val="0"/>
      <w:marTop w:val="0"/>
      <w:marBottom w:val="0"/>
      <w:divBdr>
        <w:top w:val="none" w:sz="0" w:space="0" w:color="auto"/>
        <w:left w:val="none" w:sz="0" w:space="0" w:color="auto"/>
        <w:bottom w:val="none" w:sz="0" w:space="0" w:color="auto"/>
        <w:right w:val="none" w:sz="0" w:space="0" w:color="auto"/>
      </w:divBdr>
    </w:div>
    <w:div w:id="1385834086">
      <w:bodyDiv w:val="1"/>
      <w:marLeft w:val="0"/>
      <w:marRight w:val="0"/>
      <w:marTop w:val="0"/>
      <w:marBottom w:val="0"/>
      <w:divBdr>
        <w:top w:val="none" w:sz="0" w:space="0" w:color="auto"/>
        <w:left w:val="none" w:sz="0" w:space="0" w:color="auto"/>
        <w:bottom w:val="none" w:sz="0" w:space="0" w:color="auto"/>
        <w:right w:val="none" w:sz="0" w:space="0" w:color="auto"/>
      </w:divBdr>
    </w:div>
    <w:div w:id="1411192022">
      <w:bodyDiv w:val="1"/>
      <w:marLeft w:val="0"/>
      <w:marRight w:val="0"/>
      <w:marTop w:val="0"/>
      <w:marBottom w:val="0"/>
      <w:divBdr>
        <w:top w:val="none" w:sz="0" w:space="0" w:color="auto"/>
        <w:left w:val="none" w:sz="0" w:space="0" w:color="auto"/>
        <w:bottom w:val="none" w:sz="0" w:space="0" w:color="auto"/>
        <w:right w:val="none" w:sz="0" w:space="0" w:color="auto"/>
      </w:divBdr>
    </w:div>
    <w:div w:id="1418405624">
      <w:bodyDiv w:val="1"/>
      <w:marLeft w:val="0"/>
      <w:marRight w:val="0"/>
      <w:marTop w:val="0"/>
      <w:marBottom w:val="0"/>
      <w:divBdr>
        <w:top w:val="none" w:sz="0" w:space="0" w:color="auto"/>
        <w:left w:val="none" w:sz="0" w:space="0" w:color="auto"/>
        <w:bottom w:val="none" w:sz="0" w:space="0" w:color="auto"/>
        <w:right w:val="none" w:sz="0" w:space="0" w:color="auto"/>
      </w:divBdr>
    </w:div>
    <w:div w:id="1469084782">
      <w:bodyDiv w:val="1"/>
      <w:marLeft w:val="0"/>
      <w:marRight w:val="0"/>
      <w:marTop w:val="0"/>
      <w:marBottom w:val="0"/>
      <w:divBdr>
        <w:top w:val="none" w:sz="0" w:space="0" w:color="auto"/>
        <w:left w:val="none" w:sz="0" w:space="0" w:color="auto"/>
        <w:bottom w:val="none" w:sz="0" w:space="0" w:color="auto"/>
        <w:right w:val="none" w:sz="0" w:space="0" w:color="auto"/>
      </w:divBdr>
    </w:div>
    <w:div w:id="1487168121">
      <w:bodyDiv w:val="1"/>
      <w:marLeft w:val="0"/>
      <w:marRight w:val="0"/>
      <w:marTop w:val="0"/>
      <w:marBottom w:val="0"/>
      <w:divBdr>
        <w:top w:val="none" w:sz="0" w:space="0" w:color="auto"/>
        <w:left w:val="none" w:sz="0" w:space="0" w:color="auto"/>
        <w:bottom w:val="none" w:sz="0" w:space="0" w:color="auto"/>
        <w:right w:val="none" w:sz="0" w:space="0" w:color="auto"/>
      </w:divBdr>
    </w:div>
    <w:div w:id="1517815775">
      <w:bodyDiv w:val="1"/>
      <w:marLeft w:val="0"/>
      <w:marRight w:val="0"/>
      <w:marTop w:val="0"/>
      <w:marBottom w:val="0"/>
      <w:divBdr>
        <w:top w:val="none" w:sz="0" w:space="0" w:color="auto"/>
        <w:left w:val="none" w:sz="0" w:space="0" w:color="auto"/>
        <w:bottom w:val="none" w:sz="0" w:space="0" w:color="auto"/>
        <w:right w:val="none" w:sz="0" w:space="0" w:color="auto"/>
      </w:divBdr>
    </w:div>
    <w:div w:id="1525242491">
      <w:bodyDiv w:val="1"/>
      <w:marLeft w:val="0"/>
      <w:marRight w:val="0"/>
      <w:marTop w:val="0"/>
      <w:marBottom w:val="0"/>
      <w:divBdr>
        <w:top w:val="none" w:sz="0" w:space="0" w:color="auto"/>
        <w:left w:val="none" w:sz="0" w:space="0" w:color="auto"/>
        <w:bottom w:val="none" w:sz="0" w:space="0" w:color="auto"/>
        <w:right w:val="none" w:sz="0" w:space="0" w:color="auto"/>
      </w:divBdr>
    </w:div>
    <w:div w:id="1658266291">
      <w:bodyDiv w:val="1"/>
      <w:marLeft w:val="0"/>
      <w:marRight w:val="0"/>
      <w:marTop w:val="0"/>
      <w:marBottom w:val="0"/>
      <w:divBdr>
        <w:top w:val="none" w:sz="0" w:space="0" w:color="auto"/>
        <w:left w:val="none" w:sz="0" w:space="0" w:color="auto"/>
        <w:bottom w:val="none" w:sz="0" w:space="0" w:color="auto"/>
        <w:right w:val="none" w:sz="0" w:space="0" w:color="auto"/>
      </w:divBdr>
    </w:div>
    <w:div w:id="1692800782">
      <w:bodyDiv w:val="1"/>
      <w:marLeft w:val="0"/>
      <w:marRight w:val="0"/>
      <w:marTop w:val="0"/>
      <w:marBottom w:val="0"/>
      <w:divBdr>
        <w:top w:val="none" w:sz="0" w:space="0" w:color="auto"/>
        <w:left w:val="none" w:sz="0" w:space="0" w:color="auto"/>
        <w:bottom w:val="none" w:sz="0" w:space="0" w:color="auto"/>
        <w:right w:val="none" w:sz="0" w:space="0" w:color="auto"/>
      </w:divBdr>
    </w:div>
    <w:div w:id="1712606062">
      <w:bodyDiv w:val="1"/>
      <w:marLeft w:val="0"/>
      <w:marRight w:val="0"/>
      <w:marTop w:val="0"/>
      <w:marBottom w:val="0"/>
      <w:divBdr>
        <w:top w:val="none" w:sz="0" w:space="0" w:color="auto"/>
        <w:left w:val="none" w:sz="0" w:space="0" w:color="auto"/>
        <w:bottom w:val="none" w:sz="0" w:space="0" w:color="auto"/>
        <w:right w:val="none" w:sz="0" w:space="0" w:color="auto"/>
      </w:divBdr>
    </w:div>
    <w:div w:id="1765110721">
      <w:bodyDiv w:val="1"/>
      <w:marLeft w:val="0"/>
      <w:marRight w:val="0"/>
      <w:marTop w:val="0"/>
      <w:marBottom w:val="0"/>
      <w:divBdr>
        <w:top w:val="none" w:sz="0" w:space="0" w:color="auto"/>
        <w:left w:val="none" w:sz="0" w:space="0" w:color="auto"/>
        <w:bottom w:val="none" w:sz="0" w:space="0" w:color="auto"/>
        <w:right w:val="none" w:sz="0" w:space="0" w:color="auto"/>
      </w:divBdr>
    </w:div>
    <w:div w:id="1823083313">
      <w:bodyDiv w:val="1"/>
      <w:marLeft w:val="0"/>
      <w:marRight w:val="0"/>
      <w:marTop w:val="0"/>
      <w:marBottom w:val="0"/>
      <w:divBdr>
        <w:top w:val="none" w:sz="0" w:space="0" w:color="auto"/>
        <w:left w:val="none" w:sz="0" w:space="0" w:color="auto"/>
        <w:bottom w:val="none" w:sz="0" w:space="0" w:color="auto"/>
        <w:right w:val="none" w:sz="0" w:space="0" w:color="auto"/>
      </w:divBdr>
    </w:div>
    <w:div w:id="1858273993">
      <w:bodyDiv w:val="1"/>
      <w:marLeft w:val="0"/>
      <w:marRight w:val="0"/>
      <w:marTop w:val="0"/>
      <w:marBottom w:val="0"/>
      <w:divBdr>
        <w:top w:val="none" w:sz="0" w:space="0" w:color="auto"/>
        <w:left w:val="none" w:sz="0" w:space="0" w:color="auto"/>
        <w:bottom w:val="none" w:sz="0" w:space="0" w:color="auto"/>
        <w:right w:val="none" w:sz="0" w:space="0" w:color="auto"/>
      </w:divBdr>
    </w:div>
    <w:div w:id="1892383955">
      <w:bodyDiv w:val="1"/>
      <w:marLeft w:val="0"/>
      <w:marRight w:val="0"/>
      <w:marTop w:val="0"/>
      <w:marBottom w:val="0"/>
      <w:divBdr>
        <w:top w:val="none" w:sz="0" w:space="0" w:color="auto"/>
        <w:left w:val="none" w:sz="0" w:space="0" w:color="auto"/>
        <w:bottom w:val="none" w:sz="0" w:space="0" w:color="auto"/>
        <w:right w:val="none" w:sz="0" w:space="0" w:color="auto"/>
      </w:divBdr>
    </w:div>
    <w:div w:id="1919165442">
      <w:bodyDiv w:val="1"/>
      <w:marLeft w:val="0"/>
      <w:marRight w:val="0"/>
      <w:marTop w:val="0"/>
      <w:marBottom w:val="0"/>
      <w:divBdr>
        <w:top w:val="none" w:sz="0" w:space="0" w:color="auto"/>
        <w:left w:val="none" w:sz="0" w:space="0" w:color="auto"/>
        <w:bottom w:val="none" w:sz="0" w:space="0" w:color="auto"/>
        <w:right w:val="none" w:sz="0" w:space="0" w:color="auto"/>
      </w:divBdr>
    </w:div>
    <w:div w:id="1946571035">
      <w:bodyDiv w:val="1"/>
      <w:marLeft w:val="0"/>
      <w:marRight w:val="0"/>
      <w:marTop w:val="0"/>
      <w:marBottom w:val="0"/>
      <w:divBdr>
        <w:top w:val="none" w:sz="0" w:space="0" w:color="auto"/>
        <w:left w:val="none" w:sz="0" w:space="0" w:color="auto"/>
        <w:bottom w:val="none" w:sz="0" w:space="0" w:color="auto"/>
        <w:right w:val="none" w:sz="0" w:space="0" w:color="auto"/>
      </w:divBdr>
    </w:div>
    <w:div w:id="1971739675">
      <w:bodyDiv w:val="1"/>
      <w:marLeft w:val="0"/>
      <w:marRight w:val="0"/>
      <w:marTop w:val="0"/>
      <w:marBottom w:val="0"/>
      <w:divBdr>
        <w:top w:val="none" w:sz="0" w:space="0" w:color="auto"/>
        <w:left w:val="none" w:sz="0" w:space="0" w:color="auto"/>
        <w:bottom w:val="none" w:sz="0" w:space="0" w:color="auto"/>
        <w:right w:val="none" w:sz="0" w:space="0" w:color="auto"/>
      </w:divBdr>
    </w:div>
    <w:div w:id="1981424928">
      <w:bodyDiv w:val="1"/>
      <w:marLeft w:val="0"/>
      <w:marRight w:val="0"/>
      <w:marTop w:val="0"/>
      <w:marBottom w:val="0"/>
      <w:divBdr>
        <w:top w:val="none" w:sz="0" w:space="0" w:color="auto"/>
        <w:left w:val="none" w:sz="0" w:space="0" w:color="auto"/>
        <w:bottom w:val="none" w:sz="0" w:space="0" w:color="auto"/>
        <w:right w:val="none" w:sz="0" w:space="0" w:color="auto"/>
      </w:divBdr>
    </w:div>
    <w:div w:id="20588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7</Pages>
  <Words>2363</Words>
  <Characters>13474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Tiwari</dc:creator>
  <cp:keywords/>
  <dc:description/>
  <cp:lastModifiedBy>Ishaan Tiwari</cp:lastModifiedBy>
  <cp:revision>1</cp:revision>
  <dcterms:created xsi:type="dcterms:W3CDTF">2025-11-27T09:55:00Z</dcterms:created>
  <dcterms:modified xsi:type="dcterms:W3CDTF">2025-11-27T13:48:00Z</dcterms:modified>
</cp:coreProperties>
</file>