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Northstar Robotics — operating metrics</w:t>
      </w:r>
    </w:p>
    <w:p>
      <w:r>
        <w:t xml:space="preserve">NRR 118%. Logo churn 1.1% quarterly. Gross margin 61% blended, 79% on software. No cohort exhibit is attached; NRR is a company-reported figure.</w:t>
      </w:r>
    </w:p>
    <w:p>
      <w:r>
        <w:t xml:space="preserve">Payback on a full site install is 11 weeks in the two Pittsburgh pilots. Dallas is not yet live.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2026-09-12T06:01:20.702Z</dcterms:created>
  <dcterms:modified xsi:type="dcterms:W3CDTF">2026-09-12T06:01:20.702Z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