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val="0"/>
          <w:sz w:val="24"/>
        </w:rPr>
        <w:t>Georgia Institute of Technology</w:t>
      </w:r>
    </w:p>
    <w:p>
      <w:pPr>
        <w:spacing w:after="20"/>
        <w:jc w:val="center"/>
      </w:pPr>
      <w:r>
        <w:rPr>
          <w:rFonts w:ascii="Times New Roman" w:hAnsi="Times New Roman"/>
          <w:b w:val="0"/>
          <w:sz w:val="24"/>
        </w:rPr>
        <w:t>CS 4365/6365: Introduction to Enterprise Computing</w:t>
      </w:r>
    </w:p>
    <w:p>
      <w:pPr>
        <w:spacing w:after="20"/>
        <w:jc w:val="center"/>
      </w:pPr>
      <w:r>
        <w:rPr>
          <w:rFonts w:ascii="Times New Roman" w:hAnsi="Times New Roman"/>
          <w:b w:val="0"/>
          <w:sz w:val="24"/>
        </w:rPr>
        <w:t>Summer 2026</w:t>
      </w:r>
    </w:p>
    <w:p>
      <w:pPr>
        <w:spacing w:after="20"/>
        <w:jc w:val="center"/>
      </w:pPr>
      <w:r>
        <w:rPr>
          <w:rFonts w:ascii="Times New Roman" w:hAnsi="Times New Roman"/>
          <w:b/>
          <w:sz w:val="26"/>
        </w:rPr>
        <w:t>Project Final Report (Checkpoint 4)</w:t>
      </w:r>
    </w:p>
    <w:p>
      <w:pPr>
        <w:spacing w:after="20"/>
      </w:pPr>
      <w:r>
        <w:rPr>
          <w:rFonts w:ascii="Times New Roman" w:hAnsi="Times New Roman"/>
          <w:b/>
          <w:sz w:val="22"/>
        </w:rPr>
        <w:t xml:space="preserve">Group: </w:t>
      </w:r>
      <w:r>
        <w:rPr>
          <w:rFonts w:ascii="Times New Roman" w:hAnsi="Times New Roman"/>
          <w:b w:val="0"/>
          <w:sz w:val="22"/>
        </w:rPr>
        <w:t>4</w:t>
      </w:r>
    </w:p>
    <w:p>
      <w:pPr>
        <w:spacing w:after="20"/>
      </w:pPr>
      <w:r>
        <w:rPr>
          <w:rFonts w:ascii="Times New Roman" w:hAnsi="Times New Roman"/>
          <w:b/>
          <w:sz w:val="22"/>
        </w:rPr>
        <w:t xml:space="preserve">Name(s): </w:t>
      </w:r>
      <w:r>
        <w:rPr>
          <w:rFonts w:ascii="Times New Roman" w:hAnsi="Times New Roman"/>
          <w:b w:val="0"/>
          <w:sz w:val="22"/>
        </w:rPr>
        <w:t>Ishaan Bhardwaj and Gowtam Kommi</w:t>
      </w:r>
    </w:p>
    <w:p>
      <w:pPr>
        <w:spacing w:after="120"/>
      </w:pPr>
      <w:r>
        <w:rPr>
          <w:rFonts w:ascii="Times New Roman" w:hAnsi="Times New Roman"/>
          <w:b/>
          <w:sz w:val="22"/>
        </w:rPr>
        <w:t xml:space="preserve">Project Name: </w:t>
      </w:r>
      <w:r>
        <w:rPr>
          <w:rFonts w:ascii="Times New Roman" w:hAnsi="Times New Roman"/>
          <w:b w:val="0"/>
          <w:sz w:val="22"/>
        </w:rPr>
        <w:t>NORP Food Assistance Need-Capacity Gap Explorer</w:t>
      </w:r>
    </w:p>
    <w:p>
      <w:pPr>
        <w:spacing w:before="240" w:after="80"/>
      </w:pPr>
      <w:r>
        <w:rPr>
          <w:rFonts w:ascii="Times New Roman" w:hAnsi="Times New Roman"/>
          <w:b/>
          <w:sz w:val="30"/>
        </w:rPr>
        <w:t>Context and Related Work:</w:t>
      </w:r>
    </w:p>
    <w:p>
      <w:pPr>
        <w:spacing w:after="120"/>
      </w:pPr>
      <w:r>
        <w:rPr>
          <w:rFonts w:ascii="Times New Roman" w:hAnsi="Times New Roman"/>
          <w:b w:val="0"/>
          <w:sz w:val="22"/>
        </w:rPr>
        <w:t>Prior NORP work built NL2SQL and RAG chatbots so non-technical researchers could query nonprofit data. Across three semesters that consistently drifted into SQL-generation benchmarking rather than the actual goal of surfacing sociological correlations. This semester's direction is an agentic data-exploration layer that cleans data, verifies its own work, and computes correlations.</w:t>
      </w:r>
    </w:p>
    <w:p>
      <w:pPr>
        <w:spacing w:after="120"/>
      </w:pPr>
      <w:r>
        <w:rPr>
          <w:rFonts w:ascii="Times New Roman" w:hAnsi="Times New Roman"/>
          <w:b w:val="0"/>
          <w:sz w:val="22"/>
        </w:rPr>
        <w:t>Our project applies this to a concrete question: where does food-related community need outpace nonprofit capacity to address it? Checkpoint 1 verified the data plan against the live NORP Metabase. Checkpoint 2 turned the plan into a working pipeline that loads six raw tables, profiles and gates them automatically, and joins them into a single scored county panel. Checkpoint 3 added the LLM correlation-candidate agent, a deterministic statistical critic, committed verification, and an honest self-audit that corrected two of our own data-validity errors. This final report closes the one limitation every prior review flagged: the analysis now runs on the full 3,420,024-row nonprofit table rather than a truncated extract. It also delivers the three items we scoped for the final report (a state fixed-effects estimate, county choropleths, and an automated crosswalk for Virginia's independent cities), and it audits the TA-provided benchmark branch that implemented those same three items, the way Checkpoint 3 audited our own outputs.</w:t>
      </w:r>
    </w:p>
    <w:p>
      <w:pPr>
        <w:spacing w:before="240" w:after="80"/>
      </w:pPr>
      <w:r>
        <w:rPr>
          <w:rFonts w:ascii="Times New Roman" w:hAnsi="Times New Roman"/>
          <w:b/>
          <w:sz w:val="30"/>
        </w:rPr>
        <w:t>Project Plan (Plan)</w:t>
      </w:r>
    </w:p>
    <w:p>
      <w:pPr>
        <w:spacing w:after="120"/>
      </w:pPr>
      <w:r>
        <w:rPr>
          <w:rFonts w:ascii="Times New Roman" w:hAnsi="Times New Roman"/>
          <w:b/>
          <w:sz w:val="22"/>
        </w:rPr>
        <w:t xml:space="preserve">Research question: </w:t>
      </w:r>
      <w:r>
        <w:rPr>
          <w:rFonts w:ascii="Times New Roman" w:hAnsi="Times New Roman"/>
          <w:b w:val="0"/>
          <w:sz w:val="22"/>
        </w:rPr>
        <w:t>can an agentic workflow identify U.S. counties where food-related need is high but nonprofit food and human-service capacity is relatively low? Secondary question: which indicators correlate most strongly with nonprofit capacity across counties? Unit of analysis: county, joined on 5-digit FIPS. Python computes every statistic; the LLM proposes candidate hypotheses and writes framing only, so no reported number depends on the model being correct.</w:t>
      </w:r>
    </w:p>
    <w:p>
      <w:pPr>
        <w:spacing w:before="160" w:after="40"/>
      </w:pPr>
      <w:r>
        <w:rPr>
          <w:rFonts w:ascii="Times New Roman" w:hAnsi="Times New Roman"/>
          <w:b/>
          <w:sz w:val="24"/>
        </w:rPr>
        <w:t>Where the Agent Acts</w:t>
      </w:r>
    </w:p>
    <w:p>
      <w:pPr>
        <w:spacing w:after="120"/>
      </w:pPr>
      <w:r>
        <w:rPr>
          <w:rFonts w:ascii="Times New Roman" w:hAnsi="Times New Roman"/>
          <w:b w:val="0"/>
          <w:sz w:val="22"/>
        </w:rPr>
        <w:t>The pipeline is not a fixed script. There are three points where it makes autonomous decisions, and two deterministic verification layers behind them. All are implemented.</w:t>
      </w:r>
    </w:p>
    <w:p>
      <w:pPr>
        <w:pStyle w:val="ListNumber"/>
      </w:pPr>
      <w:r>
        <w:rPr>
          <w:rFonts w:ascii="Times New Roman" w:hAnsi="Times New Roman"/>
          <w:b/>
          <w:sz w:val="22"/>
        </w:rPr>
        <w:t xml:space="preserve">Data-quality triage and gate: </w:t>
      </w:r>
      <w:r>
        <w:rPr>
          <w:rFonts w:ascii="Times New Roman" w:hAnsi="Times New Roman"/>
          <w:b w:val="0"/>
          <w:sz w:val="22"/>
        </w:rPr>
        <w:t>the profiler classifies each table and join as usable, usable_with_warning, or drop, and the pipeline acts on that classification without manual intervention (for example auto-excluding a state from a join when its match rate is too low, then logging why). On the full run this returned proceed_with_warning and the pipeline continued while logging the dropped rows.</w:t>
      </w:r>
    </w:p>
    <w:p>
      <w:pPr>
        <w:pStyle w:val="ListNumber"/>
      </w:pPr>
      <w:r>
        <w:rPr>
          <w:rFonts w:ascii="Times New Roman" w:hAnsi="Times New Roman"/>
          <w:b/>
          <w:sz w:val="22"/>
        </w:rPr>
        <w:t xml:space="preserve">Correlation-candidate generation: </w:t>
      </w:r>
      <w:r>
        <w:rPr>
          <w:rFonts w:ascii="Times New Roman" w:hAnsi="Times New Roman"/>
          <w:b w:val="0"/>
          <w:sz w:val="22"/>
        </w:rPr>
        <w:t>an LLM step reads only the panel schema (column names and summary statistics, never raw rows) and proposes candidate need-versus-capacity pairs, which Python then tests and ranks against the exhaustive 28-pair grid.</w:t>
      </w:r>
    </w:p>
    <w:p>
      <w:pPr>
        <w:pStyle w:val="ListNumber"/>
      </w:pPr>
      <w:r>
        <w:rPr>
          <w:rFonts w:ascii="Times New Roman" w:hAnsi="Times New Roman"/>
          <w:b/>
          <w:sz w:val="22"/>
        </w:rPr>
        <w:t xml:space="preserve">Self-verification gate review: </w:t>
      </w:r>
      <w:r>
        <w:rPr>
          <w:rFonts w:ascii="Times New Roman" w:hAnsi="Times New Roman"/>
          <w:b w:val="0"/>
          <w:sz w:val="22"/>
        </w:rPr>
        <w:t>before downstream steps run, a rule-based check reviews the table and join reports and issues a proceed, proceed_with_warning, or stop verdict; an LLM advisory second opinion is logged but never allowed to override it.</w:t>
      </w:r>
    </w:p>
    <w:p>
      <w:pPr>
        <w:spacing w:after="120"/>
      </w:pPr>
      <w:r>
        <w:rPr>
          <w:rFonts w:ascii="Times New Roman" w:hAnsi="Times New Roman"/>
          <w:b w:val="0"/>
          <w:sz w:val="22"/>
        </w:rPr>
        <w:t>Two deterministic layers then re-test the results. The statistical critic re-checks every LLM-proposed pair with Benjamini-Hochberg FDR correction across all 28 tests, a fixed-seed state-stratified permutation test, and an effect-size floor, grading each as supported, weak_direction, or unsupported. New in this report, a state fixed-effects estimator re-fits the headline wealth-capacity relationship with every state-level shift absorbed and cluster-robust standard errors. Neither layer involves the LLM.</w:t>
      </w:r>
    </w:p>
    <w:p>
      <w:pPr>
        <w:spacing w:before="160" w:after="40"/>
      </w:pPr>
      <w:r>
        <w:rPr>
          <w:rFonts w:ascii="Times New Roman" w:hAnsi="Times New Roman"/>
          <w:b/>
          <w:sz w:val="24"/>
        </w:rPr>
        <w:t>Data Sources</w:t>
      </w:r>
    </w:p>
    <w:p>
      <w:pPr>
        <w:spacing w:after="120"/>
      </w:pPr>
      <w:r>
        <w:rPr>
          <w:rFonts w:ascii="Times New Roman" w:hAnsi="Times New Roman"/>
          <w:b w:val="0"/>
          <w:sz w:val="22"/>
        </w:rPr>
        <w:t>The DataLoader reads all six raw files, decompressing the gzipped nonprofit file with no manual step, and uses snake_case normalization as the single source of truth for column names.</w:t>
      </w:r>
    </w:p>
    <w:p>
      <w:pPr>
        <w:pStyle w:val="ListBullet"/>
      </w:pPr>
      <w:r>
        <w:rPr>
          <w:rFonts w:ascii="Times New Roman" w:hAnsi="Times New Roman"/>
          <w:b/>
          <w:sz w:val="22"/>
        </w:rPr>
        <w:t xml:space="preserve">Nonprofit capacity: </w:t>
      </w:r>
      <w:r>
        <w:rPr>
          <w:rFonts w:ascii="Times New Roman" w:hAnsi="Times New Roman"/>
          <w:b w:val="0"/>
          <w:sz w:val="22"/>
        </w:rPr>
        <w:t>NGOs_with_categories (EIN, county, NTEE code and category) joined by EIN to F9_P01_T00_SUMMARY_2022 (131,587 2022 990, 990EZ, and 990PF filings covering revenue and net assets).</w:t>
      </w:r>
    </w:p>
    <w:p>
      <w:pPr>
        <w:pStyle w:val="ListBullet"/>
      </w:pPr>
      <w:r>
        <w:rPr>
          <w:rFonts w:ascii="Times New Roman" w:hAnsi="Times New Roman"/>
          <w:b/>
          <w:sz w:val="22"/>
        </w:rPr>
        <w:t xml:space="preserve">Community need: </w:t>
      </w:r>
      <w:r>
        <w:rPr>
          <w:rFonts w:ascii="Times New Roman" w:hAnsi="Times New Roman"/>
          <w:b w:val="0"/>
          <w:sz w:val="22"/>
        </w:rPr>
        <w:t>disadvantaged_communities (72,742 census tracts with food-desert percentage, poverty, and housing burden) aggregated to county, supplemented by Poverty_Rates_2023 and nccs_crosswalk_economic (ACS poverty, median household income, unemployment).</w:t>
      </w:r>
    </w:p>
    <w:p>
      <w:pPr>
        <w:spacing w:after="120"/>
      </w:pPr>
      <w:r>
        <w:rPr>
          <w:rFonts w:ascii="Times New Roman" w:hAnsi="Times New Roman"/>
          <w:b/>
          <w:sz w:val="22"/>
        </w:rPr>
        <w:t xml:space="preserve">Data gap closed (final report): </w:t>
      </w:r>
      <w:r>
        <w:rPr>
          <w:rFonts w:ascii="Times New Roman" w:hAnsi="Times New Roman"/>
          <w:b w:val="0"/>
          <w:sz w:val="22"/>
        </w:rPr>
        <w:t>the committed nonprofit table is now the full 3,420,024-row NGOs_with_categories source, obtained this checkpoint and committed as four gzipped parts (the single 162 MB export exceeds GitHub's 100 MB file cap). It was validated against the two numbers Checkpoint 1 verified on Metabase: 3,420,024 rows exactly, and 40,086 food-category organizations against the roughly 40,080 verified then. The county aggregates are no longer sample-based. The retired 1,048,575-row extract stays committed because its bias is now measured rather than merely disclosed. One caveat remains: the source's is_category_LLM_generated flag is null on every row, so whether category labels were LLM-assigned upstream is unverifiable from our copy.</w:t>
      </w:r>
    </w:p>
    <w:p>
      <w:pPr>
        <w:spacing w:before="160" w:after="40"/>
      </w:pPr>
      <w:r>
        <w:rPr>
          <w:rFonts w:ascii="Times New Roman" w:hAnsi="Times New Roman"/>
          <w:b/>
          <w:sz w:val="24"/>
        </w:rPr>
        <w:t>Automated County Crosswalk (Resolved Data Risk, extended)</w:t>
      </w:r>
    </w:p>
    <w:p>
      <w:pPr>
        <w:spacing w:after="120"/>
      </w:pPr>
      <w:r>
        <w:rPr>
          <w:rFonts w:ascii="Times New Roman" w:hAnsi="Times New Roman"/>
          <w:b w:val="0"/>
          <w:sz w:val="22"/>
        </w:rPr>
        <w:t>Checkpoint 1 flagged the riskiest join: the capacity side keys on county names, the need side on FIPS codes, and county_fips_lookup is missing Florida entirely while Connecticut nonprofits use planning-region names. In response to the Checkpoint 1 feedback we replaced our planned manual patch with a rules-based crosswalk, and Florida and Connecticut auto-drop. This report extends that resolver to recover Virginia's independent cities without any manual patching. The TA benchmark branch shipped an exact-first Virginia crosswalk; run on the real data it recovers zero of the 5,291 dropped Virginia rows, because its exact pass only helps names that exist verbatim in the lookup and its tests only exercise those names. The real failure is that the lookup stores most independent cities bare (Alexandria) while the nonprofit table says Alexandria City. Our rebuilt resolver keeps the benchmark's good ideas with credit (exact-first matching so Fairfax City never folds into Fairfax County) and adds the missing general rules: a one-suffix fallback that now includes bare city, plus text folding with a conservative encoding repair that also fixed corrupted bytes in the course's own lookup file (Dona Ana, stored as UTF-8 read as Latin-1). All 34 Virginia independent cities and Dona Ana, New Mexico now enter the panel, no other state's match rate declines, and a dedicated verifier check asserts every recovery.</w:t>
      </w:r>
    </w:p>
    <w:p>
      <w:pPr>
        <w:spacing w:before="160" w:after="40"/>
      </w:pPr>
      <w:r>
        <w:rPr>
          <w:rFonts w:ascii="Times New Roman" w:hAnsi="Times New Roman"/>
          <w:b/>
          <w:sz w:val="24"/>
        </w:rPr>
        <w:t>Need-Capacity Gap Score</w:t>
      </w:r>
    </w:p>
    <w:p>
      <w:pPr>
        <w:spacing w:after="120"/>
      </w:pPr>
      <w:r>
        <w:rPr>
          <w:rFonts w:ascii="Times New Roman" w:hAnsi="Times New Roman"/>
          <w:b w:val="0"/>
          <w:sz w:val="22"/>
        </w:rPr>
        <w:t>Need Score is the mean z-score of the available need indicators (poverty rate, food-desert percentage, housing burden). Capacity Score is the mean z-score of the per-capita capacity indicators (nonprofits per 10k residents, revenue per capita, assets per capita), each first put through a signed-log transform so that a single large nonprofit cannot dominate a county's score. Gap Score is Need Score minus Capacity Score; a high gap means need outpaces capacity. A food-specific food_gap_score measures food-related need against food-sector nonprofit density. Missing financials are recorded as missing (NaN), never as a fabricated zero. All scores are triage signals worth investigating, not causal claims about nonprofit performance.</w:t>
      </w:r>
    </w:p>
    <w:p>
      <w:pPr>
        <w:spacing w:before="160" w:after="40"/>
      </w:pPr>
      <w:r>
        <w:rPr>
          <w:rFonts w:ascii="Times New Roman" w:hAnsi="Times New Roman"/>
          <w:b/>
          <w:sz w:val="24"/>
        </w:rPr>
        <w:t>Non-Goals</w:t>
      </w:r>
    </w:p>
    <w:p>
      <w:pPr>
        <w:pStyle w:val="ListBullet"/>
      </w:pPr>
      <w:r>
        <w:rPr>
          <w:rFonts w:ascii="Times New Roman" w:hAnsi="Times New Roman"/>
          <w:b w:val="0"/>
          <w:sz w:val="22"/>
        </w:rPr>
        <w:t>No chatbot interface; no Spider or WikiSQL style NL2SQL benchmarking.</w:t>
      </w:r>
    </w:p>
    <w:p>
      <w:pPr>
        <w:pStyle w:val="ListBullet"/>
      </w:pPr>
      <w:r>
        <w:rPr>
          <w:rFonts w:ascii="Times New Roman" w:hAnsi="Times New Roman"/>
          <w:b w:val="0"/>
          <w:sz w:val="22"/>
        </w:rPr>
        <w:t>No causal claims about nonprofit effectiveness; the correlations and the fixed-effects slope are descriptive, county-level associations.</w:t>
      </w:r>
    </w:p>
    <w:p>
      <w:pPr>
        <w:pStyle w:val="ListBullet"/>
      </w:pPr>
      <w:r>
        <w:rPr>
          <w:rFonts w:ascii="Times New Roman" w:hAnsi="Times New Roman"/>
          <w:b w:val="0"/>
          <w:sz w:val="22"/>
        </w:rPr>
        <w:t>No forcing of unreliable joins; we log and drop, and recover only through general rules.</w:t>
      </w:r>
    </w:p>
    <w:p>
      <w:pPr>
        <w:pStyle w:val="ListBullet"/>
      </w:pPr>
      <w:r>
        <w:rPr>
          <w:rFonts w:ascii="Times New Roman" w:hAnsi="Times New Roman"/>
          <w:b w:val="0"/>
          <w:sz w:val="22"/>
        </w:rPr>
        <w:t>Python outputs are the source of truth for all statistics; the LLM only proposes candidates and writes summaries.</w:t>
      </w:r>
    </w:p>
    <w:p>
      <w:pPr>
        <w:spacing w:before="240" w:after="80"/>
      </w:pPr>
      <w:r>
        <w:rPr>
          <w:rFonts w:ascii="Times New Roman" w:hAnsi="Times New Roman"/>
          <w:b/>
          <w:sz w:val="30"/>
        </w:rPr>
        <w:t>Project Deliverables</w:t>
      </w:r>
    </w:p>
    <w:tbl>
      <w:tblPr>
        <w:tblStyle w:val="TableGrid"/>
        <w:tblW w:type="auto" w:w="0"/>
        <w:tblLook w:firstColumn="1" w:firstRow="1" w:lastColumn="0" w:lastRow="0" w:noHBand="0" w:noVBand="1" w:val="04A0"/>
      </w:tblPr>
      <w:tblGrid>
        <w:gridCol w:w="3120"/>
        <w:gridCol w:w="3120"/>
        <w:gridCol w:w="3120"/>
      </w:tblGrid>
      <w:tr>
        <w:tc>
          <w:tcPr>
            <w:tcW w:type="dxa" w:w="2736"/>
          </w:tcPr>
          <w:p>
            <w:pPr>
              <w:spacing w:after="20" w:before="20"/>
            </w:pPr>
            <w:r/>
            <w:r>
              <w:rPr>
                <w:rFonts w:ascii="Times New Roman" w:hAnsi="Times New Roman"/>
                <w:b/>
                <w:sz w:val="21"/>
              </w:rPr>
              <w:t>Deliverable</w:t>
            </w:r>
          </w:p>
        </w:tc>
        <w:tc>
          <w:tcPr>
            <w:tcW w:type="dxa" w:w="4896"/>
          </w:tcPr>
          <w:p>
            <w:pPr>
              <w:spacing w:after="20" w:before="20"/>
            </w:pPr>
            <w:r/>
            <w:r>
              <w:rPr>
                <w:rFonts w:ascii="Times New Roman" w:hAnsi="Times New Roman"/>
                <w:b/>
                <w:sz w:val="21"/>
              </w:rPr>
              <w:t>Description</w:t>
            </w:r>
          </w:p>
        </w:tc>
        <w:tc>
          <w:tcPr>
            <w:tcW w:type="dxa" w:w="2016"/>
          </w:tcPr>
          <w:p>
            <w:pPr>
              <w:spacing w:after="20" w:before="20"/>
            </w:pPr>
            <w:r/>
            <w:r>
              <w:rPr>
                <w:rFonts w:ascii="Times New Roman" w:hAnsi="Times New Roman"/>
                <w:b/>
                <w:sz w:val="21"/>
              </w:rPr>
              <w:t>Technical Stack</w:t>
            </w:r>
          </w:p>
        </w:tc>
      </w:tr>
      <w:tr>
        <w:tc>
          <w:tcPr>
            <w:tcW w:type="dxa" w:w="2736"/>
          </w:tcPr>
          <w:p>
            <w:pPr>
              <w:spacing w:after="20" w:before="20"/>
            </w:pPr>
            <w:r/>
            <w:r>
              <w:rPr>
                <w:rFonts w:ascii="Times New Roman" w:hAnsi="Times New Roman"/>
                <w:b w:val="0"/>
                <w:sz w:val="21"/>
              </w:rPr>
              <w:t>Profiler and Quality Gate</w:t>
            </w:r>
          </w:p>
        </w:tc>
        <w:tc>
          <w:tcPr>
            <w:tcW w:type="dxa" w:w="4896"/>
          </w:tcPr>
          <w:p>
            <w:pPr>
              <w:spacing w:after="20" w:before="20"/>
            </w:pPr>
            <w:r/>
            <w:r>
              <w:rPr>
                <w:rFonts w:ascii="Times New Roman" w:hAnsi="Times New Roman"/>
                <w:b w:val="0"/>
                <w:sz w:val="21"/>
              </w:rPr>
              <w:t>Loads the nonprofit and need-side data, classifies each table and join, and decides proceed, proceed_with_warning, or stop before downstream steps run.</w:t>
            </w:r>
          </w:p>
        </w:tc>
        <w:tc>
          <w:tcPr>
            <w:tcW w:type="dxa" w:w="2016"/>
          </w:tcPr>
          <w:p>
            <w:pPr>
              <w:spacing w:after="20" w:before="20"/>
            </w:pPr>
            <w:r/>
            <w:r>
              <w:rPr>
                <w:rFonts w:ascii="Times New Roman" w:hAnsi="Times New Roman"/>
                <w:b w:val="0"/>
                <w:sz w:val="21"/>
              </w:rPr>
              <w:t>Python, pandas</w:t>
            </w:r>
          </w:p>
        </w:tc>
      </w:tr>
      <w:tr>
        <w:tc>
          <w:tcPr>
            <w:tcW w:type="dxa" w:w="2736"/>
          </w:tcPr>
          <w:p>
            <w:pPr>
              <w:spacing w:after="20" w:before="20"/>
            </w:pPr>
            <w:r/>
            <w:r>
              <w:rPr>
                <w:rFonts w:ascii="Times New Roman" w:hAnsi="Times New Roman"/>
                <w:b w:val="0"/>
                <w:sz w:val="21"/>
              </w:rPr>
              <w:t>County Capacity and Need Tables</w:t>
            </w:r>
          </w:p>
        </w:tc>
        <w:tc>
          <w:tcPr>
            <w:tcW w:type="dxa" w:w="4896"/>
          </w:tcPr>
          <w:p>
            <w:pPr>
              <w:spacing w:after="20" w:before="20"/>
            </w:pPr>
            <w:r/>
            <w:r>
              <w:rPr>
                <w:rFonts w:ascii="Times New Roman" w:hAnsi="Times New Roman"/>
                <w:b w:val="0"/>
                <w:sz w:val="21"/>
              </w:rPr>
              <w:t>Aggregates the full NGOs_with_categories table and the 990 filings, and the tract-level need data, to county level.</w:t>
            </w:r>
          </w:p>
        </w:tc>
        <w:tc>
          <w:tcPr>
            <w:tcW w:type="dxa" w:w="2016"/>
          </w:tcPr>
          <w:p>
            <w:pPr>
              <w:spacing w:after="20" w:before="20"/>
            </w:pPr>
            <w:r/>
            <w:r>
              <w:rPr>
                <w:rFonts w:ascii="Times New Roman" w:hAnsi="Times New Roman"/>
                <w:b w:val="0"/>
                <w:sz w:val="21"/>
              </w:rPr>
              <w:t>Python, pandas</w:t>
            </w:r>
          </w:p>
        </w:tc>
      </w:tr>
      <w:tr>
        <w:tc>
          <w:tcPr>
            <w:tcW w:type="dxa" w:w="2736"/>
          </w:tcPr>
          <w:p>
            <w:pPr>
              <w:spacing w:after="20" w:before="20"/>
            </w:pPr>
            <w:r/>
            <w:r>
              <w:rPr>
                <w:rFonts w:ascii="Times New Roman" w:hAnsi="Times New Roman"/>
                <w:b w:val="0"/>
                <w:sz w:val="21"/>
              </w:rPr>
              <w:t>Joined Gap-Score Panel</w:t>
            </w:r>
          </w:p>
        </w:tc>
        <w:tc>
          <w:tcPr>
            <w:tcW w:type="dxa" w:w="4896"/>
          </w:tcPr>
          <w:p>
            <w:pPr>
              <w:spacing w:after="20" w:before="20"/>
            </w:pPr>
            <w:r/>
            <w:r>
              <w:rPr>
                <w:rFonts w:ascii="Times New Roman" w:hAnsi="Times New Roman"/>
                <w:b w:val="0"/>
                <w:sz w:val="21"/>
              </w:rPr>
              <w:t>County FIPS join of capacity and need; computes need, capacity, general gap, and food-specific gap scores across 3,066 counties.</w:t>
            </w:r>
          </w:p>
        </w:tc>
        <w:tc>
          <w:tcPr>
            <w:tcW w:type="dxa" w:w="2016"/>
          </w:tcPr>
          <w:p>
            <w:pPr>
              <w:spacing w:after="20" w:before="20"/>
            </w:pPr>
            <w:r/>
            <w:r>
              <w:rPr>
                <w:rFonts w:ascii="Times New Roman" w:hAnsi="Times New Roman"/>
                <w:b w:val="0"/>
                <w:sz w:val="21"/>
              </w:rPr>
              <w:t>Python, scipy</w:t>
            </w:r>
          </w:p>
        </w:tc>
      </w:tr>
      <w:tr>
        <w:tc>
          <w:tcPr>
            <w:tcW w:type="dxa" w:w="2736"/>
          </w:tcPr>
          <w:p>
            <w:pPr>
              <w:spacing w:after="20" w:before="20"/>
            </w:pPr>
            <w:r/>
            <w:r>
              <w:rPr>
                <w:rFonts w:ascii="Times New Roman" w:hAnsi="Times New Roman"/>
                <w:b w:val="0"/>
                <w:sz w:val="21"/>
              </w:rPr>
              <w:t>Correlation Agent and Critic</w:t>
            </w:r>
          </w:p>
        </w:tc>
        <w:tc>
          <w:tcPr>
            <w:tcW w:type="dxa" w:w="4896"/>
          </w:tcPr>
          <w:p>
            <w:pPr>
              <w:spacing w:after="20" w:before="20"/>
            </w:pPr>
            <w:r/>
            <w:r>
              <w:rPr>
                <w:rFonts w:ascii="Times New Roman" w:hAnsi="Times New Roman"/>
                <w:b w:val="0"/>
                <w:sz w:val="21"/>
              </w:rPr>
              <w:t>LLM proposes candidate pairs; Python computes and ranks the exhaustive grid; a deterministic critic grades every proposal.</w:t>
            </w:r>
          </w:p>
        </w:tc>
        <w:tc>
          <w:tcPr>
            <w:tcW w:type="dxa" w:w="2016"/>
          </w:tcPr>
          <w:p>
            <w:pPr>
              <w:spacing w:after="20" w:before="20"/>
            </w:pPr>
            <w:r/>
            <w:r>
              <w:rPr>
                <w:rFonts w:ascii="Times New Roman" w:hAnsi="Times New Roman"/>
                <w:b w:val="0"/>
                <w:sz w:val="21"/>
              </w:rPr>
              <w:t>Python, matplotlib, LLM API (offline-replayable cache)</w:t>
            </w:r>
          </w:p>
        </w:tc>
      </w:tr>
      <w:tr>
        <w:tc>
          <w:tcPr>
            <w:tcW w:type="dxa" w:w="2736"/>
          </w:tcPr>
          <w:p>
            <w:pPr>
              <w:spacing w:after="20" w:before="20"/>
            </w:pPr>
            <w:r/>
            <w:r>
              <w:rPr>
                <w:rFonts w:ascii="Times New Roman" w:hAnsi="Times New Roman"/>
                <w:b w:val="0"/>
                <w:sz w:val="21"/>
              </w:rPr>
              <w:t>State Fixed-Effects Estimate</w:t>
            </w:r>
          </w:p>
        </w:tc>
        <w:tc>
          <w:tcPr>
            <w:tcW w:type="dxa" w:w="4896"/>
          </w:tcPr>
          <w:p>
            <w:pPr>
              <w:spacing w:after="20" w:before="20"/>
            </w:pPr>
            <w:r/>
            <w:r>
              <w:rPr>
                <w:rFonts w:ascii="Times New Roman" w:hAnsi="Times New Roman"/>
                <w:b w:val="0"/>
                <w:sz w:val="21"/>
              </w:rPr>
              <w:t>Re-estimates the wealth-capacity slope with state fixed effects absorbed and cluster-robust standard errors on the signed-log scale.</w:t>
            </w:r>
          </w:p>
        </w:tc>
        <w:tc>
          <w:tcPr>
            <w:tcW w:type="dxa" w:w="2016"/>
          </w:tcPr>
          <w:p>
            <w:pPr>
              <w:spacing w:after="20" w:before="20"/>
            </w:pPr>
            <w:r/>
            <w:r>
              <w:rPr>
                <w:rFonts w:ascii="Times New Roman" w:hAnsi="Times New Roman"/>
                <w:b w:val="0"/>
                <w:sz w:val="21"/>
              </w:rPr>
              <w:t>Python, numpy, scipy</w:t>
            </w:r>
          </w:p>
        </w:tc>
      </w:tr>
      <w:tr>
        <w:tc>
          <w:tcPr>
            <w:tcW w:type="dxa" w:w="2736"/>
          </w:tcPr>
          <w:p>
            <w:pPr>
              <w:spacing w:after="20" w:before="20"/>
            </w:pPr>
            <w:r/>
            <w:r>
              <w:rPr>
                <w:rFonts w:ascii="Times New Roman" w:hAnsi="Times New Roman"/>
                <w:b w:val="0"/>
                <w:sz w:val="21"/>
              </w:rPr>
              <w:t>County Choropleths and Cartogram</w:t>
            </w:r>
          </w:p>
        </w:tc>
        <w:tc>
          <w:tcPr>
            <w:tcW w:type="dxa" w:w="4896"/>
          </w:tcPr>
          <w:p>
            <w:pPr>
              <w:spacing w:after="20" w:before="20"/>
            </w:pPr>
            <w:r/>
            <w:r>
              <w:rPr>
                <w:rFonts w:ascii="Times New Roman" w:hAnsi="Times New Roman"/>
                <w:b w:val="0"/>
                <w:sz w:val="21"/>
              </w:rPr>
              <w:t>True county-polygon maps of the general and food gaps plus a state tile overview, with no GIS dependencies.</w:t>
            </w:r>
          </w:p>
        </w:tc>
        <w:tc>
          <w:tcPr>
            <w:tcW w:type="dxa" w:w="2016"/>
          </w:tcPr>
          <w:p>
            <w:pPr>
              <w:spacing w:after="20" w:before="20"/>
            </w:pPr>
            <w:r/>
            <w:r>
              <w:rPr>
                <w:rFonts w:ascii="Times New Roman" w:hAnsi="Times New Roman"/>
                <w:b w:val="0"/>
                <w:sz w:val="21"/>
              </w:rPr>
              <w:t>Python, matplotlib</w:t>
            </w:r>
          </w:p>
        </w:tc>
      </w:tr>
      <w:tr>
        <w:tc>
          <w:tcPr>
            <w:tcW w:type="dxa" w:w="2736"/>
          </w:tcPr>
          <w:p>
            <w:pPr>
              <w:spacing w:after="20" w:before="20"/>
            </w:pPr>
            <w:r/>
            <w:r>
              <w:rPr>
                <w:rFonts w:ascii="Times New Roman" w:hAnsi="Times New Roman"/>
                <w:b w:val="0"/>
                <w:sz w:val="21"/>
              </w:rPr>
              <w:t>Full-Data Integration and Bias Audit</w:t>
            </w:r>
          </w:p>
        </w:tc>
        <w:tc>
          <w:tcPr>
            <w:tcW w:type="dxa" w:w="4896"/>
          </w:tcPr>
          <w:p>
            <w:pPr>
              <w:spacing w:after="20" w:before="20"/>
            </w:pPr>
            <w:r/>
            <w:r>
              <w:rPr>
                <w:rFonts w:ascii="Times New Roman" w:hAnsi="Times New Roman"/>
                <w:b w:val="0"/>
                <w:sz w:val="21"/>
              </w:rPr>
              <w:t>Commits and loads the full table; measures the retired extract's bias; itemizes which conclusions change.</w:t>
            </w:r>
          </w:p>
        </w:tc>
        <w:tc>
          <w:tcPr>
            <w:tcW w:type="dxa" w:w="2016"/>
          </w:tcPr>
          <w:p>
            <w:pPr>
              <w:spacing w:after="20" w:before="20"/>
            </w:pPr>
            <w:r/>
            <w:r>
              <w:rPr>
                <w:rFonts w:ascii="Times New Roman" w:hAnsi="Times New Roman"/>
                <w:b w:val="0"/>
                <w:sz w:val="21"/>
              </w:rPr>
              <w:t>Python, pandas</w:t>
            </w:r>
          </w:p>
        </w:tc>
      </w:tr>
      <w:tr>
        <w:tc>
          <w:tcPr>
            <w:tcW w:type="dxa" w:w="2736"/>
          </w:tcPr>
          <w:p>
            <w:pPr>
              <w:spacing w:after="20" w:before="20"/>
            </w:pPr>
            <w:r/>
            <w:r>
              <w:rPr>
                <w:rFonts w:ascii="Times New Roman" w:hAnsi="Times New Roman"/>
                <w:b w:val="0"/>
                <w:sz w:val="21"/>
              </w:rPr>
              <w:t>Committed Verification and Tests</w:t>
            </w:r>
          </w:p>
        </w:tc>
        <w:tc>
          <w:tcPr>
            <w:tcW w:type="dxa" w:w="4896"/>
          </w:tcPr>
          <w:p>
            <w:pPr>
              <w:spacing w:after="20" w:before="20"/>
            </w:pPr>
            <w:r/>
            <w:r>
              <w:rPr>
                <w:rFonts w:ascii="Times New Roman" w:hAnsi="Times New Roman"/>
                <w:b w:val="0"/>
                <w:sz w:val="21"/>
              </w:rPr>
              <w:t>17 machine-checked assertions over every committed claim, plus 66 offline tests.</w:t>
            </w:r>
          </w:p>
        </w:tc>
        <w:tc>
          <w:tcPr>
            <w:tcW w:type="dxa" w:w="2016"/>
          </w:tcPr>
          <w:p>
            <w:pPr>
              <w:spacing w:after="20" w:before="20"/>
            </w:pPr>
            <w:r/>
            <w:r>
              <w:rPr>
                <w:rFonts w:ascii="Times New Roman" w:hAnsi="Times New Roman"/>
                <w:b w:val="0"/>
                <w:sz w:val="21"/>
              </w:rPr>
              <w:t>Python, pytest</w:t>
            </w:r>
          </w:p>
        </w:tc>
      </w:tr>
    </w:tbl>
    <w:p>
      <w:pPr>
        <w:spacing w:after="40"/>
      </w:pPr>
    </w:p>
    <w:p>
      <w:pPr>
        <w:spacing w:before="240" w:after="80"/>
      </w:pPr>
      <w:r>
        <w:rPr>
          <w:rFonts w:ascii="Times New Roman" w:hAnsi="Times New Roman"/>
          <w:b/>
          <w:sz w:val="30"/>
        </w:rPr>
        <w:t>Project Milestones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24"/>
          </w:tcPr>
          <w:p>
            <w:pPr>
              <w:spacing w:after="20" w:before="20"/>
            </w:pPr>
            <w:r/>
            <w:r>
              <w:rPr>
                <w:rFonts w:ascii="Times New Roman" w:hAnsi="Times New Roman"/>
                <w:b/>
                <w:sz w:val="21"/>
              </w:rPr>
              <w:t>Checkpoint</w:t>
            </w:r>
          </w:p>
        </w:tc>
        <w:tc>
          <w:tcPr>
            <w:tcW w:type="dxa" w:w="2448"/>
          </w:tcPr>
          <w:p>
            <w:pPr>
              <w:spacing w:after="20" w:before="20"/>
            </w:pPr>
            <w:r/>
            <w:r>
              <w:rPr>
                <w:rFonts w:ascii="Times New Roman" w:hAnsi="Times New Roman"/>
                <w:b/>
                <w:sz w:val="21"/>
              </w:rPr>
              <w:t>Milestone</w:t>
            </w:r>
          </w:p>
        </w:tc>
        <w:tc>
          <w:tcPr>
            <w:tcW w:type="dxa" w:w="3600"/>
          </w:tcPr>
          <w:p>
            <w:pPr>
              <w:spacing w:after="20" w:before="20"/>
            </w:pPr>
            <w:r/>
            <w:r>
              <w:rPr>
                <w:rFonts w:ascii="Times New Roman" w:hAnsi="Times New Roman"/>
                <w:b/>
                <w:sz w:val="21"/>
              </w:rPr>
              <w:t>Technical Scope and Deliverables</w:t>
            </w:r>
          </w:p>
        </w:tc>
        <w:tc>
          <w:tcPr>
            <w:tcW w:type="dxa" w:w="2448"/>
          </w:tcPr>
          <w:p>
            <w:pPr>
              <w:spacing w:after="20" w:before="20"/>
            </w:pPr>
            <w:r/>
            <w:r>
              <w:rPr>
                <w:rFonts w:ascii="Times New Roman" w:hAnsi="Times New Roman"/>
                <w:b/>
                <w:sz w:val="21"/>
              </w:rPr>
              <w:t>Work Splitup</w:t>
            </w:r>
          </w:p>
        </w:tc>
        <w:tc>
          <w:tcPr>
            <w:tcW w:type="dxa" w:w="1296"/>
          </w:tcPr>
          <w:p>
            <w:pPr>
              <w:spacing w:after="20" w:before="20"/>
            </w:pPr>
            <w:r/>
            <w:r>
              <w:rPr>
                <w:rFonts w:ascii="Times New Roman" w:hAnsi="Times New Roman"/>
                <w:b/>
                <w:sz w:val="21"/>
              </w:rPr>
              <w:t>Status</w:t>
            </w:r>
          </w:p>
        </w:tc>
      </w:tr>
      <w:tr>
        <w:tc>
          <w:tcPr>
            <w:tcW w:type="dxa" w:w="1224"/>
          </w:tcPr>
          <w:p>
            <w:pPr>
              <w:spacing w:after="20" w:before="20"/>
            </w:pPr>
            <w:r/>
            <w:r>
              <w:rPr>
                <w:rFonts w:ascii="Times New Roman" w:hAnsi="Times New Roman"/>
                <w:b w:val="0"/>
                <w:sz w:val="21"/>
              </w:rPr>
              <w:t>Checkpoint 1</w:t>
            </w:r>
          </w:p>
        </w:tc>
        <w:tc>
          <w:tcPr>
            <w:tcW w:type="dxa" w:w="2448"/>
          </w:tcPr>
          <w:p>
            <w:pPr>
              <w:spacing w:after="20" w:before="20"/>
            </w:pPr>
            <w:r/>
            <w:r>
              <w:rPr>
                <w:rFonts w:ascii="Times New Roman" w:hAnsi="Times New Roman"/>
                <w:b w:val="0"/>
                <w:sz w:val="21"/>
              </w:rPr>
              <w:t>Scope, verify Metabase sources, test county join</w:t>
            </w:r>
          </w:p>
        </w:tc>
        <w:tc>
          <w:tcPr>
            <w:tcW w:type="dxa" w:w="3600"/>
          </w:tcPr>
          <w:p>
            <w:pPr>
              <w:spacing w:after="20" w:before="20"/>
            </w:pPr>
            <w:r/>
            <w:r>
              <w:rPr>
                <w:rFonts w:ascii="Times New Roman" w:hAnsi="Times New Roman"/>
                <w:b w:val="0"/>
                <w:sz w:val="21"/>
              </w:rPr>
              <w:t>Repo structure, Metabase verification, GitHub setup</w:t>
            </w:r>
          </w:p>
        </w:tc>
        <w:tc>
          <w:tcPr>
            <w:tcW w:type="dxa" w:w="2448"/>
          </w:tcPr>
          <w:p>
            <w:pPr>
              <w:spacing w:after="20" w:before="20"/>
            </w:pPr>
            <w:r/>
            <w:r>
              <w:rPr>
                <w:rFonts w:ascii="Times New Roman" w:hAnsi="Times New Roman"/>
                <w:b w:val="0"/>
                <w:sz w:val="21"/>
              </w:rPr>
              <w:t>Both</w:t>
            </w:r>
          </w:p>
        </w:tc>
        <w:tc>
          <w:tcPr>
            <w:tcW w:type="dxa" w:w="1296"/>
          </w:tcPr>
          <w:p>
            <w:pPr>
              <w:spacing w:after="20" w:before="20"/>
            </w:pPr>
            <w:r/>
            <w:r>
              <w:rPr>
                <w:rFonts w:ascii="Times New Roman" w:hAnsi="Times New Roman"/>
                <w:b w:val="0"/>
                <w:sz w:val="21"/>
              </w:rPr>
              <w:t>Complete</w:t>
            </w:r>
          </w:p>
        </w:tc>
      </w:tr>
      <w:tr>
        <w:tc>
          <w:tcPr>
            <w:tcW w:type="dxa" w:w="1224"/>
          </w:tcPr>
          <w:p>
            <w:pPr>
              <w:spacing w:after="20" w:before="20"/>
            </w:pPr>
            <w:r/>
            <w:r>
              <w:rPr>
                <w:rFonts w:ascii="Times New Roman" w:hAnsi="Times New Roman"/>
                <w:b w:val="0"/>
                <w:sz w:val="21"/>
              </w:rPr>
              <w:t>Checkpoint 2</w:t>
            </w:r>
          </w:p>
        </w:tc>
        <w:tc>
          <w:tcPr>
            <w:tcW w:type="dxa" w:w="2448"/>
          </w:tcPr>
          <w:p>
            <w:pPr>
              <w:spacing w:after="20" w:before="20"/>
            </w:pPr>
            <w:r/>
            <w:r>
              <w:rPr>
                <w:rFonts w:ascii="Times New Roman" w:hAnsi="Times New Roman"/>
                <w:b w:val="0"/>
                <w:sz w:val="21"/>
              </w:rPr>
              <w:t>Profiler, capacity and need tables, automated crosswalk, scored panel</w:t>
            </w:r>
          </w:p>
        </w:tc>
        <w:tc>
          <w:tcPr>
            <w:tcW w:type="dxa" w:w="3600"/>
          </w:tcPr>
          <w:p>
            <w:pPr>
              <w:spacing w:after="20" w:before="20"/>
            </w:pPr>
            <w:r/>
            <w:r>
              <w:rPr>
                <w:rFonts w:ascii="Times New Roman" w:hAnsi="Times New Roman"/>
                <w:b w:val="0"/>
                <w:sz w:val="21"/>
              </w:rPr>
              <w:t>Ishaan: profiler, join logic, orchestration. Gowtam: table builders, crosswalk.</w:t>
            </w:r>
          </w:p>
        </w:tc>
        <w:tc>
          <w:tcPr>
            <w:tcW w:type="dxa" w:w="2448"/>
          </w:tcPr>
          <w:p>
            <w:pPr>
              <w:spacing w:after="20" w:before="20"/>
            </w:pPr>
            <w:r/>
            <w:r>
              <w:rPr>
                <w:rFonts w:ascii="Times New Roman" w:hAnsi="Times New Roman"/>
                <w:b w:val="0"/>
                <w:sz w:val="21"/>
              </w:rPr>
              <w:t>Both</w:t>
            </w:r>
          </w:p>
        </w:tc>
        <w:tc>
          <w:tcPr>
            <w:tcW w:type="dxa" w:w="1296"/>
          </w:tcPr>
          <w:p>
            <w:pPr>
              <w:spacing w:after="20" w:before="20"/>
            </w:pPr>
            <w:r/>
            <w:r>
              <w:rPr>
                <w:rFonts w:ascii="Times New Roman" w:hAnsi="Times New Roman"/>
                <w:b w:val="0"/>
                <w:sz w:val="21"/>
              </w:rPr>
              <w:t>Complete</w:t>
            </w:r>
          </w:p>
        </w:tc>
      </w:tr>
      <w:tr>
        <w:tc>
          <w:tcPr>
            <w:tcW w:type="dxa" w:w="1224"/>
          </w:tcPr>
          <w:p>
            <w:pPr>
              <w:spacing w:after="20" w:before="20"/>
            </w:pPr>
            <w:r/>
            <w:r>
              <w:rPr>
                <w:rFonts w:ascii="Times New Roman" w:hAnsi="Times New Roman"/>
                <w:b w:val="0"/>
                <w:sz w:val="21"/>
              </w:rPr>
              <w:t>Checkpoint 3</w:t>
            </w:r>
          </w:p>
        </w:tc>
        <w:tc>
          <w:tcPr>
            <w:tcW w:type="dxa" w:w="2448"/>
          </w:tcPr>
          <w:p>
            <w:pPr>
              <w:spacing w:after="20" w:before="20"/>
            </w:pPr>
            <w:r/>
            <w:r>
              <w:rPr>
                <w:rFonts w:ascii="Times New Roman" w:hAnsi="Times New Roman"/>
                <w:b w:val="0"/>
                <w:sz w:val="21"/>
              </w:rPr>
              <w:t>LLM correlation agent, top-gap figures, findings summary, statistical critic, committed verification</w:t>
            </w:r>
          </w:p>
        </w:tc>
        <w:tc>
          <w:tcPr>
            <w:tcW w:type="dxa" w:w="3600"/>
          </w:tcPr>
          <w:p>
            <w:pPr>
              <w:spacing w:after="20" w:before="20"/>
            </w:pPr>
            <w:r/>
            <w:r>
              <w:rPr>
                <w:rFonts w:ascii="Times New Roman" w:hAnsi="Times New Roman"/>
                <w:b w:val="0"/>
                <w:sz w:val="21"/>
              </w:rPr>
              <w:t>Ishaan: pipeline automation, verification. Gowtam: scoring refinement, correlation agent, summary.</w:t>
            </w:r>
          </w:p>
        </w:tc>
        <w:tc>
          <w:tcPr>
            <w:tcW w:type="dxa" w:w="2448"/>
          </w:tcPr>
          <w:p>
            <w:pPr>
              <w:spacing w:after="20" w:before="20"/>
            </w:pPr>
            <w:r/>
            <w:r>
              <w:rPr>
                <w:rFonts w:ascii="Times New Roman" w:hAnsi="Times New Roman"/>
                <w:b w:val="0"/>
                <w:sz w:val="21"/>
              </w:rPr>
              <w:t>Both</w:t>
            </w:r>
          </w:p>
        </w:tc>
        <w:tc>
          <w:tcPr>
            <w:tcW w:type="dxa" w:w="1296"/>
          </w:tcPr>
          <w:p>
            <w:pPr>
              <w:spacing w:after="20" w:before="20"/>
            </w:pPr>
            <w:r/>
            <w:r>
              <w:rPr>
                <w:rFonts w:ascii="Times New Roman" w:hAnsi="Times New Roman"/>
                <w:b w:val="0"/>
                <w:sz w:val="21"/>
              </w:rPr>
              <w:t>Complete</w:t>
            </w:r>
          </w:p>
        </w:tc>
      </w:tr>
      <w:tr>
        <w:tc>
          <w:tcPr>
            <w:tcW w:type="dxa" w:w="1224"/>
          </w:tcPr>
          <w:p>
            <w:pPr>
              <w:spacing w:after="20" w:before="20"/>
            </w:pPr>
            <w:r/>
            <w:r>
              <w:rPr>
                <w:rFonts w:ascii="Times New Roman" w:hAnsi="Times New Roman"/>
                <w:b w:val="0"/>
                <w:sz w:val="21"/>
              </w:rPr>
              <w:t>Final</w:t>
            </w:r>
          </w:p>
        </w:tc>
        <w:tc>
          <w:tcPr>
            <w:tcW w:type="dxa" w:w="2448"/>
          </w:tcPr>
          <w:p>
            <w:pPr>
              <w:spacing w:after="20" w:before="20"/>
            </w:pPr>
            <w:r/>
            <w:r>
              <w:rPr>
                <w:rFonts w:ascii="Times New Roman" w:hAnsi="Times New Roman"/>
                <w:b w:val="0"/>
                <w:sz w:val="21"/>
              </w:rPr>
              <w:t>Full-data rerun, crosswalk v2, state fixed-effects estimate, choropleths, truncation-bias audit, report and presentation</w:t>
            </w:r>
          </w:p>
        </w:tc>
        <w:tc>
          <w:tcPr>
            <w:tcW w:type="dxa" w:w="3600"/>
          </w:tcPr>
          <w:p>
            <w:pPr>
              <w:spacing w:after="20" w:before="20"/>
            </w:pPr>
            <w:r/>
            <w:r>
              <w:rPr>
                <w:rFonts w:ascii="Times New Roman" w:hAnsi="Times New Roman"/>
                <w:b w:val="0"/>
                <w:sz w:val="21"/>
              </w:rPr>
              <w:t>Ishaan: crosswalk v2, full-data integration, verification, deck. Gowtam: fixed-effects analysis, maps, truncation audit, narration.</w:t>
            </w:r>
          </w:p>
        </w:tc>
        <w:tc>
          <w:tcPr>
            <w:tcW w:type="dxa" w:w="2448"/>
          </w:tcPr>
          <w:p>
            <w:pPr>
              <w:spacing w:after="20" w:before="20"/>
            </w:pPr>
            <w:r/>
            <w:r>
              <w:rPr>
                <w:rFonts w:ascii="Times New Roman" w:hAnsi="Times New Roman"/>
                <w:b w:val="0"/>
                <w:sz w:val="21"/>
              </w:rPr>
              <w:t>Both</w:t>
            </w:r>
          </w:p>
        </w:tc>
        <w:tc>
          <w:tcPr>
            <w:tcW w:type="dxa" w:w="1296"/>
          </w:tcPr>
          <w:p>
            <w:pPr>
              <w:spacing w:after="20" w:before="20"/>
            </w:pPr>
            <w:r/>
            <w:r>
              <w:rPr>
                <w:rFonts w:ascii="Times New Roman" w:hAnsi="Times New Roman"/>
                <w:b w:val="0"/>
                <w:sz w:val="21"/>
              </w:rPr>
              <w:t>Complete (this report)</w:t>
            </w:r>
          </w:p>
        </w:tc>
      </w:tr>
    </w:tbl>
    <w:p>
      <w:pPr>
        <w:spacing w:after="40"/>
      </w:pPr>
    </w:p>
    <w:p>
      <w:pPr>
        <w:spacing w:before="240" w:after="80"/>
      </w:pPr>
      <w:r>
        <w:rPr>
          <w:rFonts w:ascii="Times New Roman" w:hAnsi="Times New Roman"/>
          <w:b/>
          <w:sz w:val="30"/>
        </w:rPr>
        <w:t>Current Progress Report (Match)</w:t>
      </w:r>
    </w:p>
    <w:p>
      <w:pPr>
        <w:spacing w:after="120"/>
      </w:pPr>
      <w:r>
        <w:rPr>
          <w:rFonts w:ascii="Times New Roman" w:hAnsi="Times New Roman"/>
          <w:b w:val="0"/>
          <w:sz w:val="22"/>
        </w:rPr>
        <w:t>Over the last two weeks we closed the data gap, audited the TA benchmark, and integrated the three final deliverables into the existing pipeline rather than bolting them on. The following maps directly to the planned final milestone.</w:t>
      </w:r>
    </w:p>
    <w:p>
      <w:pPr>
        <w:spacing w:after="120"/>
      </w:pPr>
      <w:r>
        <w:rPr>
          <w:rFonts w:ascii="Times New Roman" w:hAnsi="Times New Roman"/>
          <w:b/>
          <w:sz w:val="22"/>
        </w:rPr>
        <w:t xml:space="preserve">The data gap is closed. </w:t>
      </w:r>
      <w:r>
        <w:rPr>
          <w:rFonts w:ascii="Times New Roman" w:hAnsi="Times New Roman"/>
          <w:b w:val="0"/>
          <w:sz w:val="22"/>
        </w:rPr>
        <w:t>Both the Checkpoint 2 and Checkpoint 3 feedback asked us to rerun on the full NGOs_with_categories table before the final report. We requested and received the full export, validated it against the numbers Checkpoint 1 verified on Metabase, split it into four GitHub-committable parts with a validation script, and taught the loader to read the parts transparently while recording which source it used in the profiler log. The retired extract stays committed because its bias is now a measurement rather than a caveat: it covered 30.7 percent of rows but only 26.2 percent of food nonprofits and 16.1 percent of Alaska's, and on the full data two food-sector correlations reverse sign, direct evidence the EIN-sorted cut was not random.</w:t>
      </w:r>
    </w:p>
    <w:p>
      <w:pPr>
        <w:spacing w:after="120"/>
      </w:pPr>
      <w:r>
        <w:rPr>
          <w:rFonts w:ascii="Times New Roman" w:hAnsi="Times New Roman"/>
          <w:b/>
          <w:sz w:val="22"/>
        </w:rPr>
        <w:t xml:space="preserve">We audited the TA benchmark the way Checkpoint 3 audited our own outputs, and found its headline fix does not work. </w:t>
      </w:r>
      <w:r>
        <w:rPr>
          <w:rFonts w:ascii="Times New Roman" w:hAnsi="Times New Roman"/>
          <w:b w:val="0"/>
          <w:sz w:val="22"/>
        </w:rPr>
        <w:t>The ai-suggestions/cp4 branch (kept in our repository for auditability) implements the three deliverables we had scoped. Running its Virginia crosswalk on the real data recovers zero of the 5,291 dropped Virginia rows: its exact pass only helps names that exist verbatim in the lookup, and its test fixtures only exercise those names, so its tests pass while the fix recovers nothing. Our rebuilt resolver keeps the benchmark's good ideas with credit and adds the missing general rules, recovering all 34 independent cities and Dona Ana, New Mexico, with every recovery machine-verified.</w:t>
      </w:r>
    </w:p>
    <w:p>
      <w:pPr>
        <w:spacing w:after="120"/>
      </w:pPr>
      <w:r>
        <w:rPr>
          <w:rFonts w:ascii="Times New Roman" w:hAnsi="Times New Roman"/>
          <w:b/>
          <w:sz w:val="22"/>
        </w:rPr>
        <w:t xml:space="preserve">The three scoped deliverables are integrated, not bolted on. </w:t>
      </w:r>
      <w:r>
        <w:rPr>
          <w:rFonts w:ascii="Times New Roman" w:hAnsi="Times New Roman"/>
          <w:b w:val="0"/>
          <w:sz w:val="22"/>
        </w:rPr>
        <w:t>The fixed-effects estimator (benchmark core, adopted with credit) runs on the panel's signed-log scale, writes committed results, appears in the findings summary, and is re-derived by the verifier. The county choropleths render from committed public-domain geometry with matplotlib alone, removing the geopandas dependency and the missing geometry file that kept the benchmark at a state cartogram, which we kept as an overview figure. Everything runs inside the two existing orchestration scripts.</w:t>
      </w:r>
    </w:p>
    <w:p>
      <w:pPr>
        <w:spacing w:after="120"/>
      </w:pPr>
      <w:r>
        <w:rPr>
          <w:rFonts w:ascii="Times New Roman" w:hAnsi="Times New Roman"/>
          <w:b/>
          <w:sz w:val="22"/>
        </w:rPr>
        <w:t xml:space="preserve">Findings on the full data. </w:t>
      </w:r>
      <w:r>
        <w:rPr>
          <w:rFonts w:ascii="Times New Roman" w:hAnsi="Times New Roman"/>
          <w:b w:val="0"/>
          <w:sz w:val="22"/>
        </w:rPr>
        <w:t>The panel grows from 3,027 to 3,066 counties. The headline geography holds: the counties where food-related need most outpaces capacity remain the Texas border (Zapata, Zavala, Starr), the Arkansas and Mississippi Delta (Lee, St. Francis), Appalachian Kentucky (Martin), and the Black Belt (Bullock, Alabama), with the recovered independent city of Manassas Park, Virginia entering the top ten, a small-denominator observation we report rather than filter. The critic now grades the same seven Checkpoint 3 hypotheses, re-tested unchanged so verdict changes are attributable to data, as four supported, two weak-direction, and one unsupported: the pair dac_tract_pct versus food_ngo_per_10k strengthens from rho -0.02 (unsupported) to -0.24 (supported), a food-sector signal the truncated extract had buried, while poverty versus nonprofit density remains a between-state artifact (permutation p = 1.0) despite q = 7.7e-36. The wealth-capacity headline survives its hardest test: within states, signed-log filer revenue per capita rises 0.132 per 10,000 dollars of median household income (cluster-robust p = 4.2e-09, 2,939 counties, 49 states), and the pooled slope of 0.194 attenuates only modestly under fixed-effects absorption. The raw-scale sensitivity fit does not survive (p = 0.61), confirming that outlier-robust scaling is what makes the relationship estimable, exactly the lesson the Checkpoint 3 signed-log fix taught.</w:t>
      </w:r>
    </w:p>
    <w:p>
      <w:pPr>
        <w:spacing w:before="160" w:after="40"/>
      </w:pPr>
      <w:r>
        <w:rPr>
          <w:rFonts w:ascii="Times New Roman" w:hAnsi="Times New Roman"/>
          <w:b/>
          <w:sz w:val="24"/>
        </w:rPr>
        <w:t>Compared to the planned milestone</w:t>
      </w:r>
    </w:p>
    <w:p>
      <w:pPr>
        <w:spacing w:after="120"/>
      </w:pPr>
      <w:r>
        <w:rPr>
          <w:rFonts w:ascii="Times New Roman" w:hAnsi="Times New Roman"/>
          <w:b w:val="0"/>
          <w:sz w:val="22"/>
        </w:rPr>
        <w:t>The final milestone is complete. The full-data rerun, the state fixed-effects estimate, the general and food-specific choropleths, and the Virginia crosswalk were all planned for this checkpoint and are all delivered, committed, and verified. We went beyond the plan by auditing the benchmark branch and by turning the truncation caveat into a quantified measurement.</w:t>
      </w:r>
    </w:p>
    <w:p>
      <w:pPr>
        <w:spacing w:before="160" w:after="40"/>
      </w:pPr>
      <w:r>
        <w:rPr>
          <w:rFonts w:ascii="Times New Roman" w:hAnsi="Times New Roman"/>
          <w:b/>
          <w:sz w:val="24"/>
        </w:rPr>
        <w:t>Changes to the original plan</w:t>
      </w:r>
    </w:p>
    <w:p>
      <w:pPr>
        <w:spacing w:after="120"/>
      </w:pPr>
      <w:r>
        <w:rPr>
          <w:rFonts w:ascii="Times New Roman" w:hAnsi="Times New Roman"/>
          <w:b w:val="0"/>
          <w:sz w:val="22"/>
        </w:rPr>
        <w:t>The full export arrived mid-checkpoint, so the planned interim truncation-bias analysis became a ground-truth measurement and the full rerun became the committed evidence rather than a contingency. Commit authorship was switched to the email address registered with GitHub so that contributions attribute correctly. Nothing scoped was dropped.</w:t>
      </w:r>
    </w:p>
    <w:p>
      <w:pPr>
        <w:spacing w:before="240" w:after="80"/>
      </w:pPr>
      <w:r>
        <w:rPr>
          <w:rFonts w:ascii="Times New Roman" w:hAnsi="Times New Roman"/>
          <w:b/>
          <w:sz w:val="30"/>
        </w:rPr>
        <w:t>Supporting Evidence (Factual)</w:t>
      </w:r>
    </w:p>
    <w:p>
      <w:pPr>
        <w:spacing w:after="120"/>
      </w:pPr>
      <w:r>
        <w:rPr>
          <w:rFonts w:ascii="Times New Roman" w:hAnsi="Times New Roman"/>
          <w:b/>
          <w:sz w:val="22"/>
        </w:rPr>
        <w:t xml:space="preserve">Team GitHub repository: </w:t>
      </w:r>
      <w:r>
        <w:rPr>
          <w:rFonts w:ascii="Times New Roman" w:hAnsi="Times New Roman"/>
          <w:b w:val="0"/>
          <w:sz w:val="22"/>
        </w:rPr>
        <w:t>https://github.com/ishaanbhardwaj2003/NORP-Food-Assistance-Need-Capacity-Gap-Explorer . The TA benchmark branch is preserved as ai-suggestions/cp4 for side-by-side audit.</w:t>
      </w:r>
    </w:p>
    <w:p>
      <w:pPr>
        <w:spacing w:after="120"/>
      </w:pPr>
      <w:r>
        <w:rPr>
          <w:rFonts w:ascii="Times New Roman" w:hAnsi="Times New Roman"/>
          <w:b/>
          <w:sz w:val="22"/>
        </w:rPr>
        <w:t>New or reworked code this checkpoint:</w:t>
      </w:r>
    </w:p>
    <w:p>
      <w:pPr>
        <w:pStyle w:val="ListBullet"/>
      </w:pPr>
      <w:r>
        <w:rPr>
          <w:rFonts w:ascii="Times New Roman" w:hAnsi="Times New Roman"/>
          <w:b w:val="0"/>
          <w:sz w:val="22"/>
        </w:rPr>
        <w:t>src/crosswalk.py: exact-first two-stage resolution, encoding repair, and the collision audit; tests/test_crosswalk.py includes the bare-lookup city case the benchmark never tested.</w:t>
      </w:r>
    </w:p>
    <w:p>
      <w:pPr>
        <w:pStyle w:val="ListBullet"/>
      </w:pPr>
      <w:r>
        <w:rPr>
          <w:rFonts w:ascii="Times New Roman" w:hAnsi="Times New Roman"/>
          <w:b w:val="0"/>
          <w:sz w:val="22"/>
        </w:rPr>
        <w:t>src/load_data.py and scripts/assemble_ngo_parts.py: multi-part full-table loading with recorded provenance and anchored validation.</w:t>
      </w:r>
    </w:p>
    <w:p>
      <w:pPr>
        <w:pStyle w:val="ListBullet"/>
      </w:pPr>
      <w:r>
        <w:rPr>
          <w:rFonts w:ascii="Times New Roman" w:hAnsi="Times New Roman"/>
          <w:b w:val="0"/>
          <w:sz w:val="22"/>
        </w:rPr>
        <w:t>src/fixed_effects.py: state fixed-effects OLS with cluster-robust standard errors, LSDV equivalence tested, wired into scripts/run_analysis.py.</w:t>
      </w:r>
    </w:p>
    <w:p>
      <w:pPr>
        <w:pStyle w:val="ListBullet"/>
      </w:pPr>
      <w:r>
        <w:rPr>
          <w:rFonts w:ascii="Times New Roman" w:hAnsi="Times New Roman"/>
          <w:b w:val="0"/>
          <w:sz w:val="22"/>
        </w:rPr>
        <w:t>src/make_maps.py and data/reference/: county choropleths and cartogram from committed geometry with provenance notes.</w:t>
      </w:r>
    </w:p>
    <w:p>
      <w:pPr>
        <w:pStyle w:val="ListBullet"/>
      </w:pPr>
      <w:r>
        <w:rPr>
          <w:rFonts w:ascii="Times New Roman" w:hAnsi="Times New Roman"/>
          <w:b w:val="0"/>
          <w:sz w:val="22"/>
        </w:rPr>
        <w:t>scripts/analyze_truncation.py, scripts/compare_extract_vs_full.py, and scripts/regen_offline_cache.py.</w:t>
      </w:r>
    </w:p>
    <w:p>
      <w:pPr>
        <w:pStyle w:val="ListBullet"/>
      </w:pPr>
      <w:r>
        <w:rPr>
          <w:rFonts w:ascii="Times New Roman" w:hAnsi="Times New Roman"/>
          <w:b w:val="0"/>
          <w:sz w:val="22"/>
        </w:rPr>
        <w:t>scripts/verify_outputs.py: extended from 13 to 17 committed checks.</w:t>
      </w:r>
    </w:p>
    <w:p>
      <w:pPr>
        <w:spacing w:before="160" w:after="40"/>
      </w:pPr>
      <w:r>
        <w:rPr>
          <w:rFonts w:ascii="Times New Roman" w:hAnsi="Times New Roman"/>
          <w:b/>
          <w:sz w:val="24"/>
        </w:rPr>
        <w:t>Generated outputs (committed to the repo as evidence)</w:t>
      </w:r>
    </w:p>
    <w:p>
      <w:pPr>
        <w:pStyle w:val="ListBullet"/>
      </w:pPr>
      <w:r>
        <w:rPr>
          <w:rFonts w:ascii="Times New Roman" w:hAnsi="Times New Roman"/>
          <w:b w:val="0"/>
          <w:sz w:val="22"/>
        </w:rPr>
        <w:t>data/output/joined_county_panel.csv: 3,066 counties, one row each with capacity metrics, need metrics, and the four scores.</w:t>
      </w:r>
    </w:p>
    <w:p>
      <w:pPr>
        <w:pStyle w:val="ListBullet"/>
      </w:pPr>
      <w:r>
        <w:rPr>
          <w:rFonts w:ascii="Times New Roman" w:hAnsi="Times New Roman"/>
          <w:b w:val="0"/>
          <w:sz w:val="22"/>
        </w:rPr>
        <w:t>data/output/profiler_log.json: per-table verdicts, per-join match rates, the gate verdict, and the NGO source that was read.</w:t>
      </w:r>
    </w:p>
    <w:p>
      <w:pPr>
        <w:pStyle w:val="ListBullet"/>
      </w:pPr>
      <w:r>
        <w:rPr>
          <w:rFonts w:ascii="Times New Roman" w:hAnsi="Times New Roman"/>
          <w:b w:val="0"/>
          <w:sz w:val="22"/>
        </w:rPr>
        <w:t>data/output/correlation_results.csv: the 28-pair grid with BH q-values, permutation p-values, and critic verdicts.</w:t>
      </w:r>
    </w:p>
    <w:p>
      <w:pPr>
        <w:pStyle w:val="ListBullet"/>
      </w:pPr>
      <w:r>
        <w:rPr>
          <w:rFonts w:ascii="Times New Roman" w:hAnsi="Times New Roman"/>
          <w:b w:val="0"/>
          <w:sz w:val="22"/>
        </w:rPr>
        <w:t>data/output/fixed_effects_results.json, truncation_analysis.json, and full_vs_extract_comparison.json.</w:t>
      </w:r>
    </w:p>
    <w:p>
      <w:pPr>
        <w:pStyle w:val="ListBullet"/>
      </w:pPr>
      <w:r>
        <w:rPr>
          <w:rFonts w:ascii="Times New Roman" w:hAnsi="Times New Roman"/>
          <w:b w:val="0"/>
          <w:sz w:val="22"/>
        </w:rPr>
        <w:t>data/output/validation_report.json: the committed verification, 17 of 17 checks pass.</w:t>
      </w:r>
    </w:p>
    <w:p>
      <w:pPr>
        <w:pStyle w:val="ListBullet"/>
      </w:pPr>
      <w:r>
        <w:rPr>
          <w:rFonts w:ascii="Times New Roman" w:hAnsi="Times New Roman"/>
          <w:b w:val="0"/>
          <w:sz w:val="22"/>
        </w:rPr>
        <w:t>data/output/findings_summary.md and eight figures in data/output/figures/, including both county choropleths and the truncation-bias chart.</w:t>
      </w:r>
    </w:p>
    <w:p>
      <w:pPr>
        <w:spacing w:before="160" w:after="40"/>
      </w:pPr>
      <w:r>
        <w:rPr>
          <w:rFonts w:ascii="Times New Roman" w:hAnsi="Times New Roman"/>
          <w:b/>
          <w:sz w:val="24"/>
        </w:rPr>
        <w:t>Reproduce</w:t>
      </w:r>
    </w:p>
    <w:p>
      <w:pPr>
        <w:spacing w:after="120"/>
      </w:pPr>
      <w:r>
        <w:rPr>
          <w:rFonts w:ascii="Times New Roman" w:hAnsi="Times New Roman"/>
          <w:b w:val="0"/>
          <w:sz w:val="22"/>
        </w:rPr>
        <w:t>python scripts/run_pipeline.py --verbose  (rebuilds the panel from the committed full-table parts)</w:t>
      </w:r>
    </w:p>
    <w:p>
      <w:pPr>
        <w:spacing w:after="120"/>
      </w:pPr>
      <w:r>
        <w:rPr>
          <w:rFonts w:ascii="Times New Roman" w:hAnsi="Times New Roman"/>
          <w:b w:val="0"/>
          <w:sz w:val="22"/>
        </w:rPr>
        <w:t>python scripts/run_analysis.py  (offline replay of the correlation agent, critic, fixed effects, figures, and findings)</w:t>
      </w:r>
    </w:p>
    <w:p>
      <w:pPr>
        <w:spacing w:after="120"/>
      </w:pPr>
      <w:r>
        <w:rPr>
          <w:rFonts w:ascii="Times New Roman" w:hAnsi="Times New Roman"/>
          <w:b w:val="0"/>
          <w:sz w:val="22"/>
        </w:rPr>
        <w:t>python scripts/analyze_truncation.py ; python scripts/verify_outputs.py  (17 of 17 checks) ; python -m pytest -q  (66 tests, all offline, no API key)</w:t>
      </w:r>
    </w:p>
    <w:p>
      <w:pPr>
        <w:spacing w:before="160" w:after="40"/>
      </w:pPr>
      <w:r>
        <w:rPr>
          <w:rFonts w:ascii="Times New Roman" w:hAnsi="Times New Roman"/>
          <w:b/>
          <w:sz w:val="24"/>
        </w:rPr>
        <w:t>Selected verified figures from the run</w:t>
      </w:r>
    </w:p>
    <w:p>
      <w:pPr>
        <w:pStyle w:val="ListBullet"/>
      </w:pPr>
      <w:r>
        <w:rPr>
          <w:rFonts w:ascii="Times New Roman" w:hAnsi="Times New Roman"/>
          <w:b w:val="0"/>
          <w:sz w:val="22"/>
        </w:rPr>
        <w:t>Gate verdict proceed_with_warning; NGO-to-FIPS match rate 0.9322 on 3,420,024 rows; the auto-dropped rows are 99.3 percent Florida and Connecticut, a lookup limitation, disclosed.</w:t>
      </w:r>
    </w:p>
    <w:p>
      <w:pPr>
        <w:pStyle w:val="ListBullet"/>
      </w:pPr>
      <w:r>
        <w:rPr>
          <w:rFonts w:ascii="Times New Roman" w:hAnsi="Times New Roman"/>
          <w:b w:val="0"/>
          <w:sz w:val="22"/>
        </w:rPr>
        <w:t>Panel: 3,068 capacity counties and 3,142 need counties give 3,066 joined; the 76 need-only counties are 67 Florida, 8 Connecticut, and 1 Alaska, enumerated in the validation report.</w:t>
      </w:r>
    </w:p>
    <w:p>
      <w:pPr>
        <w:pStyle w:val="ListBullet"/>
      </w:pPr>
      <w:r>
        <w:rPr>
          <w:rFonts w:ascii="Times New Roman" w:hAnsi="Times New Roman"/>
          <w:b w:val="0"/>
          <w:sz w:val="22"/>
        </w:rPr>
        <w:t>Gap distribution: median -0.01, standard deviation 1.09, range -4.56 to +4.17; direction checks pass (gap versus poverty positive, gap versus nonprofit density negative).</w:t>
      </w:r>
    </w:p>
    <w:p>
      <w:pPr>
        <w:pStyle w:val="ListBullet"/>
      </w:pPr>
      <w:r>
        <w:rPr>
          <w:rFonts w:ascii="Times New Roman" w:hAnsi="Times New Roman"/>
          <w:b w:val="0"/>
          <w:sz w:val="22"/>
        </w:rPr>
        <w:t>Critic: 6 of 7 signs matched; 4 supported, 2 weak-direction, 1 unsupported.</w:t>
      </w:r>
    </w:p>
    <w:p>
      <w:pPr>
        <w:pStyle w:val="ListBullet"/>
      </w:pPr>
      <w:r>
        <w:rPr>
          <w:rFonts w:ascii="Times New Roman" w:hAnsi="Times New Roman"/>
          <w:b w:val="0"/>
          <w:sz w:val="22"/>
        </w:rPr>
        <w:t>State fixed effects: slope +0.132 per 10,000 dollars of income (standard error 0.018, p = 4.2e-09, within R-squared 0.016, pooled slope +0.194); raw-scale sensitivity p = 0.61, correctly not significant.</w:t>
      </w:r>
    </w:p>
    <w:p>
      <w:pPr>
        <w:pStyle w:val="ListBullet"/>
      </w:pPr>
      <w:r>
        <w:rPr>
          <w:rFonts w:ascii="Times New Roman" w:hAnsi="Times New Roman"/>
          <w:b w:val="0"/>
          <w:sz w:val="22"/>
        </w:rPr>
        <w:t>Extract versus full: gap rank correlation 0.733 on common counties, 3 of 10 top-ten overlap, maximum correlation shift 0.365, 39 counties gained, three sign flips, and one critic verdict upgraded.</w:t>
      </w:r>
    </w:p>
    <w:p>
      <w:pPr>
        <w:spacing w:before="160" w:after="40"/>
      </w:pPr>
      <w:r>
        <w:rPr>
          <w:rFonts w:ascii="Times New Roman" w:hAnsi="Times New Roman"/>
          <w:b/>
          <w:sz w:val="24"/>
        </w:rPr>
        <w:t>Top-gap counties (read straight from the scored panel)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152"/>
          </w:tcPr>
          <w:p>
            <w:pPr>
              <w:spacing w:after="20" w:before="20"/>
            </w:pPr>
            <w:r/>
            <w:r>
              <w:rPr>
                <w:rFonts w:ascii="Times New Roman" w:hAnsi="Times New Roman"/>
                <w:b/>
                <w:sz w:val="21"/>
              </w:rPr>
              <w:t>FIPS</w:t>
            </w:r>
          </w:p>
        </w:tc>
        <w:tc>
          <w:tcPr>
            <w:tcW w:type="dxa" w:w="2736"/>
          </w:tcPr>
          <w:p>
            <w:pPr>
              <w:spacing w:after="20" w:before="20"/>
            </w:pPr>
            <w:r/>
            <w:r>
              <w:rPr>
                <w:rFonts w:ascii="Times New Roman" w:hAnsi="Times New Roman"/>
                <w:b/>
                <w:sz w:val="21"/>
              </w:rPr>
              <w:t>County</w:t>
            </w:r>
          </w:p>
        </w:tc>
        <w:tc>
          <w:tcPr>
            <w:tcW w:type="dxa" w:w="1152"/>
          </w:tcPr>
          <w:p>
            <w:pPr>
              <w:spacing w:after="20" w:before="20"/>
            </w:pPr>
            <w:r/>
            <w:r>
              <w:rPr>
                <w:rFonts w:ascii="Times New Roman" w:hAnsi="Times New Roman"/>
                <w:b/>
                <w:sz w:val="21"/>
              </w:rPr>
              <w:t>Gap</w:t>
            </w:r>
          </w:p>
        </w:tc>
        <w:tc>
          <w:tcPr>
            <w:tcW w:type="dxa" w:w="1152"/>
          </w:tcPr>
          <w:p>
            <w:pPr>
              <w:spacing w:after="20" w:before="20"/>
            </w:pPr>
            <w:r/>
            <w:r>
              <w:rPr>
                <w:rFonts w:ascii="Times New Roman" w:hAnsi="Times New Roman"/>
                <w:b/>
                <w:sz w:val="21"/>
              </w:rPr>
              <w:t>Need</w:t>
            </w:r>
          </w:p>
        </w:tc>
        <w:tc>
          <w:tcPr>
            <w:tcW w:type="dxa" w:w="1296"/>
          </w:tcPr>
          <w:p>
            <w:pPr>
              <w:spacing w:after="20" w:before="20"/>
            </w:pPr>
            <w:r/>
            <w:r>
              <w:rPr>
                <w:rFonts w:ascii="Times New Roman" w:hAnsi="Times New Roman"/>
                <w:b/>
                <w:sz w:val="21"/>
              </w:rPr>
              <w:t>Capacity</w:t>
            </w:r>
          </w:p>
        </w:tc>
        <w:tc>
          <w:tcPr>
            <w:tcW w:type="dxa" w:w="1296"/>
          </w:tcPr>
          <w:p>
            <w:pPr>
              <w:spacing w:after="20" w:before="20"/>
            </w:pPr>
            <w:r/>
            <w:r>
              <w:rPr>
                <w:rFonts w:ascii="Times New Roman" w:hAnsi="Times New Roman"/>
                <w:b/>
                <w:sz w:val="21"/>
              </w:rPr>
              <w:t>Food gap</w:t>
            </w:r>
          </w:p>
        </w:tc>
      </w:tr>
      <w:tr>
        <w:tc>
          <w:tcPr>
            <w:tcW w:type="dxa" w:w="1152"/>
          </w:tcPr>
          <w:p>
            <w:pPr>
              <w:spacing w:after="20" w:before="20"/>
            </w:pPr>
            <w:r/>
            <w:r>
              <w:rPr>
                <w:rFonts w:ascii="Times New Roman" w:hAnsi="Times New Roman"/>
                <w:b w:val="0"/>
                <w:sz w:val="21"/>
              </w:rPr>
              <w:t>48505</w:t>
            </w:r>
          </w:p>
        </w:tc>
        <w:tc>
          <w:tcPr>
            <w:tcW w:type="dxa" w:w="2736"/>
          </w:tcPr>
          <w:p>
            <w:pPr>
              <w:spacing w:after="20" w:before="20"/>
            </w:pPr>
            <w:r/>
            <w:r>
              <w:rPr>
                <w:rFonts w:ascii="Times New Roman" w:hAnsi="Times New Roman"/>
                <w:b w:val="0"/>
                <w:sz w:val="21"/>
              </w:rPr>
              <w:t>Zapata, TX</w:t>
            </w:r>
          </w:p>
        </w:tc>
        <w:tc>
          <w:tcPr>
            <w:tcW w:type="dxa" w:w="1152"/>
          </w:tcPr>
          <w:p>
            <w:pPr>
              <w:spacing w:after="20" w:before="20"/>
            </w:pPr>
            <w:r/>
            <w:r>
              <w:rPr>
                <w:rFonts w:ascii="Times New Roman" w:hAnsi="Times New Roman"/>
                <w:b w:val="0"/>
                <w:sz w:val="21"/>
              </w:rPr>
              <w:t>+4.17</w:t>
            </w:r>
          </w:p>
        </w:tc>
        <w:tc>
          <w:tcPr>
            <w:tcW w:type="dxa" w:w="1152"/>
          </w:tcPr>
          <w:p>
            <w:pPr>
              <w:spacing w:after="20" w:before="20"/>
            </w:pPr>
            <w:r/>
            <w:r>
              <w:rPr>
                <w:rFonts w:ascii="Times New Roman" w:hAnsi="Times New Roman"/>
                <w:b w:val="0"/>
                <w:sz w:val="21"/>
              </w:rPr>
              <w:t>+2.22</w:t>
            </w:r>
          </w:p>
        </w:tc>
        <w:tc>
          <w:tcPr>
            <w:tcW w:type="dxa" w:w="1296"/>
          </w:tcPr>
          <w:p>
            <w:pPr>
              <w:spacing w:after="20" w:before="20"/>
            </w:pPr>
            <w:r/>
            <w:r>
              <w:rPr>
                <w:rFonts w:ascii="Times New Roman" w:hAnsi="Times New Roman"/>
                <w:b w:val="0"/>
                <w:sz w:val="21"/>
              </w:rPr>
              <w:t>-1.94</w:t>
            </w:r>
          </w:p>
        </w:tc>
        <w:tc>
          <w:tcPr>
            <w:tcW w:type="dxa" w:w="1296"/>
          </w:tcPr>
          <w:p>
            <w:pPr>
              <w:spacing w:after="20" w:before="20"/>
            </w:pPr>
            <w:r/>
            <w:r>
              <w:rPr>
                <w:rFonts w:ascii="Times New Roman" w:hAnsi="Times New Roman"/>
                <w:b w:val="0"/>
                <w:sz w:val="21"/>
              </w:rPr>
              <w:t>+2.70</w:t>
            </w:r>
          </w:p>
        </w:tc>
      </w:tr>
      <w:tr>
        <w:tc>
          <w:tcPr>
            <w:tcW w:type="dxa" w:w="1152"/>
          </w:tcPr>
          <w:p>
            <w:pPr>
              <w:spacing w:after="20" w:before="20"/>
            </w:pPr>
            <w:r/>
            <w:r>
              <w:rPr>
                <w:rFonts w:ascii="Times New Roman" w:hAnsi="Times New Roman"/>
                <w:b w:val="0"/>
                <w:sz w:val="21"/>
              </w:rPr>
              <w:t>48507</w:t>
            </w:r>
          </w:p>
        </w:tc>
        <w:tc>
          <w:tcPr>
            <w:tcW w:type="dxa" w:w="2736"/>
          </w:tcPr>
          <w:p>
            <w:pPr>
              <w:spacing w:after="20" w:before="20"/>
            </w:pPr>
            <w:r/>
            <w:r>
              <w:rPr>
                <w:rFonts w:ascii="Times New Roman" w:hAnsi="Times New Roman"/>
                <w:b w:val="0"/>
                <w:sz w:val="21"/>
              </w:rPr>
              <w:t>Zavala, TX</w:t>
            </w:r>
          </w:p>
        </w:tc>
        <w:tc>
          <w:tcPr>
            <w:tcW w:type="dxa" w:w="1152"/>
          </w:tcPr>
          <w:p>
            <w:pPr>
              <w:spacing w:after="20" w:before="20"/>
            </w:pPr>
            <w:r/>
            <w:r>
              <w:rPr>
                <w:rFonts w:ascii="Times New Roman" w:hAnsi="Times New Roman"/>
                <w:b w:val="0"/>
                <w:sz w:val="21"/>
              </w:rPr>
              <w:t>+4.13</w:t>
            </w:r>
          </w:p>
        </w:tc>
        <w:tc>
          <w:tcPr>
            <w:tcW w:type="dxa" w:w="1152"/>
          </w:tcPr>
          <w:p>
            <w:pPr>
              <w:spacing w:after="20" w:before="20"/>
            </w:pPr>
            <w:r/>
            <w:r>
              <w:rPr>
                <w:rFonts w:ascii="Times New Roman" w:hAnsi="Times New Roman"/>
                <w:b w:val="0"/>
                <w:sz w:val="21"/>
              </w:rPr>
              <w:t>+1.86</w:t>
            </w:r>
          </w:p>
        </w:tc>
        <w:tc>
          <w:tcPr>
            <w:tcW w:type="dxa" w:w="1296"/>
          </w:tcPr>
          <w:p>
            <w:pPr>
              <w:spacing w:after="20" w:before="20"/>
            </w:pPr>
            <w:r/>
            <w:r>
              <w:rPr>
                <w:rFonts w:ascii="Times New Roman" w:hAnsi="Times New Roman"/>
                <w:b w:val="0"/>
                <w:sz w:val="21"/>
              </w:rPr>
              <w:t>-2.27</w:t>
            </w:r>
          </w:p>
        </w:tc>
        <w:tc>
          <w:tcPr>
            <w:tcW w:type="dxa" w:w="1296"/>
          </w:tcPr>
          <w:p>
            <w:pPr>
              <w:spacing w:after="20" w:before="20"/>
            </w:pPr>
            <w:r/>
            <w:r>
              <w:rPr>
                <w:rFonts w:ascii="Times New Roman" w:hAnsi="Times New Roman"/>
                <w:b w:val="0"/>
                <w:sz w:val="21"/>
              </w:rPr>
              <w:t>+2.16</w:t>
            </w:r>
          </w:p>
        </w:tc>
      </w:tr>
      <w:tr>
        <w:tc>
          <w:tcPr>
            <w:tcW w:type="dxa" w:w="1152"/>
          </w:tcPr>
          <w:p>
            <w:pPr>
              <w:spacing w:after="20" w:before="20"/>
            </w:pPr>
            <w:r/>
            <w:r>
              <w:rPr>
                <w:rFonts w:ascii="Times New Roman" w:hAnsi="Times New Roman"/>
                <w:b w:val="0"/>
                <w:sz w:val="21"/>
              </w:rPr>
              <w:t>21159</w:t>
            </w:r>
          </w:p>
        </w:tc>
        <w:tc>
          <w:tcPr>
            <w:tcW w:type="dxa" w:w="2736"/>
          </w:tcPr>
          <w:p>
            <w:pPr>
              <w:spacing w:after="20" w:before="20"/>
            </w:pPr>
            <w:r/>
            <w:r>
              <w:rPr>
                <w:rFonts w:ascii="Times New Roman" w:hAnsi="Times New Roman"/>
                <w:b w:val="0"/>
                <w:sz w:val="21"/>
              </w:rPr>
              <w:t>Martin, KY</w:t>
            </w:r>
          </w:p>
        </w:tc>
        <w:tc>
          <w:tcPr>
            <w:tcW w:type="dxa" w:w="1152"/>
          </w:tcPr>
          <w:p>
            <w:pPr>
              <w:spacing w:after="20" w:before="20"/>
            </w:pPr>
            <w:r/>
            <w:r>
              <w:rPr>
                <w:rFonts w:ascii="Times New Roman" w:hAnsi="Times New Roman"/>
                <w:b w:val="0"/>
                <w:sz w:val="21"/>
              </w:rPr>
              <w:t>+3.84</w:t>
            </w:r>
          </w:p>
        </w:tc>
        <w:tc>
          <w:tcPr>
            <w:tcW w:type="dxa" w:w="1152"/>
          </w:tcPr>
          <w:p>
            <w:pPr>
              <w:spacing w:after="20" w:before="20"/>
            </w:pPr>
            <w:r/>
            <w:r>
              <w:rPr>
                <w:rFonts w:ascii="Times New Roman" w:hAnsi="Times New Roman"/>
                <w:b w:val="0"/>
                <w:sz w:val="21"/>
              </w:rPr>
              <w:t>+1.44</w:t>
            </w:r>
          </w:p>
        </w:tc>
        <w:tc>
          <w:tcPr>
            <w:tcW w:type="dxa" w:w="1296"/>
          </w:tcPr>
          <w:p>
            <w:pPr>
              <w:spacing w:after="20" w:before="20"/>
            </w:pPr>
            <w:r/>
            <w:r>
              <w:rPr>
                <w:rFonts w:ascii="Times New Roman" w:hAnsi="Times New Roman"/>
                <w:b w:val="0"/>
                <w:sz w:val="21"/>
              </w:rPr>
              <w:t>-2.39</w:t>
            </w:r>
          </w:p>
        </w:tc>
        <w:tc>
          <w:tcPr>
            <w:tcW w:type="dxa" w:w="1296"/>
          </w:tcPr>
          <w:p>
            <w:pPr>
              <w:spacing w:after="20" w:before="20"/>
            </w:pPr>
            <w:r/>
            <w:r>
              <w:rPr>
                <w:rFonts w:ascii="Times New Roman" w:hAnsi="Times New Roman"/>
                <w:b w:val="0"/>
                <w:sz w:val="21"/>
              </w:rPr>
              <w:t>+1.72</w:t>
            </w:r>
          </w:p>
        </w:tc>
      </w:tr>
      <w:tr>
        <w:tc>
          <w:tcPr>
            <w:tcW w:type="dxa" w:w="1152"/>
          </w:tcPr>
          <w:p>
            <w:pPr>
              <w:spacing w:after="20" w:before="20"/>
            </w:pPr>
            <w:r/>
            <w:r>
              <w:rPr>
                <w:rFonts w:ascii="Times New Roman" w:hAnsi="Times New Roman"/>
                <w:b w:val="0"/>
                <w:sz w:val="21"/>
              </w:rPr>
              <w:t>05077</w:t>
            </w:r>
          </w:p>
        </w:tc>
        <w:tc>
          <w:tcPr>
            <w:tcW w:type="dxa" w:w="2736"/>
          </w:tcPr>
          <w:p>
            <w:pPr>
              <w:spacing w:after="20" w:before="20"/>
            </w:pPr>
            <w:r/>
            <w:r>
              <w:rPr>
                <w:rFonts w:ascii="Times New Roman" w:hAnsi="Times New Roman"/>
                <w:b w:val="0"/>
                <w:sz w:val="21"/>
              </w:rPr>
              <w:t>Lee, AR</w:t>
            </w:r>
          </w:p>
        </w:tc>
        <w:tc>
          <w:tcPr>
            <w:tcW w:type="dxa" w:w="1152"/>
          </w:tcPr>
          <w:p>
            <w:pPr>
              <w:spacing w:after="20" w:before="20"/>
            </w:pPr>
            <w:r/>
            <w:r>
              <w:rPr>
                <w:rFonts w:ascii="Times New Roman" w:hAnsi="Times New Roman"/>
                <w:b w:val="0"/>
                <w:sz w:val="21"/>
              </w:rPr>
              <w:t>+3.61</w:t>
            </w:r>
          </w:p>
        </w:tc>
        <w:tc>
          <w:tcPr>
            <w:tcW w:type="dxa" w:w="1152"/>
          </w:tcPr>
          <w:p>
            <w:pPr>
              <w:spacing w:after="20" w:before="20"/>
            </w:pPr>
            <w:r/>
            <w:r>
              <w:rPr>
                <w:rFonts w:ascii="Times New Roman" w:hAnsi="Times New Roman"/>
                <w:b w:val="0"/>
                <w:sz w:val="21"/>
              </w:rPr>
              <w:t>+2.91</w:t>
            </w:r>
          </w:p>
        </w:tc>
        <w:tc>
          <w:tcPr>
            <w:tcW w:type="dxa" w:w="1296"/>
          </w:tcPr>
          <w:p>
            <w:pPr>
              <w:spacing w:after="20" w:before="20"/>
            </w:pPr>
            <w:r/>
            <w:r>
              <w:rPr>
                <w:rFonts w:ascii="Times New Roman" w:hAnsi="Times New Roman"/>
                <w:b w:val="0"/>
                <w:sz w:val="21"/>
              </w:rPr>
              <w:t>-0.70</w:t>
            </w:r>
          </w:p>
        </w:tc>
        <w:tc>
          <w:tcPr>
            <w:tcW w:type="dxa" w:w="1296"/>
          </w:tcPr>
          <w:p>
            <w:pPr>
              <w:spacing w:after="20" w:before="20"/>
            </w:pPr>
            <w:r/>
            <w:r>
              <w:rPr>
                <w:rFonts w:ascii="Times New Roman" w:hAnsi="Times New Roman"/>
                <w:b w:val="0"/>
                <w:sz w:val="21"/>
              </w:rPr>
              <w:t>+1.79</w:t>
            </w:r>
          </w:p>
        </w:tc>
      </w:tr>
      <w:tr>
        <w:tc>
          <w:tcPr>
            <w:tcW w:type="dxa" w:w="1152"/>
          </w:tcPr>
          <w:p>
            <w:pPr>
              <w:spacing w:after="20" w:before="20"/>
            </w:pPr>
            <w:r/>
            <w:r>
              <w:rPr>
                <w:rFonts w:ascii="Times New Roman" w:hAnsi="Times New Roman"/>
                <w:b w:val="0"/>
                <w:sz w:val="21"/>
              </w:rPr>
              <w:t>05123</w:t>
            </w:r>
          </w:p>
        </w:tc>
        <w:tc>
          <w:tcPr>
            <w:tcW w:type="dxa" w:w="2736"/>
          </w:tcPr>
          <w:p>
            <w:pPr>
              <w:spacing w:after="20" w:before="20"/>
            </w:pPr>
            <w:r/>
            <w:r>
              <w:rPr>
                <w:rFonts w:ascii="Times New Roman" w:hAnsi="Times New Roman"/>
                <w:b w:val="0"/>
                <w:sz w:val="21"/>
              </w:rPr>
              <w:t>St. Francis, AR</w:t>
            </w:r>
          </w:p>
        </w:tc>
        <w:tc>
          <w:tcPr>
            <w:tcW w:type="dxa" w:w="1152"/>
          </w:tcPr>
          <w:p>
            <w:pPr>
              <w:spacing w:after="20" w:before="20"/>
            </w:pPr>
            <w:r/>
            <w:r>
              <w:rPr>
                <w:rFonts w:ascii="Times New Roman" w:hAnsi="Times New Roman"/>
                <w:b w:val="0"/>
                <w:sz w:val="21"/>
              </w:rPr>
              <w:t>+3.45</w:t>
            </w:r>
          </w:p>
        </w:tc>
        <w:tc>
          <w:tcPr>
            <w:tcW w:type="dxa" w:w="1152"/>
          </w:tcPr>
          <w:p>
            <w:pPr>
              <w:spacing w:after="20" w:before="20"/>
            </w:pPr>
            <w:r/>
            <w:r>
              <w:rPr>
                <w:rFonts w:ascii="Times New Roman" w:hAnsi="Times New Roman"/>
                <w:b w:val="0"/>
                <w:sz w:val="21"/>
              </w:rPr>
              <w:t>+1.60</w:t>
            </w:r>
          </w:p>
        </w:tc>
        <w:tc>
          <w:tcPr>
            <w:tcW w:type="dxa" w:w="1296"/>
          </w:tcPr>
          <w:p>
            <w:pPr>
              <w:spacing w:after="20" w:before="20"/>
            </w:pPr>
            <w:r/>
            <w:r>
              <w:rPr>
                <w:rFonts w:ascii="Times New Roman" w:hAnsi="Times New Roman"/>
                <w:b w:val="0"/>
                <w:sz w:val="21"/>
              </w:rPr>
              <w:t>-1.85</w:t>
            </w:r>
          </w:p>
        </w:tc>
        <w:tc>
          <w:tcPr>
            <w:tcW w:type="dxa" w:w="1296"/>
          </w:tcPr>
          <w:p>
            <w:pPr>
              <w:spacing w:after="20" w:before="20"/>
            </w:pPr>
            <w:r/>
            <w:r>
              <w:rPr>
                <w:rFonts w:ascii="Times New Roman" w:hAnsi="Times New Roman"/>
                <w:b w:val="0"/>
                <w:sz w:val="21"/>
              </w:rPr>
              <w:t>+1.75</w:t>
            </w:r>
          </w:p>
        </w:tc>
      </w:tr>
      <w:tr>
        <w:tc>
          <w:tcPr>
            <w:tcW w:type="dxa" w:w="1152"/>
          </w:tcPr>
          <w:p>
            <w:pPr>
              <w:spacing w:after="20" w:before="20"/>
            </w:pPr>
            <w:r/>
            <w:r>
              <w:rPr>
                <w:rFonts w:ascii="Times New Roman" w:hAnsi="Times New Roman"/>
                <w:b w:val="0"/>
                <w:sz w:val="21"/>
              </w:rPr>
              <w:t>01011</w:t>
            </w:r>
          </w:p>
        </w:tc>
        <w:tc>
          <w:tcPr>
            <w:tcW w:type="dxa" w:w="2736"/>
          </w:tcPr>
          <w:p>
            <w:pPr>
              <w:spacing w:after="20" w:before="20"/>
            </w:pPr>
            <w:r/>
            <w:r>
              <w:rPr>
                <w:rFonts w:ascii="Times New Roman" w:hAnsi="Times New Roman"/>
                <w:b w:val="0"/>
                <w:sz w:val="21"/>
              </w:rPr>
              <w:t>Bullock, AL</w:t>
            </w:r>
          </w:p>
        </w:tc>
        <w:tc>
          <w:tcPr>
            <w:tcW w:type="dxa" w:w="1152"/>
          </w:tcPr>
          <w:p>
            <w:pPr>
              <w:spacing w:after="20" w:before="20"/>
            </w:pPr>
            <w:r/>
            <w:r>
              <w:rPr>
                <w:rFonts w:ascii="Times New Roman" w:hAnsi="Times New Roman"/>
                <w:b w:val="0"/>
                <w:sz w:val="21"/>
              </w:rPr>
              <w:t>+3.30</w:t>
            </w:r>
          </w:p>
        </w:tc>
        <w:tc>
          <w:tcPr>
            <w:tcW w:type="dxa" w:w="1152"/>
          </w:tcPr>
          <w:p>
            <w:pPr>
              <w:spacing w:after="20" w:before="20"/>
            </w:pPr>
            <w:r/>
            <w:r>
              <w:rPr>
                <w:rFonts w:ascii="Times New Roman" w:hAnsi="Times New Roman"/>
                <w:b w:val="0"/>
                <w:sz w:val="21"/>
              </w:rPr>
              <w:t>+2.21</w:t>
            </w:r>
          </w:p>
        </w:tc>
        <w:tc>
          <w:tcPr>
            <w:tcW w:type="dxa" w:w="1296"/>
          </w:tcPr>
          <w:p>
            <w:pPr>
              <w:spacing w:after="20" w:before="20"/>
            </w:pPr>
            <w:r/>
            <w:r>
              <w:rPr>
                <w:rFonts w:ascii="Times New Roman" w:hAnsi="Times New Roman"/>
                <w:b w:val="0"/>
                <w:sz w:val="21"/>
              </w:rPr>
              <w:t>-1.09</w:t>
            </w:r>
          </w:p>
        </w:tc>
        <w:tc>
          <w:tcPr>
            <w:tcW w:type="dxa" w:w="1296"/>
          </w:tcPr>
          <w:p>
            <w:pPr>
              <w:spacing w:after="20" w:before="20"/>
            </w:pPr>
            <w:r/>
            <w:r>
              <w:rPr>
                <w:rFonts w:ascii="Times New Roman" w:hAnsi="Times New Roman"/>
                <w:b w:val="0"/>
                <w:sz w:val="21"/>
              </w:rPr>
              <w:t>+3.00</w:t>
            </w:r>
          </w:p>
        </w:tc>
      </w:tr>
      <w:tr>
        <w:tc>
          <w:tcPr>
            <w:tcW w:type="dxa" w:w="1152"/>
          </w:tcPr>
          <w:p>
            <w:pPr>
              <w:spacing w:after="20" w:before="20"/>
            </w:pPr>
            <w:r/>
            <w:r>
              <w:rPr>
                <w:rFonts w:ascii="Times New Roman" w:hAnsi="Times New Roman"/>
                <w:b w:val="0"/>
                <w:sz w:val="21"/>
              </w:rPr>
              <w:t>48427</w:t>
            </w:r>
          </w:p>
        </w:tc>
        <w:tc>
          <w:tcPr>
            <w:tcW w:type="dxa" w:w="2736"/>
          </w:tcPr>
          <w:p>
            <w:pPr>
              <w:spacing w:after="20" w:before="20"/>
            </w:pPr>
            <w:r/>
            <w:r>
              <w:rPr>
                <w:rFonts w:ascii="Times New Roman" w:hAnsi="Times New Roman"/>
                <w:b w:val="0"/>
                <w:sz w:val="21"/>
              </w:rPr>
              <w:t>Starr, TX</w:t>
            </w:r>
          </w:p>
        </w:tc>
        <w:tc>
          <w:tcPr>
            <w:tcW w:type="dxa" w:w="1152"/>
          </w:tcPr>
          <w:p>
            <w:pPr>
              <w:spacing w:after="20" w:before="20"/>
            </w:pPr>
            <w:r/>
            <w:r>
              <w:rPr>
                <w:rFonts w:ascii="Times New Roman" w:hAnsi="Times New Roman"/>
                <w:b w:val="0"/>
                <w:sz w:val="21"/>
              </w:rPr>
              <w:t>+3.21</w:t>
            </w:r>
          </w:p>
        </w:tc>
        <w:tc>
          <w:tcPr>
            <w:tcW w:type="dxa" w:w="1152"/>
          </w:tcPr>
          <w:p>
            <w:pPr>
              <w:spacing w:after="20" w:before="20"/>
            </w:pPr>
            <w:r/>
            <w:r>
              <w:rPr>
                <w:rFonts w:ascii="Times New Roman" w:hAnsi="Times New Roman"/>
                <w:b w:val="0"/>
                <w:sz w:val="21"/>
              </w:rPr>
              <w:t>+1.32</w:t>
            </w:r>
          </w:p>
        </w:tc>
        <w:tc>
          <w:tcPr>
            <w:tcW w:type="dxa" w:w="1296"/>
          </w:tcPr>
          <w:p>
            <w:pPr>
              <w:spacing w:after="20" w:before="20"/>
            </w:pPr>
            <w:r/>
            <w:r>
              <w:rPr>
                <w:rFonts w:ascii="Times New Roman" w:hAnsi="Times New Roman"/>
                <w:b w:val="0"/>
                <w:sz w:val="21"/>
              </w:rPr>
              <w:t>-1.89</w:t>
            </w:r>
          </w:p>
        </w:tc>
        <w:tc>
          <w:tcPr>
            <w:tcW w:type="dxa" w:w="1296"/>
          </w:tcPr>
          <w:p>
            <w:pPr>
              <w:spacing w:after="20" w:before="20"/>
            </w:pPr>
            <w:r/>
            <w:r>
              <w:rPr>
                <w:rFonts w:ascii="Times New Roman" w:hAnsi="Times New Roman"/>
                <w:b w:val="0"/>
                <w:sz w:val="21"/>
              </w:rPr>
              <w:t>+2.01</w:t>
            </w:r>
          </w:p>
        </w:tc>
      </w:tr>
      <w:tr>
        <w:tc>
          <w:tcPr>
            <w:tcW w:type="dxa" w:w="1152"/>
          </w:tcPr>
          <w:p>
            <w:pPr>
              <w:spacing w:after="20" w:before="20"/>
            </w:pPr>
            <w:r/>
            <w:r>
              <w:rPr>
                <w:rFonts w:ascii="Times New Roman" w:hAnsi="Times New Roman"/>
                <w:b w:val="0"/>
                <w:sz w:val="21"/>
              </w:rPr>
              <w:t>40023</w:t>
            </w:r>
          </w:p>
        </w:tc>
        <w:tc>
          <w:tcPr>
            <w:tcW w:type="dxa" w:w="2736"/>
          </w:tcPr>
          <w:p>
            <w:pPr>
              <w:spacing w:after="20" w:before="20"/>
            </w:pPr>
            <w:r/>
            <w:r>
              <w:rPr>
                <w:rFonts w:ascii="Times New Roman" w:hAnsi="Times New Roman"/>
                <w:b w:val="0"/>
                <w:sz w:val="21"/>
              </w:rPr>
              <w:t>Choctaw, OK</w:t>
            </w:r>
          </w:p>
        </w:tc>
        <w:tc>
          <w:tcPr>
            <w:tcW w:type="dxa" w:w="1152"/>
          </w:tcPr>
          <w:p>
            <w:pPr>
              <w:spacing w:after="20" w:before="20"/>
            </w:pPr>
            <w:r/>
            <w:r>
              <w:rPr>
                <w:rFonts w:ascii="Times New Roman" w:hAnsi="Times New Roman"/>
                <w:b w:val="0"/>
                <w:sz w:val="21"/>
              </w:rPr>
              <w:t>+3.21</w:t>
            </w:r>
          </w:p>
        </w:tc>
        <w:tc>
          <w:tcPr>
            <w:tcW w:type="dxa" w:w="1152"/>
          </w:tcPr>
          <w:p>
            <w:pPr>
              <w:spacing w:after="20" w:before="20"/>
            </w:pPr>
            <w:r/>
            <w:r>
              <w:rPr>
                <w:rFonts w:ascii="Times New Roman" w:hAnsi="Times New Roman"/>
                <w:b w:val="0"/>
                <w:sz w:val="21"/>
              </w:rPr>
              <w:t>+0.92</w:t>
            </w:r>
          </w:p>
        </w:tc>
        <w:tc>
          <w:tcPr>
            <w:tcW w:type="dxa" w:w="1296"/>
          </w:tcPr>
          <w:p>
            <w:pPr>
              <w:spacing w:after="20" w:before="20"/>
            </w:pPr>
            <w:r/>
            <w:r>
              <w:rPr>
                <w:rFonts w:ascii="Times New Roman" w:hAnsi="Times New Roman"/>
                <w:b w:val="0"/>
                <w:sz w:val="21"/>
              </w:rPr>
              <w:t>-2.29</w:t>
            </w:r>
          </w:p>
        </w:tc>
        <w:tc>
          <w:tcPr>
            <w:tcW w:type="dxa" w:w="1296"/>
          </w:tcPr>
          <w:p>
            <w:pPr>
              <w:spacing w:after="20" w:before="20"/>
            </w:pPr>
            <w:r/>
            <w:r>
              <w:rPr>
                <w:rFonts w:ascii="Times New Roman" w:hAnsi="Times New Roman"/>
                <w:b w:val="0"/>
                <w:sz w:val="21"/>
              </w:rPr>
              <w:t>+0.42</w:t>
            </w:r>
          </w:p>
        </w:tc>
      </w:tr>
      <w:tr>
        <w:tc>
          <w:tcPr>
            <w:tcW w:type="dxa" w:w="1152"/>
          </w:tcPr>
          <w:p>
            <w:pPr>
              <w:spacing w:after="20" w:before="20"/>
            </w:pPr>
            <w:r/>
            <w:r>
              <w:rPr>
                <w:rFonts w:ascii="Times New Roman" w:hAnsi="Times New Roman"/>
                <w:b w:val="0"/>
                <w:sz w:val="21"/>
              </w:rPr>
              <w:t>51685</w:t>
            </w:r>
          </w:p>
        </w:tc>
        <w:tc>
          <w:tcPr>
            <w:tcW w:type="dxa" w:w="2736"/>
          </w:tcPr>
          <w:p>
            <w:pPr>
              <w:spacing w:after="20" w:before="20"/>
            </w:pPr>
            <w:r/>
            <w:r>
              <w:rPr>
                <w:rFonts w:ascii="Times New Roman" w:hAnsi="Times New Roman"/>
                <w:b w:val="0"/>
                <w:sz w:val="21"/>
              </w:rPr>
              <w:t>Manassas Park, VA</w:t>
            </w:r>
          </w:p>
        </w:tc>
        <w:tc>
          <w:tcPr>
            <w:tcW w:type="dxa" w:w="1152"/>
          </w:tcPr>
          <w:p>
            <w:pPr>
              <w:spacing w:after="20" w:before="20"/>
            </w:pPr>
            <w:r/>
            <w:r>
              <w:rPr>
                <w:rFonts w:ascii="Times New Roman" w:hAnsi="Times New Roman"/>
                <w:b w:val="0"/>
                <w:sz w:val="21"/>
              </w:rPr>
              <w:t>+3.15</w:t>
            </w:r>
          </w:p>
        </w:tc>
        <w:tc>
          <w:tcPr>
            <w:tcW w:type="dxa" w:w="1152"/>
          </w:tcPr>
          <w:p>
            <w:pPr>
              <w:spacing w:after="20" w:before="20"/>
            </w:pPr>
            <w:r/>
            <w:r>
              <w:rPr>
                <w:rFonts w:ascii="Times New Roman" w:hAnsi="Times New Roman"/>
                <w:b w:val="0"/>
                <w:sz w:val="21"/>
              </w:rPr>
              <w:t>+0.99</w:t>
            </w:r>
          </w:p>
        </w:tc>
        <w:tc>
          <w:tcPr>
            <w:tcW w:type="dxa" w:w="1296"/>
          </w:tcPr>
          <w:p>
            <w:pPr>
              <w:spacing w:after="20" w:before="20"/>
            </w:pPr>
            <w:r/>
            <w:r>
              <w:rPr>
                <w:rFonts w:ascii="Times New Roman" w:hAnsi="Times New Roman"/>
                <w:b w:val="0"/>
                <w:sz w:val="21"/>
              </w:rPr>
              <w:t>-2.17</w:t>
            </w:r>
          </w:p>
        </w:tc>
        <w:tc>
          <w:tcPr>
            <w:tcW w:type="dxa" w:w="1296"/>
          </w:tcPr>
          <w:p>
            <w:pPr>
              <w:spacing w:after="20" w:before="20"/>
            </w:pPr>
            <w:r/>
            <w:r>
              <w:rPr>
                <w:rFonts w:ascii="Times New Roman" w:hAnsi="Times New Roman"/>
                <w:b w:val="0"/>
                <w:sz w:val="21"/>
              </w:rPr>
              <w:t>+2.88</w:t>
            </w:r>
          </w:p>
        </w:tc>
      </w:tr>
      <w:tr>
        <w:tc>
          <w:tcPr>
            <w:tcW w:type="dxa" w:w="1152"/>
          </w:tcPr>
          <w:p>
            <w:pPr>
              <w:spacing w:after="20" w:before="20"/>
            </w:pPr>
            <w:r/>
            <w:r>
              <w:rPr>
                <w:rFonts w:ascii="Times New Roman" w:hAnsi="Times New Roman"/>
                <w:b w:val="0"/>
                <w:sz w:val="21"/>
              </w:rPr>
              <w:t>35047</w:t>
            </w:r>
          </w:p>
        </w:tc>
        <w:tc>
          <w:tcPr>
            <w:tcW w:type="dxa" w:w="2736"/>
          </w:tcPr>
          <w:p>
            <w:pPr>
              <w:spacing w:after="20" w:before="20"/>
            </w:pPr>
            <w:r/>
            <w:r>
              <w:rPr>
                <w:rFonts w:ascii="Times New Roman" w:hAnsi="Times New Roman"/>
                <w:b w:val="0"/>
                <w:sz w:val="21"/>
              </w:rPr>
              <w:t>San Miguel, NM</w:t>
            </w:r>
          </w:p>
        </w:tc>
        <w:tc>
          <w:tcPr>
            <w:tcW w:type="dxa" w:w="1152"/>
          </w:tcPr>
          <w:p>
            <w:pPr>
              <w:spacing w:after="20" w:before="20"/>
            </w:pPr>
            <w:r/>
            <w:r>
              <w:rPr>
                <w:rFonts w:ascii="Times New Roman" w:hAnsi="Times New Roman"/>
                <w:b w:val="0"/>
                <w:sz w:val="21"/>
              </w:rPr>
              <w:t>+3.13</w:t>
            </w:r>
          </w:p>
        </w:tc>
        <w:tc>
          <w:tcPr>
            <w:tcW w:type="dxa" w:w="1152"/>
          </w:tcPr>
          <w:p>
            <w:pPr>
              <w:spacing w:after="20" w:before="20"/>
            </w:pPr>
            <w:r/>
            <w:r>
              <w:rPr>
                <w:rFonts w:ascii="Times New Roman" w:hAnsi="Times New Roman"/>
                <w:b w:val="0"/>
                <w:sz w:val="21"/>
              </w:rPr>
              <w:t>+1.89</w:t>
            </w:r>
          </w:p>
        </w:tc>
        <w:tc>
          <w:tcPr>
            <w:tcW w:type="dxa" w:w="1296"/>
          </w:tcPr>
          <w:p>
            <w:pPr>
              <w:spacing w:after="20" w:before="20"/>
            </w:pPr>
            <w:r/>
            <w:r>
              <w:rPr>
                <w:rFonts w:ascii="Times New Roman" w:hAnsi="Times New Roman"/>
                <w:b w:val="0"/>
                <w:sz w:val="21"/>
              </w:rPr>
              <w:t>-1.24</w:t>
            </w:r>
          </w:p>
        </w:tc>
        <w:tc>
          <w:tcPr>
            <w:tcW w:type="dxa" w:w="1296"/>
          </w:tcPr>
          <w:p>
            <w:pPr>
              <w:spacing w:after="20" w:before="20"/>
            </w:pPr>
            <w:r/>
            <w:r>
              <w:rPr>
                <w:rFonts w:ascii="Times New Roman" w:hAnsi="Times New Roman"/>
                <w:b w:val="0"/>
                <w:sz w:val="21"/>
              </w:rPr>
              <w:t>+2.60</w:t>
            </w:r>
          </w:p>
        </w:tc>
      </w:tr>
    </w:tbl>
    <w:p>
      <w:pPr>
        <w:spacing w:after="40"/>
      </w:pPr>
    </w:p>
    <w:p>
      <w:pPr>
        <w:spacing w:before="160" w:after="40"/>
      </w:pPr>
      <w:r>
        <w:rPr>
          <w:rFonts w:ascii="Times New Roman" w:hAnsi="Times New Roman"/>
          <w:b/>
          <w:sz w:val="24"/>
        </w:rPr>
        <w:t>The critic on the full data (every LLM-proposed pair)</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160"/>
          </w:tcPr>
          <w:p>
            <w:pPr>
              <w:spacing w:after="20" w:before="20"/>
            </w:pPr>
            <w:r/>
            <w:r>
              <w:rPr>
                <w:rFonts w:ascii="Times New Roman" w:hAnsi="Times New Roman"/>
                <w:b/>
                <w:sz w:val="21"/>
              </w:rPr>
              <w:t>Need variable</w:t>
            </w:r>
          </w:p>
        </w:tc>
        <w:tc>
          <w:tcPr>
            <w:tcW w:type="dxa" w:w="2304"/>
          </w:tcPr>
          <w:p>
            <w:pPr>
              <w:spacing w:after="20" w:before="20"/>
            </w:pPr>
            <w:r/>
            <w:r>
              <w:rPr>
                <w:rFonts w:ascii="Times New Roman" w:hAnsi="Times New Roman"/>
                <w:b/>
                <w:sz w:val="21"/>
              </w:rPr>
              <w:t>Capacity variable</w:t>
            </w:r>
          </w:p>
        </w:tc>
        <w:tc>
          <w:tcPr>
            <w:tcW w:type="dxa" w:w="1440"/>
          </w:tcPr>
          <w:p>
            <w:pPr>
              <w:spacing w:after="20" w:before="20"/>
            </w:pPr>
            <w:r/>
            <w:r>
              <w:rPr>
                <w:rFonts w:ascii="Times New Roman" w:hAnsi="Times New Roman"/>
                <w:b/>
                <w:sz w:val="21"/>
              </w:rPr>
              <w:t>Spearman rho</w:t>
            </w:r>
          </w:p>
        </w:tc>
        <w:tc>
          <w:tcPr>
            <w:tcW w:type="dxa" w:w="1368"/>
          </w:tcPr>
          <w:p>
            <w:pPr>
              <w:spacing w:after="20" w:before="20"/>
            </w:pPr>
            <w:r/>
            <w:r>
              <w:rPr>
                <w:rFonts w:ascii="Times New Roman" w:hAnsi="Times New Roman"/>
                <w:b/>
                <w:sz w:val="21"/>
              </w:rPr>
              <w:t>BH q</w:t>
            </w:r>
          </w:p>
        </w:tc>
        <w:tc>
          <w:tcPr>
            <w:tcW w:type="dxa" w:w="1296"/>
          </w:tcPr>
          <w:p>
            <w:pPr>
              <w:spacing w:after="20" w:before="20"/>
            </w:pPr>
            <w:r/>
            <w:r>
              <w:rPr>
                <w:rFonts w:ascii="Times New Roman" w:hAnsi="Times New Roman"/>
                <w:b/>
                <w:sz w:val="21"/>
              </w:rPr>
              <w:t>Perm. p</w:t>
            </w:r>
          </w:p>
        </w:tc>
        <w:tc>
          <w:tcPr>
            <w:tcW w:type="dxa" w:w="1872"/>
          </w:tcPr>
          <w:p>
            <w:pPr>
              <w:spacing w:after="20" w:before="20"/>
            </w:pPr>
            <w:r/>
            <w:r>
              <w:rPr>
                <w:rFonts w:ascii="Times New Roman" w:hAnsi="Times New Roman"/>
                <w:b/>
                <w:sz w:val="21"/>
              </w:rPr>
              <w:t>Verdict</w:t>
            </w:r>
          </w:p>
        </w:tc>
      </w:tr>
      <w:tr>
        <w:tc>
          <w:tcPr>
            <w:tcW w:type="dxa" w:w="2160"/>
          </w:tcPr>
          <w:p>
            <w:pPr>
              <w:spacing w:after="20" w:before="20"/>
            </w:pPr>
            <w:r/>
            <w:r>
              <w:rPr>
                <w:rFonts w:ascii="Times New Roman" w:hAnsi="Times New Roman"/>
                <w:b w:val="0"/>
                <w:sz w:val="21"/>
              </w:rPr>
              <w:t>unemployment</w:t>
            </w:r>
          </w:p>
        </w:tc>
        <w:tc>
          <w:tcPr>
            <w:tcW w:type="dxa" w:w="2304"/>
          </w:tcPr>
          <w:p>
            <w:pPr>
              <w:spacing w:after="20" w:before="20"/>
            </w:pPr>
            <w:r/>
            <w:r>
              <w:rPr>
                <w:rFonts w:ascii="Times New Roman" w:hAnsi="Times New Roman"/>
                <w:b w:val="0"/>
                <w:sz w:val="21"/>
              </w:rPr>
              <w:t>ngo_per_10k</w:t>
            </w:r>
          </w:p>
        </w:tc>
        <w:tc>
          <w:tcPr>
            <w:tcW w:type="dxa" w:w="1440"/>
          </w:tcPr>
          <w:p>
            <w:pPr>
              <w:spacing w:after="20" w:before="20"/>
            </w:pPr>
            <w:r/>
            <w:r>
              <w:rPr>
                <w:rFonts w:ascii="Times New Roman" w:hAnsi="Times New Roman"/>
                <w:b w:val="0"/>
                <w:sz w:val="21"/>
              </w:rPr>
              <w:t>-0.38</w:t>
            </w:r>
          </w:p>
        </w:tc>
        <w:tc>
          <w:tcPr>
            <w:tcW w:type="dxa" w:w="1368"/>
          </w:tcPr>
          <w:p>
            <w:pPr>
              <w:spacing w:after="20" w:before="20"/>
            </w:pPr>
            <w:r/>
            <w:r>
              <w:rPr>
                <w:rFonts w:ascii="Times New Roman" w:hAnsi="Times New Roman"/>
                <w:b w:val="0"/>
                <w:sz w:val="21"/>
              </w:rPr>
              <w:t>6.4e-103</w:t>
            </w:r>
          </w:p>
        </w:tc>
        <w:tc>
          <w:tcPr>
            <w:tcW w:type="dxa" w:w="1296"/>
          </w:tcPr>
          <w:p>
            <w:pPr>
              <w:spacing w:after="20" w:before="20"/>
            </w:pPr>
            <w:r/>
            <w:r>
              <w:rPr>
                <w:rFonts w:ascii="Times New Roman" w:hAnsi="Times New Roman"/>
                <w:b w:val="0"/>
                <w:sz w:val="21"/>
              </w:rPr>
              <w:t>0.0005</w:t>
            </w:r>
          </w:p>
        </w:tc>
        <w:tc>
          <w:tcPr>
            <w:tcW w:type="dxa" w:w="1872"/>
          </w:tcPr>
          <w:p>
            <w:pPr>
              <w:spacing w:after="20" w:before="20"/>
            </w:pPr>
            <w:r/>
            <w:r>
              <w:rPr>
                <w:rFonts w:ascii="Times New Roman" w:hAnsi="Times New Roman"/>
                <w:b w:val="0"/>
                <w:sz w:val="21"/>
              </w:rPr>
              <w:t>supported</w:t>
            </w:r>
          </w:p>
        </w:tc>
      </w:tr>
      <w:tr>
        <w:tc>
          <w:tcPr>
            <w:tcW w:type="dxa" w:w="2160"/>
          </w:tcPr>
          <w:p>
            <w:pPr>
              <w:spacing w:after="20" w:before="20"/>
            </w:pPr>
            <w:r/>
            <w:r>
              <w:rPr>
                <w:rFonts w:ascii="Times New Roman" w:hAnsi="Times New Roman"/>
                <w:b w:val="0"/>
                <w:sz w:val="21"/>
              </w:rPr>
              <w:t>med_household_income</w:t>
            </w:r>
          </w:p>
        </w:tc>
        <w:tc>
          <w:tcPr>
            <w:tcW w:type="dxa" w:w="2304"/>
          </w:tcPr>
          <w:p>
            <w:pPr>
              <w:spacing w:after="20" w:before="20"/>
            </w:pPr>
            <w:r/>
            <w:r>
              <w:rPr>
                <w:rFonts w:ascii="Times New Roman" w:hAnsi="Times New Roman"/>
                <w:b w:val="0"/>
                <w:sz w:val="21"/>
              </w:rPr>
              <w:t>revenue_per_capita</w:t>
            </w:r>
          </w:p>
        </w:tc>
        <w:tc>
          <w:tcPr>
            <w:tcW w:type="dxa" w:w="1440"/>
          </w:tcPr>
          <w:p>
            <w:pPr>
              <w:spacing w:after="20" w:before="20"/>
            </w:pPr>
            <w:r/>
            <w:r>
              <w:rPr>
                <w:rFonts w:ascii="Times New Roman" w:hAnsi="Times New Roman"/>
                <w:b w:val="0"/>
                <w:sz w:val="21"/>
              </w:rPr>
              <w:t>+0.27</w:t>
            </w:r>
          </w:p>
        </w:tc>
        <w:tc>
          <w:tcPr>
            <w:tcW w:type="dxa" w:w="1368"/>
          </w:tcPr>
          <w:p>
            <w:pPr>
              <w:spacing w:after="20" w:before="20"/>
            </w:pPr>
            <w:r/>
            <w:r>
              <w:rPr>
                <w:rFonts w:ascii="Times New Roman" w:hAnsi="Times New Roman"/>
                <w:b w:val="0"/>
                <w:sz w:val="21"/>
              </w:rPr>
              <w:t>6.3e-50</w:t>
            </w:r>
          </w:p>
        </w:tc>
        <w:tc>
          <w:tcPr>
            <w:tcW w:type="dxa" w:w="1296"/>
          </w:tcPr>
          <w:p>
            <w:pPr>
              <w:spacing w:after="20" w:before="20"/>
            </w:pPr>
            <w:r/>
            <w:r>
              <w:rPr>
                <w:rFonts w:ascii="Times New Roman" w:hAnsi="Times New Roman"/>
                <w:b w:val="0"/>
                <w:sz w:val="21"/>
              </w:rPr>
              <w:t>0.0005</w:t>
            </w:r>
          </w:p>
        </w:tc>
        <w:tc>
          <w:tcPr>
            <w:tcW w:type="dxa" w:w="1872"/>
          </w:tcPr>
          <w:p>
            <w:pPr>
              <w:spacing w:after="20" w:before="20"/>
            </w:pPr>
            <w:r/>
            <w:r>
              <w:rPr>
                <w:rFonts w:ascii="Times New Roman" w:hAnsi="Times New Roman"/>
                <w:b w:val="0"/>
                <w:sz w:val="21"/>
              </w:rPr>
              <w:t>supported</w:t>
            </w:r>
          </w:p>
        </w:tc>
      </w:tr>
      <w:tr>
        <w:tc>
          <w:tcPr>
            <w:tcW w:type="dxa" w:w="2160"/>
          </w:tcPr>
          <w:p>
            <w:pPr>
              <w:spacing w:after="20" w:before="20"/>
            </w:pPr>
            <w:r/>
            <w:r>
              <w:rPr>
                <w:rFonts w:ascii="Times New Roman" w:hAnsi="Times New Roman"/>
                <w:b w:val="0"/>
                <w:sz w:val="21"/>
              </w:rPr>
              <w:t>poverty_rate</w:t>
            </w:r>
          </w:p>
        </w:tc>
        <w:tc>
          <w:tcPr>
            <w:tcW w:type="dxa" w:w="2304"/>
          </w:tcPr>
          <w:p>
            <w:pPr>
              <w:spacing w:after="20" w:before="20"/>
            </w:pPr>
            <w:r/>
            <w:r>
              <w:rPr>
                <w:rFonts w:ascii="Times New Roman" w:hAnsi="Times New Roman"/>
                <w:b w:val="0"/>
                <w:sz w:val="21"/>
              </w:rPr>
              <w:t>revenue_per_capita</w:t>
            </w:r>
          </w:p>
        </w:tc>
        <w:tc>
          <w:tcPr>
            <w:tcW w:type="dxa" w:w="1440"/>
          </w:tcPr>
          <w:p>
            <w:pPr>
              <w:spacing w:after="20" w:before="20"/>
            </w:pPr>
            <w:r/>
            <w:r>
              <w:rPr>
                <w:rFonts w:ascii="Times New Roman" w:hAnsi="Times New Roman"/>
                <w:b w:val="0"/>
                <w:sz w:val="21"/>
              </w:rPr>
              <w:t>-0.26</w:t>
            </w:r>
          </w:p>
        </w:tc>
        <w:tc>
          <w:tcPr>
            <w:tcW w:type="dxa" w:w="1368"/>
          </w:tcPr>
          <w:p>
            <w:pPr>
              <w:spacing w:after="20" w:before="20"/>
            </w:pPr>
            <w:r/>
            <w:r>
              <w:rPr>
                <w:rFonts w:ascii="Times New Roman" w:hAnsi="Times New Roman"/>
                <w:b w:val="0"/>
                <w:sz w:val="21"/>
              </w:rPr>
              <w:t>1.8e-45</w:t>
            </w:r>
          </w:p>
        </w:tc>
        <w:tc>
          <w:tcPr>
            <w:tcW w:type="dxa" w:w="1296"/>
          </w:tcPr>
          <w:p>
            <w:pPr>
              <w:spacing w:after="20" w:before="20"/>
            </w:pPr>
            <w:r/>
            <w:r>
              <w:rPr>
                <w:rFonts w:ascii="Times New Roman" w:hAnsi="Times New Roman"/>
                <w:b w:val="0"/>
                <w:sz w:val="21"/>
              </w:rPr>
              <w:t>0.0005</w:t>
            </w:r>
          </w:p>
        </w:tc>
        <w:tc>
          <w:tcPr>
            <w:tcW w:type="dxa" w:w="1872"/>
          </w:tcPr>
          <w:p>
            <w:pPr>
              <w:spacing w:after="20" w:before="20"/>
            </w:pPr>
            <w:r/>
            <w:r>
              <w:rPr>
                <w:rFonts w:ascii="Times New Roman" w:hAnsi="Times New Roman"/>
                <w:b w:val="0"/>
                <w:sz w:val="21"/>
              </w:rPr>
              <w:t>supported</w:t>
            </w:r>
          </w:p>
        </w:tc>
      </w:tr>
      <w:tr>
        <w:tc>
          <w:tcPr>
            <w:tcW w:type="dxa" w:w="2160"/>
          </w:tcPr>
          <w:p>
            <w:pPr>
              <w:spacing w:after="20" w:before="20"/>
            </w:pPr>
            <w:r/>
            <w:r>
              <w:rPr>
                <w:rFonts w:ascii="Times New Roman" w:hAnsi="Times New Roman"/>
                <w:b w:val="0"/>
                <w:sz w:val="21"/>
              </w:rPr>
              <w:t>dac_tract_pct</w:t>
            </w:r>
          </w:p>
        </w:tc>
        <w:tc>
          <w:tcPr>
            <w:tcW w:type="dxa" w:w="2304"/>
          </w:tcPr>
          <w:p>
            <w:pPr>
              <w:spacing w:after="20" w:before="20"/>
            </w:pPr>
            <w:r/>
            <w:r>
              <w:rPr>
                <w:rFonts w:ascii="Times New Roman" w:hAnsi="Times New Roman"/>
                <w:b w:val="0"/>
                <w:sz w:val="21"/>
              </w:rPr>
              <w:t>food_ngo_per_10k</w:t>
            </w:r>
          </w:p>
        </w:tc>
        <w:tc>
          <w:tcPr>
            <w:tcW w:type="dxa" w:w="1440"/>
          </w:tcPr>
          <w:p>
            <w:pPr>
              <w:spacing w:after="20" w:before="20"/>
            </w:pPr>
            <w:r/>
            <w:r>
              <w:rPr>
                <w:rFonts w:ascii="Times New Roman" w:hAnsi="Times New Roman"/>
                <w:b w:val="0"/>
                <w:sz w:val="21"/>
              </w:rPr>
              <w:t>-0.24</w:t>
            </w:r>
          </w:p>
        </w:tc>
        <w:tc>
          <w:tcPr>
            <w:tcW w:type="dxa" w:w="1368"/>
          </w:tcPr>
          <w:p>
            <w:pPr>
              <w:spacing w:after="20" w:before="20"/>
            </w:pPr>
            <w:r/>
            <w:r>
              <w:rPr>
                <w:rFonts w:ascii="Times New Roman" w:hAnsi="Times New Roman"/>
                <w:b w:val="0"/>
                <w:sz w:val="21"/>
              </w:rPr>
              <w:t>7.9e-41</w:t>
            </w:r>
          </w:p>
        </w:tc>
        <w:tc>
          <w:tcPr>
            <w:tcW w:type="dxa" w:w="1296"/>
          </w:tcPr>
          <w:p>
            <w:pPr>
              <w:spacing w:after="20" w:before="20"/>
            </w:pPr>
            <w:r/>
            <w:r>
              <w:rPr>
                <w:rFonts w:ascii="Times New Roman" w:hAnsi="Times New Roman"/>
                <w:b w:val="0"/>
                <w:sz w:val="21"/>
              </w:rPr>
              <w:t>0.0005</w:t>
            </w:r>
          </w:p>
        </w:tc>
        <w:tc>
          <w:tcPr>
            <w:tcW w:type="dxa" w:w="1872"/>
          </w:tcPr>
          <w:p>
            <w:pPr>
              <w:spacing w:after="20" w:before="20"/>
            </w:pPr>
            <w:r/>
            <w:r>
              <w:rPr>
                <w:rFonts w:ascii="Times New Roman" w:hAnsi="Times New Roman"/>
                <w:b w:val="0"/>
                <w:sz w:val="21"/>
              </w:rPr>
              <w:t>supported</w:t>
            </w:r>
          </w:p>
        </w:tc>
      </w:tr>
      <w:tr>
        <w:tc>
          <w:tcPr>
            <w:tcW w:type="dxa" w:w="2160"/>
          </w:tcPr>
          <w:p>
            <w:pPr>
              <w:spacing w:after="20" w:before="20"/>
            </w:pPr>
            <w:r/>
            <w:r>
              <w:rPr>
                <w:rFonts w:ascii="Times New Roman" w:hAnsi="Times New Roman"/>
                <w:b w:val="0"/>
                <w:sz w:val="21"/>
              </w:rPr>
              <w:t>poverty_rate</w:t>
            </w:r>
          </w:p>
        </w:tc>
        <w:tc>
          <w:tcPr>
            <w:tcW w:type="dxa" w:w="2304"/>
          </w:tcPr>
          <w:p>
            <w:pPr>
              <w:spacing w:after="20" w:before="20"/>
            </w:pPr>
            <w:r/>
            <w:r>
              <w:rPr>
                <w:rFonts w:ascii="Times New Roman" w:hAnsi="Times New Roman"/>
                <w:b w:val="0"/>
                <w:sz w:val="21"/>
              </w:rPr>
              <w:t>ngo_per_10k</w:t>
            </w:r>
          </w:p>
        </w:tc>
        <w:tc>
          <w:tcPr>
            <w:tcW w:type="dxa" w:w="1440"/>
          </w:tcPr>
          <w:p>
            <w:pPr>
              <w:spacing w:after="20" w:before="20"/>
            </w:pPr>
            <w:r/>
            <w:r>
              <w:rPr>
                <w:rFonts w:ascii="Times New Roman" w:hAnsi="Times New Roman"/>
                <w:b w:val="0"/>
                <w:sz w:val="21"/>
              </w:rPr>
              <w:t>-0.23</w:t>
            </w:r>
          </w:p>
        </w:tc>
        <w:tc>
          <w:tcPr>
            <w:tcW w:type="dxa" w:w="1368"/>
          </w:tcPr>
          <w:p>
            <w:pPr>
              <w:spacing w:after="20" w:before="20"/>
            </w:pPr>
            <w:r/>
            <w:r>
              <w:rPr>
                <w:rFonts w:ascii="Times New Roman" w:hAnsi="Times New Roman"/>
                <w:b w:val="0"/>
                <w:sz w:val="21"/>
              </w:rPr>
              <w:t>7.7e-36</w:t>
            </w:r>
          </w:p>
        </w:tc>
        <w:tc>
          <w:tcPr>
            <w:tcW w:type="dxa" w:w="1296"/>
          </w:tcPr>
          <w:p>
            <w:pPr>
              <w:spacing w:after="20" w:before="20"/>
            </w:pPr>
            <w:r/>
            <w:r>
              <w:rPr>
                <w:rFonts w:ascii="Times New Roman" w:hAnsi="Times New Roman"/>
                <w:b w:val="0"/>
                <w:sz w:val="21"/>
              </w:rPr>
              <w:t>1.0000</w:t>
            </w:r>
          </w:p>
        </w:tc>
        <w:tc>
          <w:tcPr>
            <w:tcW w:type="dxa" w:w="1872"/>
          </w:tcPr>
          <w:p>
            <w:pPr>
              <w:spacing w:after="20" w:before="20"/>
            </w:pPr>
            <w:r/>
            <w:r>
              <w:rPr>
                <w:rFonts w:ascii="Times New Roman" w:hAnsi="Times New Roman"/>
                <w:b w:val="0"/>
                <w:sz w:val="21"/>
              </w:rPr>
              <w:t>weak_direction</w:t>
            </w:r>
          </w:p>
        </w:tc>
      </w:tr>
      <w:tr>
        <w:tc>
          <w:tcPr>
            <w:tcW w:type="dxa" w:w="2160"/>
          </w:tcPr>
          <w:p>
            <w:pPr>
              <w:spacing w:after="20" w:before="20"/>
            </w:pPr>
            <w:r/>
            <w:r>
              <w:rPr>
                <w:rFonts w:ascii="Times New Roman" w:hAnsi="Times New Roman"/>
                <w:b w:val="0"/>
                <w:sz w:val="21"/>
              </w:rPr>
              <w:t>avg_food_desert_pct</w:t>
            </w:r>
          </w:p>
        </w:tc>
        <w:tc>
          <w:tcPr>
            <w:tcW w:type="dxa" w:w="2304"/>
          </w:tcPr>
          <w:p>
            <w:pPr>
              <w:spacing w:after="20" w:before="20"/>
            </w:pPr>
            <w:r/>
            <w:r>
              <w:rPr>
                <w:rFonts w:ascii="Times New Roman" w:hAnsi="Times New Roman"/>
                <w:b w:val="0"/>
                <w:sz w:val="21"/>
              </w:rPr>
              <w:t>food_ngo_per_10k</w:t>
            </w:r>
          </w:p>
        </w:tc>
        <w:tc>
          <w:tcPr>
            <w:tcW w:type="dxa" w:w="1440"/>
          </w:tcPr>
          <w:p>
            <w:pPr>
              <w:spacing w:after="20" w:before="20"/>
            </w:pPr>
            <w:r/>
            <w:r>
              <w:rPr>
                <w:rFonts w:ascii="Times New Roman" w:hAnsi="Times New Roman"/>
                <w:b w:val="0"/>
                <w:sz w:val="21"/>
              </w:rPr>
              <w:t>-0.05</w:t>
            </w:r>
          </w:p>
        </w:tc>
        <w:tc>
          <w:tcPr>
            <w:tcW w:type="dxa" w:w="1368"/>
          </w:tcPr>
          <w:p>
            <w:pPr>
              <w:spacing w:after="20" w:before="20"/>
            </w:pPr>
            <w:r/>
            <w:r>
              <w:rPr>
                <w:rFonts w:ascii="Times New Roman" w:hAnsi="Times New Roman"/>
                <w:b w:val="0"/>
                <w:sz w:val="21"/>
              </w:rPr>
              <w:t>1.4e-02</w:t>
            </w:r>
          </w:p>
        </w:tc>
        <w:tc>
          <w:tcPr>
            <w:tcW w:type="dxa" w:w="1296"/>
          </w:tcPr>
          <w:p>
            <w:pPr>
              <w:spacing w:after="20" w:before="20"/>
            </w:pPr>
            <w:r/>
            <w:r>
              <w:rPr>
                <w:rFonts w:ascii="Times New Roman" w:hAnsi="Times New Roman"/>
                <w:b w:val="0"/>
                <w:sz w:val="21"/>
              </w:rPr>
              <w:t>0.9990</w:t>
            </w:r>
          </w:p>
        </w:tc>
        <w:tc>
          <w:tcPr>
            <w:tcW w:type="dxa" w:w="1872"/>
          </w:tcPr>
          <w:p>
            <w:pPr>
              <w:spacing w:after="20" w:before="20"/>
            </w:pPr>
            <w:r/>
            <w:r>
              <w:rPr>
                <w:rFonts w:ascii="Times New Roman" w:hAnsi="Times New Roman"/>
                <w:b w:val="0"/>
                <w:sz w:val="21"/>
              </w:rPr>
              <w:t>weak_direction</w:t>
            </w:r>
          </w:p>
        </w:tc>
      </w:tr>
      <w:tr>
        <w:tc>
          <w:tcPr>
            <w:tcW w:type="dxa" w:w="2160"/>
          </w:tcPr>
          <w:p>
            <w:pPr>
              <w:spacing w:after="20" w:before="20"/>
            </w:pPr>
            <w:r/>
            <w:r>
              <w:rPr>
                <w:rFonts w:ascii="Times New Roman" w:hAnsi="Times New Roman"/>
                <w:b w:val="0"/>
                <w:sz w:val="21"/>
              </w:rPr>
              <w:t>avg_housing_burden</w:t>
            </w:r>
          </w:p>
        </w:tc>
        <w:tc>
          <w:tcPr>
            <w:tcW w:type="dxa" w:w="2304"/>
          </w:tcPr>
          <w:p>
            <w:pPr>
              <w:spacing w:after="20" w:before="20"/>
            </w:pPr>
            <w:r/>
            <w:r>
              <w:rPr>
                <w:rFonts w:ascii="Times New Roman" w:hAnsi="Times New Roman"/>
                <w:b w:val="0"/>
                <w:sz w:val="21"/>
              </w:rPr>
              <w:t>assets_per_capita</w:t>
            </w:r>
          </w:p>
        </w:tc>
        <w:tc>
          <w:tcPr>
            <w:tcW w:type="dxa" w:w="1440"/>
          </w:tcPr>
          <w:p>
            <w:pPr>
              <w:spacing w:after="20" w:before="20"/>
            </w:pPr>
            <w:r/>
            <w:r>
              <w:rPr>
                <w:rFonts w:ascii="Times New Roman" w:hAnsi="Times New Roman"/>
                <w:b w:val="0"/>
                <w:sz w:val="21"/>
              </w:rPr>
              <w:t>-0.04</w:t>
            </w:r>
          </w:p>
        </w:tc>
        <w:tc>
          <w:tcPr>
            <w:tcW w:type="dxa" w:w="1368"/>
          </w:tcPr>
          <w:p>
            <w:pPr>
              <w:spacing w:after="20" w:before="20"/>
            </w:pPr>
            <w:r/>
            <w:r>
              <w:rPr>
                <w:rFonts w:ascii="Times New Roman" w:hAnsi="Times New Roman"/>
                <w:b w:val="0"/>
                <w:sz w:val="21"/>
              </w:rPr>
              <w:t>5.3e-02</w:t>
            </w:r>
          </w:p>
        </w:tc>
        <w:tc>
          <w:tcPr>
            <w:tcW w:type="dxa" w:w="1296"/>
          </w:tcPr>
          <w:p>
            <w:pPr>
              <w:spacing w:after="20" w:before="20"/>
            </w:pPr>
            <w:r/>
            <w:r>
              <w:rPr>
                <w:rFonts w:ascii="Times New Roman" w:hAnsi="Times New Roman"/>
                <w:b w:val="0"/>
                <w:sz w:val="21"/>
              </w:rPr>
              <w:t>0.9840</w:t>
            </w:r>
          </w:p>
        </w:tc>
        <w:tc>
          <w:tcPr>
            <w:tcW w:type="dxa" w:w="1872"/>
          </w:tcPr>
          <w:p>
            <w:pPr>
              <w:spacing w:after="20" w:before="20"/>
            </w:pPr>
            <w:r/>
            <w:r>
              <w:rPr>
                <w:rFonts w:ascii="Times New Roman" w:hAnsi="Times New Roman"/>
                <w:b w:val="0"/>
                <w:sz w:val="21"/>
              </w:rPr>
              <w:t>unsupported</w:t>
            </w:r>
          </w:p>
        </w:tc>
      </w:tr>
    </w:tbl>
    <w:p>
      <w:pPr>
        <w:spacing w:after="40"/>
      </w:pPr>
    </w:p>
    <w:p>
      <w:pPr>
        <w:spacing w:after="120"/>
      </w:pPr>
      <w:r>
        <w:rPr>
          <w:rFonts w:ascii="Times New Roman" w:hAnsi="Times New Roman"/>
          <w:b/>
          <w:sz w:val="22"/>
        </w:rPr>
        <w:t xml:space="preserve">Committed figures: </w:t>
      </w:r>
      <w:r>
        <w:rPr>
          <w:rFonts w:ascii="Times New Roman" w:hAnsi="Times New Roman"/>
          <w:b w:val="0"/>
          <w:sz w:val="22"/>
        </w:rPr>
        <w:t>data/output/figures/ holds the top-gap bar chart (top_gap_counties.png), the need-versus-capacity scatter (need_vs_capacity.png), the gap-score distribution (gap_distribution.png), the Spearman correlation heatmap (correlation_heatmap.png), the general and food-specific county choropleths (gap_score_choropleth_county.png and food_gap_score_choropleth_county.png), the state cartogram (gap_cartogram_states.png), and the per-state truncation-bias chart (truncation_bias.png).</w:t>
      </w:r>
    </w:p>
    <w:p>
      <w:pPr>
        <w:spacing w:before="240" w:after="80"/>
      </w:pPr>
      <w:r>
        <w:rPr>
          <w:rFonts w:ascii="Times New Roman" w:hAnsi="Times New Roman"/>
          <w:b/>
          <w:sz w:val="30"/>
        </w:rPr>
        <w:t>Skill Learning Report</w:t>
      </w:r>
    </w:p>
    <w:p>
      <w:pPr>
        <w:pStyle w:val="ListBullet"/>
      </w:pPr>
      <w:r>
        <w:rPr>
          <w:rFonts w:ascii="Times New Roman" w:hAnsi="Times New Roman"/>
          <w:b/>
          <w:sz w:val="22"/>
        </w:rPr>
        <w:t xml:space="preserve">Panel econometrics (new): </w:t>
      </w:r>
      <w:r>
        <w:rPr>
          <w:rFonts w:ascii="Times New Roman" w:hAnsi="Times New Roman"/>
          <w:b w:val="0"/>
          <w:sz w:val="22"/>
        </w:rPr>
        <w:t>implementing within-transform fixed effects and cluster-robust (CR1) inference from first principles, verifying the slope against an explicit dummy-variable regression, and learning that the fixed-effects versus pooled contrast and the raw versus transformed sensitivity are the honest way to present a slope.</w:t>
      </w:r>
    </w:p>
    <w:p>
      <w:pPr>
        <w:pStyle w:val="ListBullet"/>
      </w:pPr>
      <w:r>
        <w:rPr>
          <w:rFonts w:ascii="Times New Roman" w:hAnsi="Times New Roman"/>
          <w:b/>
          <w:sz w:val="22"/>
        </w:rPr>
        <w:t xml:space="preserve">Auditing AI-generated code (new): </w:t>
      </w:r>
      <w:r>
        <w:rPr>
          <w:rFonts w:ascii="Times New Roman" w:hAnsi="Times New Roman"/>
          <w:b w:val="0"/>
          <w:sz w:val="22"/>
        </w:rPr>
        <w:t>treating a benchmark implementation as a claim to verify rather than a patch to merge; the zero-recovery finding came from running it on real data and reading its fixtures critically.</w:t>
      </w:r>
    </w:p>
    <w:p>
      <w:pPr>
        <w:pStyle w:val="ListBullet"/>
      </w:pPr>
      <w:r>
        <w:rPr>
          <w:rFonts w:ascii="Times New Roman" w:hAnsi="Times New Roman"/>
          <w:b/>
          <w:sz w:val="22"/>
        </w:rPr>
        <w:t xml:space="preserve">Data forensics at scale: </w:t>
      </w:r>
      <w:r>
        <w:rPr>
          <w:rFonts w:ascii="Times New Roman" w:hAnsi="Times New Roman"/>
          <w:b w:val="0"/>
          <w:sz w:val="22"/>
        </w:rPr>
        <w:t>measuring truncation bias against ground truth, diagnosing double-encoded text in a provided lookup, and validating a 3.4 million row delivery against externally verified anchors.</w:t>
      </w:r>
    </w:p>
    <w:p>
      <w:pPr>
        <w:pStyle w:val="ListBullet"/>
      </w:pPr>
      <w:r>
        <w:rPr>
          <w:rFonts w:ascii="Times New Roman" w:hAnsi="Times New Roman"/>
          <w:b/>
          <w:sz w:val="22"/>
        </w:rPr>
        <w:t xml:space="preserve">Geospatial rendering without GIS dependencies (new): </w:t>
      </w:r>
      <w:r>
        <w:rPr>
          <w:rFonts w:ascii="Times New Roman" w:hAnsi="Times New Roman"/>
          <w:b w:val="0"/>
          <w:sz w:val="22"/>
        </w:rPr>
        <w:t>parsing GeoJSON and drawing county polygons with matplotlib primitives, with machine-checked county accounting instead of visual trust.</w:t>
      </w:r>
    </w:p>
    <w:p>
      <w:pPr>
        <w:pStyle w:val="ListBullet"/>
      </w:pPr>
      <w:r>
        <w:rPr>
          <w:rFonts w:ascii="Times New Roman" w:hAnsi="Times New Roman"/>
          <w:b/>
          <w:sz w:val="22"/>
        </w:rPr>
        <w:t xml:space="preserve">Reproducibility engineering: </w:t>
      </w:r>
      <w:r>
        <w:rPr>
          <w:rFonts w:ascii="Times New Roman" w:hAnsi="Times New Roman"/>
          <w:b w:val="0"/>
          <w:sz w:val="22"/>
        </w:rPr>
        <w:t>hash-bound offline LLM artifacts, provenance recording, and a verification suite that re-derives every reported number with no API key.</w:t>
      </w:r>
    </w:p>
    <w:p>
      <w:pPr>
        <w:spacing w:before="240" w:after="80"/>
      </w:pPr>
      <w:r>
        <w:rPr>
          <w:rFonts w:ascii="Times New Roman" w:hAnsi="Times New Roman"/>
          <w:b/>
          <w:sz w:val="30"/>
        </w:rPr>
        <w:t>Self-Evaluation</w:t>
      </w:r>
    </w:p>
    <w:p>
      <w:pPr>
        <w:pStyle w:val="ListBullet"/>
      </w:pPr>
      <w:r>
        <w:rPr>
          <w:rFonts w:ascii="Times New Roman" w:hAnsi="Times New Roman"/>
          <w:b/>
          <w:sz w:val="22"/>
        </w:rPr>
        <w:t xml:space="preserve">Plan: </w:t>
      </w:r>
      <w:r>
        <w:rPr>
          <w:rFonts w:ascii="Times New Roman" w:hAnsi="Times New Roman"/>
          <w:b w:val="0"/>
          <w:sz w:val="22"/>
        </w:rPr>
        <w:t>100%</w:t>
      </w:r>
    </w:p>
    <w:p>
      <w:pPr>
        <w:pStyle w:val="ListBullet"/>
      </w:pPr>
      <w:r>
        <w:rPr>
          <w:rFonts w:ascii="Times New Roman" w:hAnsi="Times New Roman"/>
          <w:b/>
          <w:sz w:val="22"/>
        </w:rPr>
        <w:t xml:space="preserve">Match: </w:t>
      </w:r>
      <w:r>
        <w:rPr>
          <w:rFonts w:ascii="Times New Roman" w:hAnsi="Times New Roman"/>
          <w:b w:val="0"/>
          <w:sz w:val="22"/>
        </w:rPr>
        <w:t>100%</w:t>
      </w:r>
    </w:p>
    <w:p>
      <w:pPr>
        <w:pStyle w:val="ListBullet"/>
      </w:pPr>
      <w:r>
        <w:rPr>
          <w:rFonts w:ascii="Times New Roman" w:hAnsi="Times New Roman"/>
          <w:b/>
          <w:sz w:val="22"/>
        </w:rPr>
        <w:t xml:space="preserve">Factual: </w:t>
      </w:r>
      <w:r>
        <w:rPr>
          <w:rFonts w:ascii="Times New Roman" w:hAnsi="Times New Roman"/>
          <w:b w:val="0"/>
          <w:sz w:val="22"/>
        </w:rPr>
        <w:t>100%</w:t>
      </w:r>
    </w:p>
    <w:p>
      <w:pPr>
        <w:spacing w:after="120"/>
      </w:pPr>
      <w:r>
        <w:rPr>
          <w:rFonts w:ascii="Times New Roman" w:hAnsi="Times New Roman"/>
          <w:b w:val="0"/>
          <w:sz w:val="22"/>
        </w:rPr>
        <w:t>Every milestone scoped at Checkpoint 3 is delivered, the full-data rerun the feedback asked for twice is committed evidence, every headline number is re-derivable offline by a committed script, and the remaining limitations (Florida and Connecticut lookup coverage, sparse filings, unverifiable upstream category labels, and two counties without 2010-vintage geometry) are disclosed and machine-enumerated rather than hidden.</w:t>
      </w:r>
    </w:p>
    <w:p>
      <w:pPr>
        <w:spacing w:before="240" w:after="80"/>
      </w:pPr>
      <w:r>
        <w:rPr>
          <w:rFonts w:ascii="Times New Roman" w:hAnsi="Times New Roman"/>
          <w:b/>
          <w:sz w:val="30"/>
        </w:rPr>
        <w:t>Automated Review Feedback:</w:t>
      </w:r>
    </w:p>
    <w:p>
      <w:pPr>
        <w:spacing w:after="120"/>
      </w:pPr>
      <w:r>
        <w:rPr>
          <w:rFonts w:ascii="Times New Roman" w:hAnsi="Times New Roman"/>
          <w:b/>
          <w:sz w:val="22"/>
        </w:rPr>
        <w:t xml:space="preserve">Project Plan (Plan): </w:t>
      </w:r>
      <w:r>
        <w:rPr>
          <w:rFonts w:ascii="Times New Roman" w:hAnsi="Times New Roman"/>
          <w:b w:val="0"/>
          <w:sz w:val="22"/>
        </w:rPr>
        <w:t>The plan held its shape across four checkpoints and closed exactly the risk the reviews kept naming; the final scope centers on the data-access gap rather than new surface area, as directed. The agentic framing stays honest, with the LLM restricted to candidate generation and framing and Python authoritative for every statistic.</w:t>
      </w:r>
    </w:p>
    <w:p>
      <w:pPr>
        <w:spacing w:after="120"/>
      </w:pPr>
      <w:r>
        <w:rPr>
          <w:rFonts w:ascii="Times New Roman" w:hAnsi="Times New Roman"/>
          <w:b/>
          <w:sz w:val="22"/>
        </w:rPr>
        <w:t xml:space="preserve">Progress Report (Match): </w:t>
      </w:r>
      <w:r>
        <w:rPr>
          <w:rFonts w:ascii="Times New Roman" w:hAnsi="Times New Roman"/>
          <w:b w:val="0"/>
          <w:sz w:val="22"/>
        </w:rPr>
        <w:t>Strong. The three stated deliverables shipped, integrated into the existing pipeline and verifier rather than as side scripts, and the benchmark audit extends the Checkpoint 3 self-audit pattern to AI-suggested code. Delivering the full-data rerun and measuring the truncation bias, rather than only disclosing it, is a genuine over-delivery.</w:t>
      </w:r>
    </w:p>
    <w:p>
      <w:pPr>
        <w:spacing w:after="120"/>
      </w:pPr>
      <w:r>
        <w:rPr>
          <w:rFonts w:ascii="Times New Roman" w:hAnsi="Times New Roman"/>
          <w:b/>
          <w:sz w:val="22"/>
        </w:rPr>
        <w:t xml:space="preserve">Supporting Evidence (Factual): </w:t>
      </w:r>
      <w:r>
        <w:rPr>
          <w:rFonts w:ascii="Times New Roman" w:hAnsi="Times New Roman"/>
          <w:b w:val="0"/>
          <w:sz w:val="22"/>
        </w:rPr>
        <w:t>Self-contained and checkable by static inspection. Code and generated artifacts are committed to main, the 17-check validation report and the 66-test suite reproduce offline, and the conclusion changes caused by the full data are itemized in a committed comparison file rather than narrated.</w:t>
      </w:r>
    </w:p>
    <w:p>
      <w:pPr>
        <w:spacing w:before="160" w:after="40"/>
      </w:pPr>
      <w:r>
        <w:rPr>
          <w:rFonts w:ascii="Times New Roman" w:hAnsi="Times New Roman"/>
          <w:b/>
          <w:sz w:val="24"/>
        </w:rPr>
        <w:t>Actionable Suggestions:</w:t>
      </w:r>
    </w:p>
    <w:p>
      <w:pPr>
        <w:pStyle w:val="ListBullet"/>
      </w:pPr>
      <w:r>
        <w:rPr>
          <w:rFonts w:ascii="Times New Roman" w:hAnsi="Times New Roman"/>
          <w:b w:val="0"/>
          <w:sz w:val="22"/>
        </w:rPr>
        <w:t>Obtain an authoritative Florida county mapping and a Connecticut planning-region crosswalk so the last 75 counties can enter the panel through general rules.</w:t>
      </w:r>
    </w:p>
    <w:p>
      <w:pPr>
        <w:pStyle w:val="ListBullet"/>
      </w:pPr>
      <w:r>
        <w:rPr>
          <w:rFonts w:ascii="Times New Roman" w:hAnsi="Times New Roman"/>
          <w:b w:val="0"/>
          <w:sz w:val="22"/>
        </w:rPr>
        <w:t>Add a second year of 990 filings to turn the panel into a two-period temporal comparison.</w:t>
      </w:r>
    </w:p>
    <w:p>
      <w:pPr>
        <w:pStyle w:val="ListBullet"/>
      </w:pPr>
      <w:r>
        <w:rPr>
          <w:rFonts w:ascii="Times New Roman" w:hAnsi="Times New Roman"/>
          <w:b w:val="0"/>
          <w:sz w:val="22"/>
        </w:rPr>
        <w:t>Publish the top-gap triage list with the small-denominator caveat attached per county.</w:t>
      </w:r>
    </w:p>
    <w:p>
      <w:pPr>
        <w:pStyle w:val="ListBullet"/>
      </w:pPr>
      <w:r>
        <w:rPr>
          <w:rFonts w:ascii="Times New Roman" w:hAnsi="Times New Roman"/>
          <w:b w:val="0"/>
          <w:sz w:val="22"/>
        </w:rPr>
        <w:t>Record and link the 12 to 15 minute presentation video (unlisted) at the end of this report before final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