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eInvoicing Data Residency Requirements - ME &amp; EU Countries</w:t>
      </w:r>
    </w:p>
    <w:bookmarkStart w:id="21" w:name="einvoicing-data-residency-requirements"/>
    <w:p>
      <w:pPr>
        <w:pStyle w:val="Heading1"/>
      </w:pPr>
      <w:r>
        <w:t xml:space="preserve">eInvoicing Data Residency Requirements</w:t>
      </w:r>
    </w:p>
    <w:p>
      <w:pPr>
        <w:pStyle w:val="FirstParagraph"/>
      </w:pPr>
      <w:r>
        <w:rPr>
          <w:b/>
          <w:bCs/>
        </w:rPr>
        <w:t xml:space="preserve">Data center hosting compliance for ME &amp; EU countries with AWS recommendations</w:t>
      </w:r>
    </w:p>
    <w:p>
      <w:pPr>
        <w:pStyle w:val="BodyText"/>
      </w:pPr>
      <w:r>
        <w:rPr>
          <w:i/>
          <w:iCs/>
        </w:rPr>
        <w:t xml:space="preserve">Report Date: January 9, 2026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Research based on official government sources as of January 9, 2026. Regulations change frequently. Always verify with official tax authorities and legal counsel before making compliance decisions.</w: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41 Countries Analyzed</w:t>
      </w:r>
    </w:p>
    <w:p>
      <w:pPr>
        <w:pStyle w:val="Compact"/>
        <w:numPr>
          <w:ilvl w:val="0"/>
          <w:numId w:val="1001"/>
        </w:numPr>
      </w:pPr>
      <w:r>
        <w:t xml:space="preserve">5 Countries</w:t>
      </w:r>
      <w:r>
        <w:t xml:space="preserve"> </w:t>
      </w:r>
      <w:r>
        <w:t xml:space="preserve">- Local Data Center Required (Saudi Arabia, Turkey, Poland, Luxembourg, Tunisia)</w:t>
      </w:r>
    </w:p>
    <w:p>
      <w:pPr>
        <w:pStyle w:val="Compact"/>
        <w:numPr>
          <w:ilvl w:val="0"/>
          <w:numId w:val="1001"/>
        </w:numPr>
      </w:pPr>
      <w:r>
        <w:t xml:space="preserve">3 Countries</w:t>
      </w:r>
      <w:r>
        <w:t xml:space="preserve"> </w:t>
      </w:r>
      <w:r>
        <w:t xml:space="preserve">- Specific AWS Region Required (UAE, Israel, France)</w:t>
      </w:r>
    </w:p>
    <w:p>
      <w:pPr>
        <w:pStyle w:val="Compact"/>
        <w:numPr>
          <w:ilvl w:val="0"/>
          <w:numId w:val="1001"/>
        </w:numPr>
      </w:pPr>
      <w:r>
        <w:t xml:space="preserve">20 Countries</w:t>
      </w:r>
      <w:r>
        <w:t xml:space="preserve"> </w:t>
      </w:r>
      <w:r>
        <w:t xml:space="preserve">- Any EU Region Acceptable</w:t>
      </w:r>
    </w:p>
    <w:p>
      <w:pPr>
        <w:pStyle w:val="Compact"/>
        <w:numPr>
          <w:ilvl w:val="0"/>
          <w:numId w:val="1001"/>
        </w:numPr>
      </w:pPr>
      <w:r>
        <w:t xml:space="preserve">13 Countries</w:t>
      </w:r>
      <w:r>
        <w:t xml:space="preserve"> </w:t>
      </w:r>
      <w:r>
        <w:t xml:space="preserve">- Any Region Acceptable</w:t>
      </w:r>
    </w:p>
    <w:bookmarkStart w:id="9" w:name="aws-regions-reference"/>
    <w:p>
      <w:pPr>
        <w:pStyle w:val="Heading3"/>
      </w:pPr>
      <w:r>
        <w:t xml:space="preserve">AWS Regions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 Code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Region Code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me-south-1</w:t>
            </w:r>
          </w:p>
        </w:tc>
        <w:tc>
          <w:tcPr/>
          <w:p>
            <w:pPr>
              <w:pStyle w:val="Compact"/>
            </w:pPr>
            <w:r>
              <w:t xml:space="preserve">Bahrain</w:t>
            </w:r>
          </w:p>
        </w:tc>
        <w:tc>
          <w:tcPr/>
          <w:p>
            <w:pPr>
              <w:pStyle w:val="Compact"/>
            </w:pPr>
            <w:r>
              <w:t xml:space="preserve">eu-central-1</w:t>
            </w:r>
          </w:p>
        </w:tc>
        <w:tc>
          <w:tcPr/>
          <w:p>
            <w:pPr>
              <w:pStyle w:val="Compact"/>
            </w:pPr>
            <w:r>
              <w:t xml:space="preserve">Frankfurt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me-central-1</w:t>
            </w:r>
          </w:p>
        </w:tc>
        <w:tc>
          <w:tcPr/>
          <w:p>
            <w:pPr>
              <w:pStyle w:val="Compact"/>
            </w:pPr>
            <w:r>
              <w:t xml:space="preserve">UAE</w:t>
            </w:r>
          </w:p>
        </w:tc>
        <w:tc>
          <w:tcPr/>
          <w:p>
            <w:pPr>
              <w:pStyle w:val="Compact"/>
            </w:pPr>
            <w:r>
              <w:t xml:space="preserve">eu-west-1</w:t>
            </w:r>
          </w:p>
        </w:tc>
        <w:tc>
          <w:tcPr/>
          <w:p>
            <w:pPr>
              <w:pStyle w:val="Compac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il-central-1</w:t>
            </w:r>
          </w:p>
        </w:tc>
        <w:tc>
          <w:tcPr/>
          <w:p>
            <w:pPr>
              <w:pStyle w:val="Compact"/>
            </w:pPr>
            <w:r>
              <w:t xml:space="preserve">Israel</w:t>
            </w:r>
          </w:p>
        </w:tc>
        <w:tc>
          <w:tcPr/>
          <w:p>
            <w:pPr>
              <w:pStyle w:val="Compact"/>
            </w:pPr>
            <w:r>
              <w:t xml:space="preserve">eu-west-2</w:t>
            </w:r>
          </w:p>
        </w:tc>
        <w:tc>
          <w:tcPr/>
          <w:p>
            <w:pPr>
              <w:pStyle w:val="Compact"/>
            </w:pPr>
            <w:r>
              <w:t xml:space="preserve">London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eu-south-1</w:t>
            </w:r>
          </w:p>
        </w:tc>
        <w:tc>
          <w:tcPr/>
          <w:p>
            <w:pPr>
              <w:pStyle w:val="Compact"/>
            </w:pPr>
            <w:r>
              <w:t xml:space="preserve">Milan</w:t>
            </w:r>
          </w:p>
        </w:tc>
        <w:tc>
          <w:tcPr/>
          <w:p>
            <w:pPr>
              <w:pStyle w:val="Compact"/>
            </w:pPr>
            <w:r>
              <w:t xml:space="preserve">eu-west-3</w:t>
            </w:r>
          </w:p>
        </w:tc>
        <w:tc>
          <w:tcPr/>
          <w:p>
            <w:pPr>
              <w:pStyle w:val="Compact"/>
            </w:pPr>
            <w:r>
              <w:t xml:space="preserve">Paris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eu-south-2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eu-north-1</w:t>
            </w:r>
          </w:p>
        </w:tc>
        <w:tc>
          <w:tcPr/>
          <w:p>
            <w:pPr>
              <w:pStyle w:val="Compact"/>
            </w:pPr>
            <w:r>
              <w:t xml:space="preserve">Stockholm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eu-central-2</w:t>
            </w:r>
          </w:p>
        </w:tc>
        <w:tc>
          <w:tcPr/>
          <w:p>
            <w:pPr>
              <w:pStyle w:val="Compact"/>
            </w:pPr>
            <w:r>
              <w:t xml:space="preserve">Zurich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End w:id="10"/>
    <w:bookmarkStart w:id="11" w:name="X1f334965154816553dba9dc4f44d6c3d3b2dc49"/>
    <w:p>
      <w:pPr>
        <w:pStyle w:val="Heading2"/>
      </w:pPr>
      <w:r>
        <w:t xml:space="preserve">Middle East &amp; North Africa (MENA) - 13 Countries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DC Requirement</w:t>
            </w:r>
          </w:p>
        </w:tc>
        <w:tc>
          <w:tcPr/>
          <w:p>
            <w:pPr>
              <w:pStyle w:val="Compact"/>
            </w:pPr>
            <w:r>
              <w:t xml:space="preserve">Recommended Hosting</w:t>
            </w:r>
          </w:p>
        </w:tc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Saudi Arabia</w:t>
            </w:r>
          </w:p>
        </w:tc>
        <w:tc>
          <w:tcPr/>
          <w:p>
            <w:pPr>
              <w:pStyle w:val="Compact"/>
            </w:pPr>
            <w:r>
              <w:t xml:space="preserve">Mandatory Domestic</w:t>
            </w:r>
          </w:p>
        </w:tc>
        <w:tc>
          <w:tcPr/>
          <w:p>
            <w:pPr>
              <w:pStyle w:val="Compact"/>
            </w:pPr>
            <w:r>
              <w:t xml:space="preserve">Local DC Required</w:t>
            </w:r>
          </w:p>
        </w:tc>
        <w:tc>
          <w:tcPr/>
          <w:p>
            <w:pPr>
              <w:pStyle w:val="Compact"/>
            </w:pPr>
            <w:r>
              <w:t xml:space="preserve">Local Saudi DC only (STC Cloud, Mobily, Oracle KSA). AWS me-south-1 (Bahrain) NOT compliant.</w:t>
            </w:r>
          </w:p>
        </w:tc>
        <w:tc>
          <w:tcPr/>
          <w:p>
            <w:pPr>
              <w:pStyle w:val="Compact"/>
            </w:pPr>
            <w:r>
              <w:t xml:space="preserve">6-11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UAE</w:t>
            </w:r>
          </w:p>
        </w:tc>
        <w:tc>
          <w:tcPr/>
          <w:p>
            <w:pPr>
              <w:pStyle w:val="Compact"/>
            </w:pPr>
            <w:r>
              <w:t xml:space="preserve">Mandatory Domestic</w:t>
            </w:r>
          </w:p>
        </w:tc>
        <w:tc>
          <w:tcPr/>
          <w:p>
            <w:pPr>
              <w:pStyle w:val="Compact"/>
            </w:pPr>
            <w:r>
              <w:t xml:space="preserve">AWS me-central-1</w:t>
            </w:r>
          </w:p>
        </w:tc>
        <w:tc>
          <w:tcPr/>
          <w:p>
            <w:pPr>
              <w:pStyle w:val="Compact"/>
            </w:pPr>
            <w:r>
              <w:t xml:space="preserve">AWS me-central-1 (UAE) - UAE has local AWS region, compliant for eInvoicing.</w:t>
            </w:r>
          </w:p>
        </w:tc>
        <w:tc>
          <w:tcPr/>
          <w:p>
            <w:pPr>
              <w:pStyle w:val="Compact"/>
            </w:pPr>
            <w:r>
              <w:t xml:space="preserve">5-15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Turkey</w:t>
            </w:r>
          </w:p>
        </w:tc>
        <w:tc>
          <w:tcPr/>
          <w:p>
            <w:pPr>
              <w:pStyle w:val="Compact"/>
            </w:pPr>
            <w:r>
              <w:t xml:space="preserve">Mandatory Domestic</w:t>
            </w:r>
          </w:p>
        </w:tc>
        <w:tc>
          <w:tcPr/>
          <w:p>
            <w:pPr>
              <w:pStyle w:val="Compact"/>
            </w:pPr>
            <w:r>
              <w:t xml:space="preserve">Local DC Required</w:t>
            </w:r>
          </w:p>
        </w:tc>
        <w:tc>
          <w:tcPr/>
          <w:p>
            <w:pPr>
              <w:pStyle w:val="Compact"/>
            </w:pPr>
            <w:r>
              <w:t xml:space="preserve">Local Turkish DC only (Turkcell, Vodafone Turkey). No AWS region in Turkey.</w:t>
            </w:r>
          </w:p>
        </w:tc>
        <w:tc>
          <w:tcPr/>
          <w:p>
            <w:pPr>
              <w:pStyle w:val="Compact"/>
            </w:pPr>
            <w:r>
              <w:t xml:space="preserve">5-10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Egypt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Recommend me-south-1 (Bahrain) for latency.</w:t>
            </w:r>
          </w:p>
        </w:tc>
        <w:tc>
          <w:tcPr/>
          <w:p>
            <w:pPr>
              <w:pStyle w:val="Compact"/>
            </w:pPr>
            <w:r>
              <w:t xml:space="preserve">5-7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Israel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AWS il-central-1</w:t>
            </w:r>
          </w:p>
        </w:tc>
        <w:tc>
          <w:tcPr/>
          <w:p>
            <w:pPr>
              <w:pStyle w:val="Compact"/>
            </w:pPr>
            <w:r>
              <w:t xml:space="preserve">AWS il-central-1 (Tel Aviv). Abroad storage needs prior ITA authorization.</w:t>
            </w:r>
          </w:p>
        </w:tc>
        <w:tc>
          <w:tcPr/>
          <w:p>
            <w:pPr>
              <w:pStyle w:val="Compact"/>
            </w:pPr>
            <w:r>
              <w:t xml:space="preserve">7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Oman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Recommend me-south-1 (Bahrain). Must disclose location to OTA.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Recommend me-south-1 (Bahrain) for latency.</w:t>
            </w:r>
          </w:p>
        </w:tc>
        <w:tc>
          <w:tcPr/>
          <w:p>
            <w:pPr>
              <w:pStyle w:val="Compact"/>
            </w:pPr>
            <w:r>
              <w:t xml:space="preserve">4-10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Recommend me-south-1. Tax records in Qatar preferred.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Bahrain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AWS me-south-1</w:t>
            </w:r>
          </w:p>
        </w:tc>
        <w:tc>
          <w:tcPr/>
          <w:p>
            <w:pPr>
              <w:pStyle w:val="Compact"/>
            </w:pPr>
            <w:r>
              <w:t xml:space="preserve">AWS me-south-1 (Bahrain). Local region available, no mandatory eInvoicing yet.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Kuwait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No eInvoicing mandate. Recommend me-south-1 for latency.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EU Region + Auth</w:t>
            </w:r>
          </w:p>
        </w:tc>
        <w:tc>
          <w:tcPr/>
          <w:p>
            <w:pPr>
              <w:pStyle w:val="Compact"/>
            </w:pPr>
            <w:r>
              <w:t xml:space="preserve">EU region with CNDP authorization. Recommend eu-south-1 (Milan) or eu-west-3 (Paris).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Tunisia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Local DC Preferred</w:t>
            </w:r>
          </w:p>
        </w:tc>
        <w:tc>
          <w:tcPr/>
          <w:p>
            <w:pPr>
              <w:pStyle w:val="Compact"/>
            </w:pPr>
            <w:r>
              <w:t xml:space="preserve">Local or TTN centralized. Cross-border needs INPDP auth. Consider eu-south-1 with auth.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Iraq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No eInvoicing mandate. Recommend me-south-1 for latency.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1"/>
    <w:bookmarkStart w:id="12" w:name="europe---28-countries"/>
    <w:p>
      <w:pPr>
        <w:pStyle w:val="Heading2"/>
      </w:pPr>
      <w:r>
        <w:t xml:space="preserve">Europe - 28 Countries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DC Requirement</w:t>
            </w:r>
          </w:p>
        </w:tc>
        <w:tc>
          <w:tcPr/>
          <w:p>
            <w:pPr>
              <w:pStyle w:val="Compact"/>
            </w:pPr>
            <w:r>
              <w:t xml:space="preserve">Recommended Hosting</w:t>
            </w:r>
          </w:p>
        </w:tc>
        <w:tc>
          <w:tcPr/>
          <w:p>
            <w:pPr>
              <w:pStyle w:val="Compact"/>
            </w:pPr>
            <w:r>
              <w:t xml:space="preserve">Archival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EU + Approval</w:t>
            </w:r>
          </w:p>
        </w:tc>
        <w:tc>
          <w:tcPr/>
          <w:p>
            <w:pPr>
              <w:pStyle w:val="Compact"/>
            </w:pPr>
            <w:r>
              <w:t xml:space="preserve">AWS eu-central-1 (Frankfurt). Domestic preferred. EU needs prior tax authority approval.</w:t>
            </w:r>
          </w:p>
        </w:tc>
        <w:tc>
          <w:tcPr/>
          <w:p>
            <w:pPr>
              <w:pStyle w:val="Compact"/>
            </w:pPr>
            <w:r>
              <w:t xml:space="preserve">8-10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EU Required</w:t>
            </w:r>
          </w:p>
        </w:tc>
        <w:tc>
          <w:tcPr/>
          <w:p>
            <w:pPr>
              <w:pStyle w:val="Compact"/>
            </w:pPr>
            <w:r>
              <w:t xml:space="preserve">AWS eu-west-3 *</w:t>
            </w:r>
          </w:p>
        </w:tc>
        <w:tc>
          <w:tcPr/>
          <w:p>
            <w:pPr>
              <w:pStyle w:val="Compact"/>
            </w:pPr>
            <w:r>
              <w:t xml:space="preserve">AWS eu-west-3 (Paris). *PDP needs SecNumCloud cert. Alternative: OVHcloud, 3DS Outscale.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EU Preferred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AWS eu-south-1 (Milan). In-country option. Any EU works. Free SOGEI conservation.</w:t>
            </w:r>
          </w:p>
        </w:tc>
        <w:tc>
          <w:tcPr/>
          <w:p>
            <w:pPr>
              <w:pStyle w:val="Compact"/>
            </w:pPr>
            <w:r>
              <w:t xml:space="preserve">10-15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AWS eu-south-2 (Spain). In-country option. Any EU works with AEAT notification.</w:t>
            </w:r>
          </w:p>
        </w:tc>
        <w:tc>
          <w:tcPr/>
          <w:p>
            <w:pPr>
              <w:pStyle w:val="Compact"/>
            </w:pPr>
            <w:r>
              <w:t xml:space="preserve">4-6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Poland</w:t>
            </w:r>
          </w:p>
        </w:tc>
        <w:tc>
          <w:tcPr/>
          <w:p>
            <w:pPr>
              <w:pStyle w:val="Compact"/>
            </w:pPr>
            <w:r>
              <w:t xml:space="preserve">Centralized (KSeF)</w:t>
            </w:r>
          </w:p>
        </w:tc>
        <w:tc>
          <w:tcPr/>
          <w:p>
            <w:pPr>
              <w:pStyle w:val="Compact"/>
            </w:pPr>
            <w:r>
              <w:t xml:space="preserve">Govt System</w:t>
            </w:r>
          </w:p>
        </w:tc>
        <w:tc>
          <w:tcPr/>
          <w:p>
            <w:pPr>
              <w:pStyle w:val="Compact"/>
            </w:pPr>
            <w:r>
              <w:t xml:space="preserve">KSeF handles storage. All invoices on Polish govt servers. Keep backups in eu-central-1.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Belgium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eu-west-1 (Ireland) or eu-central-1 (Frankfurt).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AWS eu-west-2 (London). In-country option. Any region works.</w:t>
            </w:r>
          </w:p>
        </w:tc>
        <w:tc>
          <w:tcPr/>
          <w:p>
            <w:pPr>
              <w:pStyle w:val="Compact"/>
            </w:pPr>
            <w:r>
              <w:t xml:space="preserve">6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Romania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eu-central-1. ANAF only stores 60 days.</w:t>
            </w:r>
          </w:p>
        </w:tc>
        <w:tc>
          <w:tcPr/>
          <w:p>
            <w:pPr>
              <w:pStyle w:val="Compact"/>
            </w:pPr>
            <w:r>
              <w:t xml:space="preserve">10-25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Hungary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 (Frankfurt).</w:t>
            </w:r>
          </w:p>
        </w:tc>
        <w:tc>
          <w:tcPr/>
          <w:p>
            <w:pPr>
              <w:pStyle w:val="Compact"/>
            </w:pPr>
            <w:r>
              <w:t xml:space="preserve">5-8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ISO 27001 required for Peppol. AWS is certified.</w:t>
            </w:r>
          </w:p>
        </w:tc>
        <w:tc>
          <w:tcPr/>
          <w:p>
            <w:pPr>
              <w:pStyle w:val="Compact"/>
            </w:pPr>
            <w:r>
              <w:t xml:space="preserve">7-10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EU + Notify</w:t>
            </w:r>
          </w:p>
        </w:tc>
        <w:tc>
          <w:tcPr/>
          <w:p>
            <w:pPr>
              <w:pStyle w:val="Compact"/>
            </w:pPr>
            <w:r>
              <w:t xml:space="preserve">AWS eu-north-1 (Stockholm). Safest. Other EU requires Skatteverket notification.</w:t>
            </w:r>
          </w:p>
        </w:tc>
        <w:tc>
          <w:tcPr/>
          <w:p>
            <w:pPr>
              <w:pStyle w:val="Compact"/>
            </w:pPr>
            <w:r>
              <w:t xml:space="preserve">7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Nordic/EEA + Notify</w:t>
            </w:r>
          </w:p>
        </w:tc>
        <w:tc>
          <w:tcPr/>
          <w:p>
            <w:pPr>
              <w:pStyle w:val="Compact"/>
            </w:pPr>
            <w:r>
              <w:t xml:space="preserve">AWS eu-north-1 (Stockholm). Nordic exempt. EEA needs written notice.</w:t>
            </w:r>
          </w:p>
        </w:tc>
        <w:tc>
          <w:tcPr/>
          <w:p>
            <w:pPr>
              <w:pStyle w:val="Compact"/>
            </w:pPr>
            <w:r>
              <w:t xml:space="preserve">Up to 35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Ireland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AWS eu-west-1</w:t>
            </w:r>
          </w:p>
        </w:tc>
        <w:tc>
          <w:tcPr/>
          <w:p>
            <w:pPr>
              <w:pStyle w:val="Compact"/>
            </w:pPr>
            <w:r>
              <w:t xml:space="preserve">AWS eu-west-1 (Ireland). In-country region with excellent connectivity.</w:t>
            </w:r>
          </w:p>
        </w:tc>
        <w:tc>
          <w:tcPr/>
          <w:p>
            <w:pPr>
              <w:pStyle w:val="Compact"/>
            </w:pPr>
            <w:r>
              <w:t xml:space="preserve">6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 (Frankfurt) for proximity.</w:t>
            </w:r>
          </w:p>
        </w:tc>
        <w:tc>
          <w:tcPr/>
          <w:p>
            <w:pPr>
              <w:pStyle w:val="Compact"/>
            </w:pPr>
            <w:r>
              <w:t xml:space="preserve">7-22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AWS eu-central-2</w:t>
            </w:r>
          </w:p>
        </w:tc>
        <w:tc>
          <w:tcPr/>
          <w:p>
            <w:pPr>
              <w:pStyle w:val="Compact"/>
            </w:pPr>
            <w:r>
              <w:t xml:space="preserve">AWS eu-central-2 (Zurich). In-country. Cloud requires e-signatures per GeBuV.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Finland</w:t>
            </w:r>
          </w:p>
        </w:tc>
        <w:tc>
          <w:tcPr/>
          <w:p>
            <w:pPr>
              <w:pStyle w:val="Compact"/>
            </w:pPr>
            <w:r>
              <w:t xml:space="preserve">EU/EEA Preferred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eu-north-1 (Stockholm) for proximity.</w:t>
            </w:r>
          </w:p>
        </w:tc>
        <w:tc>
          <w:tcPr/>
          <w:p>
            <w:pPr>
              <w:pStyle w:val="Compact"/>
            </w:pPr>
            <w:r>
              <w:t xml:space="preserve">6-10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Denmark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eu-north-1 (Stockholm). Shortest retention (5 yrs).</w:t>
            </w:r>
          </w:p>
        </w:tc>
        <w:tc>
          <w:tcPr/>
          <w:p>
            <w:pPr>
              <w:pStyle w:val="Compact"/>
            </w:pPr>
            <w:r>
              <w:t xml:space="preserve">5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eu-south-2 (Spain) for proximity. Paper must be in Portugal.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eu-south-1 (Milan) for proximity.</w:t>
            </w:r>
          </w:p>
        </w:tc>
        <w:tc>
          <w:tcPr/>
          <w:p>
            <w:pPr>
              <w:pStyle w:val="Compact"/>
            </w:pPr>
            <w:r>
              <w:t xml:space="preserve">5-10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Republic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 (Frankfurt). Notify tax authority of location.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Slovakia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 (Frankfurt). UBL 2.1 from Jan 2027.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Slovenia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eu-south-1 (Milan) or eu-central-1.</w:t>
            </w:r>
          </w:p>
        </w:tc>
        <w:tc>
          <w:tcPr/>
          <w:p>
            <w:pPr>
              <w:pStyle w:val="Compact"/>
            </w:pPr>
            <w:r>
              <w:t xml:space="preserve">10-20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Croatia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eu-south-1 (Milan). ISO 27001 + GDPR required.</w:t>
            </w:r>
          </w:p>
        </w:tc>
        <w:tc>
          <w:tcPr/>
          <w:p>
            <w:pPr>
              <w:pStyle w:val="Compact"/>
            </w:pPr>
            <w:r>
              <w:t xml:space="preserve">11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Bulgaria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eu-central-1 (Frankfurt). SAF-T from Jan 2026.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Latvia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eu-north-1 (Stockholm). B2B mandatory Jan 2028.</w:t>
            </w:r>
          </w:p>
        </w:tc>
        <w:tc>
          <w:tcPr/>
          <w:p>
            <w:pPr>
              <w:pStyle w:val="Compact"/>
            </w:pPr>
            <w:r>
              <w:t xml:space="preserve">5-10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Lithuania</w:t>
            </w:r>
          </w:p>
        </w:tc>
        <w:tc>
          <w:tcPr/>
          <w:p>
            <w:pPr>
              <w:pStyle w:val="Compact"/>
            </w:pPr>
            <w:r>
              <w:t xml:space="preserve">EU OK</w:t>
            </w:r>
          </w:p>
        </w:tc>
        <w:tc>
          <w:tcPr/>
          <w:p>
            <w:pPr>
              <w:pStyle w:val="Compact"/>
            </w:pPr>
            <w:r>
              <w:t xml:space="preserve">Any EU Region</w:t>
            </w:r>
          </w:p>
        </w:tc>
        <w:tc>
          <w:tcPr/>
          <w:p>
            <w:pPr>
              <w:pStyle w:val="Compact"/>
            </w:pPr>
            <w:r>
              <w:t xml:space="preserve">Any EU AWS region. Recommend eu-north-1 (Stockholm). B2B mandatory Jan 2028.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Estonia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Any Region</w:t>
            </w:r>
          </w:p>
        </w:tc>
        <w:tc>
          <w:tcPr/>
          <w:p>
            <w:pPr>
              <w:pStyle w:val="Compact"/>
            </w:pPr>
            <w:r>
              <w:t xml:space="preserve">Any AWS region. Most flexible in EU. EMTA: "may choose the place."</w:t>
            </w:r>
          </w:p>
        </w:tc>
        <w:tc>
          <w:tcPr/>
          <w:p>
            <w:pPr>
              <w:pStyle w:val="Compact"/>
            </w:pPr>
            <w:r>
              <w:t xml:space="preserve">7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Luxembourg</w:t>
            </w:r>
          </w:p>
        </w:tc>
        <w:tc>
          <w:tcPr/>
          <w:p>
            <w:pPr>
              <w:pStyle w:val="Compact"/>
            </w:pPr>
            <w:r>
              <w:t xml:space="preserve">Mandatory Domestic</w:t>
            </w:r>
          </w:p>
        </w:tc>
        <w:tc>
          <w:tcPr/>
          <w:p>
            <w:pPr>
              <w:pStyle w:val="Compact"/>
            </w:pPr>
            <w:r>
              <w:t xml:space="preserve">Local DC Required</w:t>
            </w:r>
          </w:p>
        </w:tc>
        <w:tc>
          <w:tcPr/>
          <w:p>
            <w:pPr>
              <w:pStyle w:val="Compact"/>
            </w:pPr>
            <w:r>
              <w:t xml:space="preserve">Local Luxembourg DC only (LuxConnect, Ebrc, POST Luxembourg). No AWS region. Strictest EU.</w:t>
            </w:r>
          </w:p>
        </w:tc>
        <w:tc>
          <w:tcPr/>
          <w:p>
            <w:pPr>
              <w:pStyle w:val="Compact"/>
            </w:pPr>
            <w:r>
              <w:t xml:space="preserve">10 yrs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2"/>
    <w:bookmarkStart w:id="17" w:name="data-center-strategy-summary"/>
    <w:p>
      <w:pPr>
        <w:pStyle w:val="Heading2"/>
      </w:pPr>
      <w:r>
        <w:t xml:space="preserve">Data Center Strategy Summary</w:t>
      </w:r>
    </w:p>
    <w:bookmarkStart w:id="13" w:name="local-data-centers-required-5-countries"/>
    <w:p>
      <w:pPr>
        <w:pStyle w:val="Heading3"/>
      </w:pPr>
      <w:r>
        <w:t xml:space="preserve">Local Data Centers Required (5 countries)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Saudi Arabia:</w:t>
      </w:r>
      <w:r>
        <w:t xml:space="preserve"> </w:t>
      </w:r>
      <w:r>
        <w:t xml:space="preserve">STC Cloud, Mobily, Oracle KSA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Turkey:</w:t>
      </w:r>
      <w:r>
        <w:t xml:space="preserve"> </w:t>
      </w:r>
      <w:r>
        <w:t xml:space="preserve">Turkcell, Vodafone Turkey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Poland:</w:t>
      </w:r>
      <w:r>
        <w:t xml:space="preserve"> </w:t>
      </w:r>
      <w:r>
        <w:t xml:space="preserve">KSeF (govt system) - keep backups in EU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Luxembourg:</w:t>
      </w:r>
      <w:r>
        <w:t xml:space="preserve"> </w:t>
      </w:r>
      <w:r>
        <w:t xml:space="preserve">LuxConnect, Ebrc, POST Luxembourg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Tunisia:</w:t>
      </w:r>
      <w:r>
        <w:t xml:space="preserve"> </w:t>
      </w:r>
      <w:r>
        <w:t xml:space="preserve">TTN or local with authorization</w:t>
      </w:r>
    </w:p>
    <w:bookmarkEnd w:id="13"/>
    <w:bookmarkStart w:id="14" w:name="Xf37a7ca56a2c5da0778a0f8caf90caf1018b7d1"/>
    <w:p>
      <w:pPr>
        <w:pStyle w:val="Heading3"/>
      </w:pPr>
      <w:r>
        <w:t xml:space="preserve">Specific AWS Regions Required (3 countries)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UAE:</w:t>
      </w:r>
      <w:r>
        <w:t xml:space="preserve"> </w:t>
      </w:r>
      <w:r>
        <w:t xml:space="preserve">me-central-1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Israel:</w:t>
      </w:r>
      <w:r>
        <w:t xml:space="preserve"> </w:t>
      </w:r>
      <w:r>
        <w:t xml:space="preserve">il-central-1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France:</w:t>
      </w:r>
      <w:r>
        <w:t xml:space="preserve"> </w:t>
      </w:r>
      <w:r>
        <w:t xml:space="preserve">eu-west-3 (verify SecNumCloud certification)</w:t>
      </w:r>
    </w:p>
    <w:bookmarkEnd w:id="14"/>
    <w:bookmarkStart w:id="15" w:name="central-eu-hub-strategy"/>
    <w:p>
      <w:pPr>
        <w:pStyle w:val="Heading3"/>
      </w:pPr>
      <w:r>
        <w:t xml:space="preserve">Central EU Hub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Hub:</w:t>
      </w:r>
      <w:r>
        <w:t xml:space="preserve"> </w:t>
      </w:r>
      <w:r>
        <w:t xml:space="preserve">eu-central-1 (Frankfurt) or eu-west-1 (Ireland)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Southern Europe:</w:t>
      </w:r>
      <w:r>
        <w:t xml:space="preserve"> </w:t>
      </w:r>
      <w:r>
        <w:t xml:space="preserve">eu-south-1 (Milan)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Nordic Countries:</w:t>
      </w:r>
      <w:r>
        <w:t xml:space="preserve"> </w:t>
      </w:r>
      <w:r>
        <w:t xml:space="preserve">eu-north-1 (Stockholm)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Iberian Peninsula:</w:t>
      </w:r>
      <w:r>
        <w:t xml:space="preserve"> </w:t>
      </w:r>
      <w:r>
        <w:t xml:space="preserve">eu-south-2 (Spain)</w:t>
      </w:r>
    </w:p>
    <w:bookmarkEnd w:id="15"/>
    <w:bookmarkStart w:id="16" w:name="fully-flexible---any-region-13-countries"/>
    <w:p>
      <w:pPr>
        <w:pStyle w:val="Heading3"/>
      </w:pPr>
      <w:r>
        <w:t xml:space="preserve">Fully Flexible - Any Region (13 countries)</w:t>
      </w:r>
    </w:p>
    <w:p>
      <w:pPr>
        <w:pStyle w:val="FirstParagraph"/>
      </w:pPr>
      <w:r>
        <w:t xml:space="preserve">UK, Estonia, Egypt, Oman, Jordan, Qatar, Bahrain, Kuwait, Iraq, Austria, Denmark, Greece, Czech Republic, Slovakia, Croatia, Bulgaria, Latvia</w:t>
      </w:r>
    </w:p>
    <w:p>
      <w:pPr>
        <w:pStyle w:val="BodyText"/>
      </w:pPr>
      <w:r>
        <w:rPr>
          <w:i/>
          <w:iCs/>
        </w:rPr>
        <w:t xml:space="preserve">Recommendation: Use me-south-1 for Middle East, eu-central-1 for Europe</w:t>
      </w:r>
    </w:p>
    <w:bookmarkEnd w:id="16"/>
    <w:bookmarkEnd w:id="17"/>
    <w:bookmarkStart w:id="20" w:name="country-rationale-details"/>
    <w:p>
      <w:pPr>
        <w:pStyle w:val="Heading2"/>
      </w:pPr>
      <w:r>
        <w:t xml:space="preserve">Country Rationale Details</w:t>
      </w:r>
    </w:p>
    <w:bookmarkStart w:id="18" w:name="mena-countries"/>
    <w:p>
      <w:pPr>
        <w:pStyle w:val="Heading3"/>
      </w:pPr>
      <w:r>
        <w:t xml:space="preserve">MENA Countries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Portal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Saudi Arabia</w:t>
            </w:r>
          </w:p>
        </w:tc>
        <w:tc>
          <w:tcPr/>
          <w:p>
            <w:pPr>
              <w:pStyle w:val="Compact"/>
            </w:pPr>
            <w:r>
              <w:t xml:space="preserve">E-Invoicing Resolution requires servers "within the country." NCA Cloud Controls mandate data inside Saudi borders.</w:t>
            </w:r>
          </w:p>
        </w:tc>
        <w:tc>
          <w:tcPr/>
          <w:p>
            <w:pPr>
              <w:pStyle w:val="Compact"/>
            </w:pPr>
            <w:r>
              <w:t xml:space="preserve">zatca.gov.sa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UAE</w:t>
            </w:r>
          </w:p>
        </w:tc>
        <w:tc>
          <w:tcPr/>
          <w:p>
            <w:pPr>
              <w:pStyle w:val="Compact"/>
            </w:pPr>
            <w:r>
              <w:t xml:space="preserve">Ministerial Decision 243/244 of 2025 requires storage within UAE. AWS me-central-1 satisfies this.</w:t>
            </w:r>
          </w:p>
        </w:tc>
        <w:tc>
          <w:tcPr/>
          <w:p>
            <w:pPr>
              <w:pStyle w:val="Compact"/>
            </w:pPr>
            <w:r>
              <w:t xml:space="preserve">tax.gov.ae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Turkey</w:t>
            </w:r>
          </w:p>
        </w:tc>
        <w:tc>
          <w:tcPr/>
          <w:p>
            <w:pPr>
              <w:pStyle w:val="Compact"/>
            </w:pPr>
            <w:r>
              <w:t xml:space="preserve">VUK Communique 447 states IT infrastructure must be "within borders of Republic of Turkey."</w:t>
            </w:r>
          </w:p>
        </w:tc>
        <w:tc>
          <w:tcPr/>
          <w:p>
            <w:pPr>
              <w:pStyle w:val="Compact"/>
            </w:pPr>
            <w:r>
              <w:t xml:space="preserve">gib.gov.tr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Egypt</w:t>
            </w:r>
          </w:p>
        </w:tc>
        <w:tc>
          <w:tcPr/>
          <w:p>
            <w:pPr>
              <w:pStyle w:val="Compact"/>
            </w:pPr>
            <w:r>
              <w:t xml:space="preserve">No explicit data residency in ETA docs. All invoices submitted to central ETA system.</w:t>
            </w:r>
          </w:p>
        </w:tc>
        <w:tc>
          <w:tcPr/>
          <w:p>
            <w:pPr>
              <w:pStyle w:val="Compact"/>
            </w:pPr>
            <w:r>
              <w:t xml:space="preserve">eta.gov.eg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Israel</w:t>
            </w:r>
          </w:p>
        </w:tc>
        <w:tc>
          <w:tcPr/>
          <w:p>
            <w:pPr>
              <w:pStyle w:val="Compact"/>
            </w:pPr>
            <w:r>
              <w:t xml:space="preserve">No data localization law, but storage abroad requires ITA authorization. Using il-central-1 avoids this.</w:t>
            </w:r>
          </w:p>
        </w:tc>
        <w:tc>
          <w:tcPr/>
          <w:p>
            <w:pPr>
              <w:pStyle w:val="Compact"/>
            </w:pPr>
            <w:r>
              <w:t xml:space="preserve">taxes.gov.il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Oman</w:t>
            </w:r>
          </w:p>
        </w:tc>
        <w:tc>
          <w:tcPr/>
          <w:p>
            <w:pPr>
              <w:pStyle w:val="Compact"/>
            </w:pPr>
            <w:r>
              <w:t xml:space="preserve">No geographic restriction mandated. Focus on ISO 27001 and security standards.</w:t>
            </w:r>
          </w:p>
        </w:tc>
        <w:tc>
          <w:tcPr/>
          <w:p>
            <w:pPr>
              <w:pStyle w:val="Compact"/>
            </w:pPr>
            <w:r>
              <w:t xml:space="preserve">taxoman.gov.om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No explicit data localization. Data centralized via JoFotara.</w:t>
            </w:r>
          </w:p>
        </w:tc>
        <w:tc>
          <w:tcPr/>
          <w:p>
            <w:pPr>
              <w:pStyle w:val="Compact"/>
            </w:pPr>
            <w:r>
              <w:t xml:space="preserve">istd.gov.jo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No eInvoicing mandate yet. Cloud Policy Framework (2022) removed general data localization.</w:t>
            </w:r>
          </w:p>
        </w:tc>
        <w:tc>
          <w:tcPr/>
          <w:p>
            <w:pPr>
              <w:pStyle w:val="Compact"/>
            </w:pPr>
            <w:r>
              <w:t xml:space="preserve">gta.gov.qa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Bahrain</w:t>
            </w:r>
          </w:p>
        </w:tc>
        <w:tc>
          <w:tcPr/>
          <w:p>
            <w:pPr>
              <w:pStyle w:val="Compact"/>
            </w:pPr>
            <w:r>
              <w:t xml:space="preserve">PDPL has no general localization. Private sector flexible. AWS Bahrain provides optimal latency.</w:t>
            </w:r>
          </w:p>
        </w:tc>
        <w:tc>
          <w:tcPr/>
          <w:p>
            <w:pPr>
              <w:pStyle w:val="Compact"/>
            </w:pPr>
            <w:r>
              <w:t xml:space="preserve">nbr.gov.bh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Kuwait</w:t>
            </w:r>
          </w:p>
        </w:tc>
        <w:tc>
          <w:tcPr/>
          <w:p>
            <w:pPr>
              <w:pStyle w:val="Compact"/>
            </w:pPr>
            <w:r>
              <w:t xml:space="preserve">No VAT or eInvoicing mandate. No general data localization law.</w:t>
            </w:r>
          </w:p>
        </w:tc>
        <w:tc>
          <w:tcPr/>
          <w:p>
            <w:pPr>
              <w:pStyle w:val="Compact"/>
            </w:pPr>
            <w:r>
              <w:t xml:space="preserve">mof.gov.kw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</w:p>
        </w:tc>
        <w:tc>
          <w:tcPr/>
          <w:p>
            <w:pPr>
              <w:pStyle w:val="Compact"/>
            </w:pPr>
            <w:r>
              <w:t xml:space="preserve">eInvoicing 2026. Law 09-08 requires CNDP authorization for international transfers.</w:t>
            </w:r>
          </w:p>
        </w:tc>
        <w:tc>
          <w:tcPr/>
          <w:p>
            <w:pPr>
              <w:pStyle w:val="Compact"/>
            </w:pPr>
            <w:r>
              <w:t xml:space="preserve">tax.gov.ma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Tunisia</w:t>
            </w:r>
          </w:p>
        </w:tc>
        <w:tc>
          <w:tcPr/>
          <w:p>
            <w:pPr>
              <w:pStyle w:val="Compact"/>
            </w:pPr>
            <w:r>
              <w:t xml:space="preserve">Centralized via TTN. Cross-border transfers require INPDP authorization.</w:t>
            </w:r>
          </w:p>
        </w:tc>
        <w:tc>
          <w:tcPr/>
          <w:p>
            <w:pPr>
              <w:pStyle w:val="Compact"/>
            </w:pPr>
            <w:r>
              <w:t xml:space="preserve">finances.gov.tn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Iraq</w:t>
            </w:r>
          </w:p>
        </w:tc>
        <w:tc>
          <w:tcPr/>
          <w:p>
            <w:pPr>
              <w:pStyle w:val="Compact"/>
            </w:pPr>
            <w:r>
              <w:t xml:space="preserve">No eInvoicing mandate. No PDPL. No forced data localization.</w:t>
            </w:r>
          </w:p>
        </w:tc>
        <w:tc>
          <w:tcPr/>
          <w:p>
            <w:pPr>
              <w:pStyle w:val="Compact"/>
            </w:pPr>
            <w:r>
              <w:t xml:space="preserve">mof.gov.iq</w:t>
            </w:r>
          </w:p>
        </w:tc>
      </w:tr>
    </w:tbl>
    <w:bookmarkEnd w:id="18"/>
    <w:bookmarkStart w:id="19" w:name="european-countries"/>
    <w:p>
      <w:pPr>
        <w:pStyle w:val="Heading3"/>
      </w:pPr>
      <w:r>
        <w:t xml:space="preserve">European Countries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Portal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Section 146(2a) AO allows EU with prior written approval. Penalty EUR 250K/yr for unauthorized.</w:t>
            </w:r>
          </w:p>
        </w:tc>
        <w:tc>
          <w:tcPr/>
          <w:p>
            <w:pPr>
              <w:pStyle w:val="Compact"/>
            </w:pPr>
            <w:r>
              <w:t xml:space="preserve">bzst.de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Decree 2024-266 requires EU hosting + SecNumCloud certification.</w:t>
            </w:r>
          </w:p>
        </w:tc>
        <w:tc>
          <w:tcPr/>
          <w:p>
            <w:pPr>
              <w:pStyle w:val="Compact"/>
            </w:pPr>
            <w:r>
              <w:t xml:space="preserve">impots.gouv.fr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EU Regulation 2018/1807 applies. Milan region provides in-country option.</w:t>
            </w:r>
          </w:p>
        </w:tc>
        <w:tc>
          <w:tcPr/>
          <w:p>
            <w:pPr>
              <w:pStyle w:val="Compact"/>
            </w:pPr>
            <w:r>
              <w:t xml:space="preserve">agenziaentrate.gov.it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EU VAT Directive permits any EU. Notify AEAT when moving to another country.</w:t>
            </w:r>
          </w:p>
        </w:tc>
        <w:tc>
          <w:tcPr/>
          <w:p>
            <w:pPr>
              <w:pStyle w:val="Compact"/>
            </w:pPr>
            <w:r>
              <w:t xml:space="preserve">agenciatributaria.es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Poland</w:t>
            </w:r>
          </w:p>
        </w:tc>
        <w:tc>
          <w:tcPr/>
          <w:p>
            <w:pPr>
              <w:pStyle w:val="Compact"/>
            </w:pPr>
            <w:r>
              <w:t xml:space="preserve">KSeF centralizes all invoices on govt servers. Automatic 10-year retention.</w:t>
            </w:r>
          </w:p>
        </w:tc>
        <w:tc>
          <w:tcPr/>
          <w:p>
            <w:pPr>
              <w:pStyle w:val="Compact"/>
            </w:pPr>
            <w:r>
              <w:t xml:space="preserve">podatki.gov.pl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Belgium</w:t>
            </w:r>
          </w:p>
        </w:tc>
        <w:tc>
          <w:tcPr/>
          <w:p>
            <w:pPr>
              <w:pStyle w:val="Compact"/>
            </w:pPr>
            <w:r>
              <w:t xml:space="preserve">No strict domestic requirement. Cloud permitted. Peppol certified providers.</w:t>
            </w:r>
          </w:p>
        </w:tc>
        <w:tc>
          <w:tcPr/>
          <w:p>
            <w:pPr>
              <w:pStyle w:val="Compact"/>
            </w:pPr>
            <w:r>
              <w:t xml:space="preserve">finances.belgium.be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No geographic restrictions. MTD focuses on functional requirements.</w:t>
            </w:r>
          </w:p>
        </w:tc>
        <w:tc>
          <w:tcPr/>
          <w:p>
            <w:pPr>
              <w:pStyle w:val="Compact"/>
            </w:pPr>
            <w:r>
              <w:t xml:space="preserve">gov.uk/hmrc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Romania</w:t>
            </w:r>
          </w:p>
        </w:tc>
        <w:tc>
          <w:tcPr/>
          <w:p>
            <w:pPr>
              <w:pStyle w:val="Compact"/>
            </w:pPr>
            <w:r>
              <w:t xml:space="preserve">EU storage permitted. Must archive XML with digital seal independently.</w:t>
            </w:r>
          </w:p>
        </w:tc>
        <w:tc>
          <w:tcPr/>
          <w:p>
            <w:pPr>
              <w:pStyle w:val="Compact"/>
            </w:pPr>
            <w:r>
              <w:t xml:space="preserve">anaf.ro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Hungary</w:t>
            </w:r>
          </w:p>
        </w:tc>
        <w:tc>
          <w:tcPr/>
          <w:p>
            <w:pPr>
              <w:pStyle w:val="Compact"/>
            </w:pPr>
            <w:r>
              <w:t xml:space="preserve">EU VAT Directive applies. NAV requires immediate access.</w:t>
            </w:r>
          </w:p>
        </w:tc>
        <w:tc>
          <w:tcPr/>
          <w:p>
            <w:pPr>
              <w:pStyle w:val="Compact"/>
            </w:pPr>
            <w:r>
              <w:t xml:space="preserve">nav.gov.hu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EU or GDPR-adequate countries. First to mandate ISO 27001 for Peppol.</w:t>
            </w:r>
          </w:p>
        </w:tc>
        <w:tc>
          <w:tcPr/>
          <w:p>
            <w:pPr>
              <w:pStyle w:val="Compact"/>
            </w:pPr>
            <w:r>
              <w:t xml:space="preserve">belastingdienst.nl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Default: Sweden. EU/EEA requires notification to Skatteverket.</w:t>
            </w:r>
          </w:p>
        </w:tc>
        <w:tc>
          <w:tcPr/>
          <w:p>
            <w:pPr>
              <w:pStyle w:val="Compact"/>
            </w:pPr>
            <w:r>
              <w:t xml:space="preserve">skatteverket.se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Default: Norway. Nordic (DK, FI, IS, SE) exempt without application.</w:t>
            </w:r>
          </w:p>
        </w:tc>
        <w:tc>
          <w:tcPr/>
          <w:p>
            <w:pPr>
              <w:pStyle w:val="Compact"/>
            </w:pPr>
            <w:r>
              <w:t xml:space="preserve">skatteetaten.no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Ireland</w:t>
            </w:r>
          </w:p>
        </w:tc>
        <w:tc>
          <w:tcPr/>
          <w:p>
            <w:pPr>
              <w:pStyle w:val="Compact"/>
            </w:pPr>
            <w:r>
              <w:t xml:space="preserve">EU storage permitted. Paper in Ireland. Ireland region provides local option.</w:t>
            </w:r>
          </w:p>
        </w:tc>
        <w:tc>
          <w:tcPr/>
          <w:p>
            <w:pPr>
              <w:pStyle w:val="Compact"/>
            </w:pPr>
            <w:r>
              <w:t xml:space="preserve">revenue.ie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No mandatory domestic requirement. Functional accessibility over location.</w:t>
            </w:r>
          </w:p>
        </w:tc>
        <w:tc>
          <w:tcPr/>
          <w:p>
            <w:pPr>
              <w:pStyle w:val="Compact"/>
            </w:pPr>
            <w:r>
              <w:t xml:space="preserve">bmf.gv.at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No explicit domestic requirement. Zurich region optimal.</w:t>
            </w:r>
          </w:p>
        </w:tc>
        <w:tc>
          <w:tcPr/>
          <w:p>
            <w:pPr>
              <w:pStyle w:val="Compact"/>
            </w:pPr>
            <w:r>
              <w:t xml:space="preserve">estv.admin.ch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Finland</w:t>
            </w:r>
          </w:p>
        </w:tc>
        <w:tc>
          <w:tcPr/>
          <w:p>
            <w:pPr>
              <w:pStyle w:val="Compact"/>
            </w:pPr>
            <w:r>
              <w:t xml:space="preserve">No explicit domestic requirement. EU/EEA preferred. Peppol pioneer since 2009.</w:t>
            </w:r>
          </w:p>
        </w:tc>
        <w:tc>
          <w:tcPr/>
          <w:p>
            <w:pPr>
              <w:pStyle w:val="Compact"/>
            </w:pPr>
            <w:r>
              <w:t xml:space="preserve">vero.fi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Denmark</w:t>
            </w:r>
          </w:p>
        </w:tc>
        <w:tc>
          <w:tcPr/>
          <w:p>
            <w:pPr>
              <w:pStyle w:val="Compact"/>
            </w:pPr>
            <w:r>
              <w:t xml:space="preserve">No geographic mandate. Focus on certified cloud-ready systems.</w:t>
            </w:r>
          </w:p>
        </w:tc>
        <w:tc>
          <w:tcPr/>
          <w:p>
            <w:pPr>
              <w:pStyle w:val="Compact"/>
            </w:pPr>
            <w:r>
              <w:t xml:space="preserve">skat.dk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Electronic: EU permitted. Paper: Portugal. AT-certified billing required.</w:t>
            </w:r>
          </w:p>
        </w:tc>
        <w:tc>
          <w:tcPr/>
          <w:p>
            <w:pPr>
              <w:pStyle w:val="Compact"/>
            </w:pPr>
            <w:r>
              <w:t xml:space="preserve">portaldasfinancas.gov.pt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No explicit data residency. myDATA real-time focus. Certified providers required.</w:t>
            </w:r>
          </w:p>
        </w:tc>
        <w:tc>
          <w:tcPr/>
          <w:p>
            <w:pPr>
              <w:pStyle w:val="Compact"/>
            </w:pPr>
            <w:r>
              <w:t xml:space="preserve">aade.gr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Republic</w:t>
            </w:r>
          </w:p>
        </w:tc>
        <w:tc>
          <w:tcPr/>
          <w:p>
            <w:pPr>
              <w:pStyle w:val="Compact"/>
            </w:pPr>
            <w:r>
              <w:t xml:space="preserve">VAT Act allows abroad. Key: immediate free electronic access.</w:t>
            </w:r>
          </w:p>
        </w:tc>
        <w:tc>
          <w:tcPr/>
          <w:p>
            <w:pPr>
              <w:pStyle w:val="Compact"/>
            </w:pPr>
            <w:r>
              <w:t xml:space="preserve">mfcr.cz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Slovakia</w:t>
            </w:r>
          </w:p>
        </w:tc>
        <w:tc>
          <w:tcPr/>
          <w:p>
            <w:pPr>
              <w:pStyle w:val="Compact"/>
            </w:pPr>
            <w:r>
              <w:t xml:space="preserve">No domestic mandate. Storage flexible. IS EFA for B2G.</w:t>
            </w:r>
          </w:p>
        </w:tc>
        <w:tc>
          <w:tcPr/>
          <w:p>
            <w:pPr>
              <w:pStyle w:val="Compact"/>
            </w:pPr>
            <w:r>
              <w:t xml:space="preserve">financnasprava.sk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Slovenia</w:t>
            </w:r>
          </w:p>
        </w:tc>
        <w:tc>
          <w:tcPr/>
          <w:p>
            <w:pPr>
              <w:pStyle w:val="Compact"/>
            </w:pPr>
            <w:r>
              <w:t xml:space="preserve">EU VAT Directive applies. EU storage permitted. 20 years for real estate.</w:t>
            </w:r>
          </w:p>
        </w:tc>
        <w:tc>
          <w:tcPr/>
          <w:p>
            <w:pPr>
              <w:pStyle w:val="Compact"/>
            </w:pPr>
            <w:r>
              <w:t xml:space="preserve">fu.gov.si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Croatia</w:t>
            </w:r>
          </w:p>
        </w:tc>
        <w:tc>
          <w:tcPr/>
          <w:p>
            <w:pPr>
              <w:pStyle w:val="Compact"/>
            </w:pPr>
            <w:r>
              <w:t xml:space="preserve">Fiscalization focuses on real-time reporting not location. 11-year retention.</w:t>
            </w:r>
          </w:p>
        </w:tc>
        <w:tc>
          <w:tcPr/>
          <w:p>
            <w:pPr>
              <w:pStyle w:val="Compact"/>
            </w:pPr>
            <w:r>
              <w:t xml:space="preserve">porezna-uprava.hr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Bulgaria</w:t>
            </w:r>
          </w:p>
        </w:tc>
        <w:tc>
          <w:tcPr/>
          <w:p>
            <w:pPr>
              <w:pStyle w:val="Compact"/>
            </w:pPr>
            <w:r>
              <w:t xml:space="preserve">EU Directive framework. No explicit domestic requirement.</w:t>
            </w:r>
          </w:p>
        </w:tc>
        <w:tc>
          <w:tcPr/>
          <w:p>
            <w:pPr>
              <w:pStyle w:val="Compact"/>
            </w:pPr>
            <w:r>
              <w:t xml:space="preserve">nra.bg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Latvia</w:t>
            </w:r>
          </w:p>
        </w:tc>
        <w:tc>
          <w:tcPr/>
          <w:p>
            <w:pPr>
              <w:pStyle w:val="Compact"/>
            </w:pPr>
            <w:r>
              <w:t xml:space="preserve">Abroad allowed with online access. Electronic invoices flexible.</w:t>
            </w:r>
          </w:p>
        </w:tc>
        <w:tc>
          <w:tcPr/>
          <w:p>
            <w:pPr>
              <w:pStyle w:val="Compact"/>
            </w:pPr>
            <w:r>
              <w:t xml:space="preserve">vid.gov.lv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Lithuania</w:t>
            </w:r>
          </w:p>
        </w:tc>
        <w:tc>
          <w:tcPr/>
          <w:p>
            <w:pPr>
              <w:pStyle w:val="Compact"/>
            </w:pPr>
            <w:r>
              <w:t xml:space="preserve">No explicit national residency. EU permitted. Focus on audit accessibility.</w:t>
            </w:r>
          </w:p>
        </w:tc>
        <w:tc>
          <w:tcPr/>
          <w:p>
            <w:pPr>
              <w:pStyle w:val="Compact"/>
            </w:pPr>
            <w:r>
              <w:t xml:space="preserve">vmi.lt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Estonia</w:t>
            </w:r>
          </w:p>
        </w:tc>
        <w:tc>
          <w:tcPr/>
          <w:p>
            <w:pPr>
              <w:pStyle w:val="Compact"/>
            </w:pPr>
            <w:r>
              <w:t xml:space="preserve">EMTA explicitly allows taxpayer choice of location. Most flexible.</w:t>
            </w:r>
          </w:p>
        </w:tc>
        <w:tc>
          <w:tcPr/>
          <w:p>
            <w:pPr>
              <w:pStyle w:val="Compact"/>
            </w:pPr>
            <w:r>
              <w:t xml:space="preserve">emta.ee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Luxembourg</w:t>
            </w:r>
          </w:p>
        </w:tc>
        <w:tc>
          <w:tcPr/>
          <w:p>
            <w:pPr>
              <w:pStyle w:val="Compact"/>
            </w:pPr>
            <w:r>
              <w:t xml:space="preserve">Guichet.lu: "Place of preservation must be Luxembourg." Strictest in EU.</w:t>
            </w:r>
          </w:p>
        </w:tc>
        <w:tc>
          <w:tcPr/>
          <w:p>
            <w:pPr>
              <w:pStyle w:val="Compact"/>
            </w:pPr>
            <w:r>
              <w:t xml:space="preserve">acd.gouvernement.lu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January 9, 2026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Official government tax authority websites, EU Digital Building Blocks, national VAT/tax legislation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AWS region recommendations are guidance only. Confirm with legal counsel and AWS compliance teams before production deployment.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eInvoicing Data Residency Requirements - ME &amp; EU Countries</dc:title>
  <dc:creator/>
  <cp:keywords/>
  <dcterms:created xsi:type="dcterms:W3CDTF">2026-01-09T10:52:03Z</dcterms:created>
  <dcterms:modified xsi:type="dcterms:W3CDTF">2026-01-09T10:52:03Z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