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136F63"/>
          <w:sz w:val="22"/>
        </w:rPr>
        <w:t>G42 HOLDING LLC  |  GROUP HUMAN RESOURCES &amp; LEGAL GOVERNANCE</w:t>
      </w:r>
    </w:p>
    <w:p>
      <w:pPr>
        <w:spacing w:before="80" w:after="160"/>
      </w:pPr>
      <w:r>
        <w:rPr>
          <w:rFonts w:ascii="Calibri" w:hAnsi="Calibri"/>
          <w:b/>
          <w:color w:val="0B2545"/>
          <w:sz w:val="44"/>
        </w:rPr>
        <w:t>GROUP GLOBAL CODE OF BUSINESS CONDUCT, ETHICS &amp; WORKPLACE STANDARDS</w:t>
      </w:r>
    </w:p>
    <w:p>
      <w:pPr>
        <w:spacing w:before="0" w:after="400"/>
      </w:pPr>
      <w:r>
        <w:rPr>
          <w:rFonts w:ascii="Calibri" w:hAnsi="Calibri"/>
          <w:color w:val="465A6E"/>
          <w:sz w:val="20"/>
        </w:rPr>
        <w:t>A binding enterprise-wide operational and ethical standard codifying group anti-corruption and FCPA compliance, conflicts of interest disclosures, gift and hospitality thresholds ($150 / $500 ceilings), global trade and export sanctions, non-discrimination, hybrid workplace mobility, zero-tolerance anti-harassment mandates, Long-Term Incentive Plan (LTIP) governance, autonomous agent workplace ethics (Sage Agent), confidential whistleblowing safe harbors, and progressive disciplinary frameworks across G42 and all operating subsidiaries.</w:t>
      </w:r>
    </w:p>
    <w:tbl>
      <w:tblPr>
        <w:tblW w:type="auto" w:w="0"/>
        <w:jc w:val="center"/>
        <w:tblLayout w:type="fixed"/>
        <w:tblLook w:firstColumn="1" w:firstRow="1" w:lastColumn="0" w:lastRow="0" w:noHBand="0" w:noVBand="1" w:val="04A0"/>
      </w:tblPr>
      <w:tblGrid>
        <w:gridCol w:w="3024"/>
        <w:gridCol w:w="6005"/>
      </w:tblGrid>
      <w:tr>
        <w:tc>
          <w:tcPr>
            <w:tcW w:type="dxa" w:w="3024"/>
            <w:shd w:fill="0B2545"/>
            <w:tcMar>
              <w:top w:w="100" w:type="dxa"/>
              <w:bottom w:w="100" w:type="dxa"/>
              <w:left w:w="120" w:type="dxa"/>
              <w:right w:w="120" w:type="dxa"/>
            </w:tcMar>
          </w:tcPr>
          <w:p>
            <w:pPr>
              <w:spacing w:before="0" w:after="0"/>
              <w:jc w:val="left"/>
            </w:pPr>
            <w:r>
              <w:rPr>
                <w:rFonts w:ascii="Calibri" w:hAnsi="Calibri"/>
                <w:b/>
                <w:color w:val="FFFFFF"/>
                <w:sz w:val="17"/>
              </w:rPr>
              <w:t>Metadata Schema Attribute</w:t>
            </w:r>
          </w:p>
        </w:tc>
        <w:tc>
          <w:tcPr>
            <w:tcW w:type="dxa" w:w="6005"/>
            <w:shd w:fill="0B2545"/>
            <w:tcMar>
              <w:top w:w="100" w:type="dxa"/>
              <w:bottom w:w="100" w:type="dxa"/>
              <w:left w:w="120" w:type="dxa"/>
              <w:right w:w="120" w:type="dxa"/>
            </w:tcMar>
          </w:tcPr>
          <w:p>
            <w:pPr>
              <w:spacing w:before="0" w:after="0"/>
              <w:jc w:val="left"/>
            </w:pPr>
            <w:r>
              <w:rPr>
                <w:rFonts w:ascii="Calibri" w:hAnsi="Calibri"/>
                <w:b/>
                <w:color w:val="FFFFFF"/>
                <w:sz w:val="17"/>
              </w:rPr>
              <w:t>Enterprise Policy Specification Value</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Document Identifier</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G42-POL-HR-004</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Document Title</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Group Global Code of Business Conduct, Ethics &amp; Workplace Standards</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Document Type</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Group Enterprise Policy (Mandatory Tier-1 Human Capital &amp; Ethics Standard)</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Taxonomy Classification</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GROUP-LEVEL (Universally Applicable Across Group &amp; All OpCos)</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Document Owner</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Group Chief Human Resources Officer (CHRO) / Group General Counsel</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Issuing Body</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G42 Group Executive Committee &amp; Board Governance Committee</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Approval Status</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Approved &amp; Formally Ratified</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Effective Date</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January 15, 2026</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Last Review Date</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January 10, 2026</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Next Mandatory Review</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January 15, 2027 (Annual Cycle or upon UAE Labor / Anti-Corruption Statutory Updates)</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Target Entities / Scope</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G42 Holding LLC, Core42, Inception (IIAI), Presight AI, AIQ, Khazna, Space42, Global Offices &amp; Autonomous Agents</w:t>
            </w:r>
          </w:p>
        </w:tc>
      </w:tr>
      <w:tr>
        <w:tc>
          <w:tcPr>
            <w:tcW w:type="dxa" w:w="3024"/>
            <w:shd w:fill="F7F9FB"/>
            <w:tcMar>
              <w:top w:w="80" w:type="dxa"/>
              <w:bottom w:w="80" w:type="dxa"/>
              <w:left w:w="120" w:type="dxa"/>
              <w:right w:w="120" w:type="dxa"/>
            </w:tcMar>
          </w:tcPr>
          <w:p>
            <w:pPr>
              <w:spacing w:before="0" w:after="0"/>
            </w:pPr>
            <w:r>
              <w:rPr>
                <w:rFonts w:ascii="Calibri" w:hAnsi="Calibri"/>
                <w:color w:val="2D3237"/>
                <w:sz w:val="16"/>
              </w:rPr>
              <w:t>Security Classification</w:t>
            </w:r>
          </w:p>
        </w:tc>
        <w:tc>
          <w:tcPr>
            <w:tcW w:type="dxa" w:w="6005"/>
            <w:shd w:fill="F7F9FB"/>
            <w:tcMar>
              <w:top w:w="80" w:type="dxa"/>
              <w:bottom w:w="80" w:type="dxa"/>
              <w:left w:w="120" w:type="dxa"/>
              <w:right w:w="120" w:type="dxa"/>
            </w:tcMar>
          </w:tcPr>
          <w:p>
            <w:pPr>
              <w:spacing w:before="0" w:after="0"/>
            </w:pPr>
            <w:r>
              <w:rPr>
                <w:rFonts w:ascii="Calibri" w:hAnsi="Calibri"/>
                <w:color w:val="2D3237"/>
                <w:sz w:val="16"/>
              </w:rPr>
              <w:t>CONFIDENTIAL / INTERNAL ENTERPRISE STANDARD - LEVEL 3 RESTRICTED</w:t>
            </w:r>
          </w:p>
        </w:tc>
      </w:tr>
      <w:tr>
        <w:tc>
          <w:tcPr>
            <w:tcW w:type="dxa" w:w="3024"/>
            <w:shd w:fill="FFFFFF"/>
            <w:tcMar>
              <w:top w:w="80" w:type="dxa"/>
              <w:bottom w:w="80" w:type="dxa"/>
              <w:left w:w="120" w:type="dxa"/>
              <w:right w:w="120" w:type="dxa"/>
            </w:tcMar>
          </w:tcPr>
          <w:p>
            <w:pPr>
              <w:spacing w:before="0" w:after="0"/>
            </w:pPr>
            <w:r>
              <w:rPr>
                <w:rFonts w:ascii="Calibri" w:hAnsi="Calibri"/>
                <w:color w:val="2D3237"/>
                <w:sz w:val="16"/>
              </w:rPr>
              <w:t>Version &amp; Build</w:t>
            </w:r>
          </w:p>
        </w:tc>
        <w:tc>
          <w:tcPr>
            <w:tcW w:type="dxa" w:w="6005"/>
            <w:shd w:fill="FFFFFF"/>
            <w:tcMar>
              <w:top w:w="80" w:type="dxa"/>
              <w:bottom w:w="80" w:type="dxa"/>
              <w:left w:w="120" w:type="dxa"/>
              <w:right w:w="120" w:type="dxa"/>
            </w:tcMar>
          </w:tcPr>
          <w:p>
            <w:pPr>
              <w:spacing w:before="0" w:after="0"/>
            </w:pPr>
            <w:r>
              <w:rPr>
                <w:rFonts w:ascii="Calibri" w:hAnsi="Calibri"/>
                <w:color w:val="2D3237"/>
                <w:sz w:val="16"/>
              </w:rPr>
              <w:t>Version 5.0.0 (Global Enterprise Harmonization Release)</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[EXECUTIVE COMPLIANCE MANDATE]</w:t>
              <w:br/>
            </w:r>
            <w:r>
              <w:rPr>
                <w:rFonts w:ascii="Calibri" w:hAnsi="Calibri"/>
                <w:color w:val="2D3237"/>
                <w:sz w:val="19"/>
              </w:rPr>
              <w:t>MANDATORY GROUP-WIDE ETHICAL DIRECTIVE: This policy constitutes a Tier-1 Group Policy under G42 Corporate Charter Article 14 and Human Resources Governance Directive HRD-201. All full-time employees, board directors, seconded staff, consultants, vendor partners, and autonomous artificial intelligence systems (specifically including Sage Agent) must strictly comply with the ethical mandates, anti-bribery limits, and behavioral standards specified herein.</w:t>
            </w:r>
          </w:p>
        </w:tc>
      </w:tr>
    </w:tbl>
    <w:p>
      <w:pPr>
        <w:spacing w:before="0" w:after="80"/>
      </w:pPr>
    </w:p>
    <w:p>
      <w:r>
        <w:br w:type="page"/>
      </w:r>
    </w:p>
    <w:p>
      <w:pPr>
        <w:keepNext/>
        <w:spacing w:before="360" w:after="120"/>
      </w:pPr>
      <w:r>
        <w:rPr>
          <w:rFonts w:ascii="Calibri" w:hAnsi="Calibri"/>
          <w:b/>
          <w:color w:val="0B2545"/>
          <w:sz w:val="29"/>
        </w:rPr>
        <w:t>TABLE OF CONTENTS &amp; DOCUMENT ARCHITECTURE</w:t>
      </w:r>
    </w:p>
    <w:p>
      <w:pPr>
        <w:spacing w:before="0" w:after="100" w:line="276" w:lineRule="auto"/>
      </w:pPr>
      <w:r>
        <w:rPr>
          <w:rFonts w:ascii="Calibri" w:hAnsi="Calibri"/>
          <w:color w:val="2D3237"/>
          <w:sz w:val="19"/>
        </w:rPr>
        <w:t>This document establishes the binding standards of integrity, professional conduct, human capital management, and statutory compliance across G42 Holding LLC and its subsidiary ecosystem. The pagination below provides a verified 1-to-1 index mapping designed for automated ingestion, semantic parsing, and exact citation retrieval by Sage Agent.</w:t>
      </w:r>
    </w:p>
    <w:tbl>
      <w:tblPr>
        <w:tblW w:type="auto" w:w="0"/>
        <w:jc w:val="center"/>
        <w:tblLayout w:type="fixed"/>
        <w:tblLook w:firstColumn="1" w:firstRow="1" w:lastColumn="0" w:lastRow="0" w:noHBand="0" w:noVBand="1" w:val="04A0"/>
      </w:tblPr>
      <w:tblGrid>
        <w:gridCol w:w="1440"/>
        <w:gridCol w:w="3312"/>
        <w:gridCol w:w="1152"/>
        <w:gridCol w:w="3125"/>
      </w:tblGrid>
      <w:tr>
        <w:tc>
          <w:tcPr>
            <w:tcW w:type="dxa" w:w="1440"/>
            <w:shd w:fill="0B2545"/>
            <w:tcMar>
              <w:top w:w="100" w:type="dxa"/>
              <w:bottom w:w="100" w:type="dxa"/>
              <w:left w:w="120" w:type="dxa"/>
              <w:right w:w="120" w:type="dxa"/>
            </w:tcMar>
          </w:tcPr>
          <w:p>
            <w:pPr>
              <w:spacing w:before="0" w:after="0"/>
              <w:jc w:val="left"/>
            </w:pPr>
            <w:r>
              <w:rPr>
                <w:rFonts w:ascii="Calibri" w:hAnsi="Calibri"/>
                <w:b/>
                <w:color w:val="FFFFFF"/>
                <w:sz w:val="17"/>
              </w:rPr>
              <w:t>Section Ref</w:t>
            </w:r>
          </w:p>
        </w:tc>
        <w:tc>
          <w:tcPr>
            <w:tcW w:type="dxa" w:w="3312"/>
            <w:shd w:fill="0B2545"/>
            <w:tcMar>
              <w:top w:w="100" w:type="dxa"/>
              <w:bottom w:w="100" w:type="dxa"/>
              <w:left w:w="120" w:type="dxa"/>
              <w:right w:w="120" w:type="dxa"/>
            </w:tcMar>
          </w:tcPr>
          <w:p>
            <w:pPr>
              <w:spacing w:before="0" w:after="0"/>
              <w:jc w:val="left"/>
            </w:pPr>
            <w:r>
              <w:rPr>
                <w:rFonts w:ascii="Calibri" w:hAnsi="Calibri"/>
                <w:b/>
                <w:color w:val="FFFFFF"/>
                <w:sz w:val="17"/>
              </w:rPr>
              <w:t>HR &amp; Governance Domain Title</w:t>
            </w:r>
          </w:p>
        </w:tc>
        <w:tc>
          <w:tcPr>
            <w:tcW w:type="dxa" w:w="1152"/>
            <w:shd w:fill="0B2545"/>
            <w:tcMar>
              <w:top w:w="100" w:type="dxa"/>
              <w:bottom w:w="100" w:type="dxa"/>
              <w:left w:w="120" w:type="dxa"/>
              <w:right w:w="120" w:type="dxa"/>
            </w:tcMar>
          </w:tcPr>
          <w:p>
            <w:pPr>
              <w:spacing w:before="0" w:after="0"/>
              <w:jc w:val="left"/>
            </w:pPr>
            <w:r>
              <w:rPr>
                <w:rFonts w:ascii="Calibri" w:hAnsi="Calibri"/>
                <w:b/>
                <w:color w:val="FFFFFF"/>
                <w:sz w:val="17"/>
              </w:rPr>
              <w:t>Pagination</w:t>
            </w:r>
          </w:p>
        </w:tc>
        <w:tc>
          <w:tcPr>
            <w:tcW w:type="dxa" w:w="3125"/>
            <w:shd w:fill="0B2545"/>
            <w:tcMar>
              <w:top w:w="100" w:type="dxa"/>
              <w:bottom w:w="100" w:type="dxa"/>
              <w:left w:w="120" w:type="dxa"/>
              <w:right w:w="120" w:type="dxa"/>
            </w:tcMar>
          </w:tcPr>
          <w:p>
            <w:pPr>
              <w:spacing w:before="0" w:after="0"/>
              <w:jc w:val="left"/>
            </w:pPr>
            <w:r>
              <w:rPr>
                <w:rFonts w:ascii="Calibri" w:hAnsi="Calibri"/>
                <w:b/>
                <w:color w:val="FFFFFF"/>
                <w:sz w:val="17"/>
              </w:rPr>
              <w:t>Structural Scope &amp; Clause Overview</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Purpose, Vision &amp; Corporate Ethical Framework</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3-4</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Defines the ethical charter, executive commitment, core organizational values, and leadership accountability.</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2</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Scope, Applicability &amp; Subsidiary Governance Structure</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5-6</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Universal applicability across Core42, Presight, Inception, AIQ, Khazna, Space42, and shared services.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3</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Global Anti-Bribery, Anti-Corruption &amp; FCPA Compliance</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7-8</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Zero tolerance on commercial bribery, public official interactions, facilitation payment bans, and FCPA / UKBA compliance.</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4</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Gifts, Hospitality &amp; Entertainment Standards ($150 / $500 Rules)</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9-10</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Mandatory gift valuation ceilings, Compliance Registry logging, pre-approval workflows, and public sector bans.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5</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Fiduciary Responsibility &amp; Conflicts of Interest Policy</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11-12</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Mandatory conflict disclosures, &gt;1% equity thresholds, outside board memberships, moonlighting, and nepotism bans.</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6</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International Trade Controls, Export Sanctions &amp; Dual-Use Tech</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13-14</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US EAR Tier-1 GPU export restrictions, Wassenaar dual-use compliance, and automated OFAC / SDN screening.</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7</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Global Diversity, Inclusion &amp; Merit-Based Talent Acquisition</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15-16</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Non-discrimination across 80+ nationalities, equal opportunity, merit-based promotions, and gender pay equity.</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8</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Modern Workplace Policy, Hybrid Work &amp; Cross-Border Mobility</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17-18</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Core hybrid working arrangements, home office ergonomics, cross-border remote work, and international tax nexus rules.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9</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Workplace Conduct, Anti-Harassment &amp; Anti-Bullying Standard</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19-20</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Zero tolerance for verbal, physical, or sexual harassment, workplace bullying, microaggressions, and investigation protocols.</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10</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Total Rewards, Executive Compensation &amp; LTIP Governance</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21-22</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Base salary benchmarking, variable performance bonuses, Long-Term Incentive Plan (LTIP) 4-year vesting, and clawbacks.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11</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Occupational Health, Physical Safety &amp; Wellbeing Standard</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23-24</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Health, Safety &amp; Environment (HSE) standards, data center physical safety, emergency preparedness, and mental wellbeing.</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12</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Corporate Communications, Social Media &amp; Media Disclosures</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25-26</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Designated corporate spokespersons, personal social media conduct, public remarks, and non-disparagement rules.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13</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Insider Trading, Material Non-Public Info (MNPI) &amp; Market Conduct</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27-28</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Prohibition on trading on MNPI, blackout trading windows, pre-clearance procedures, and tipping prohibitions.</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14</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Autonomous Agent Ethics &amp; Synthetic Workplace Interactions (Sage Agent)</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29-30</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Ethical boundaries for agentic workflows, human oversight (HITL), delegation limits, and accountability.</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15</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Whistleblowing, Safe Reporting Channels &amp; EthicsPoint Portal</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31-32</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24/7/365 anonymous whistleblowing channels, independent reporting hotlines, and absolute non-retaliation protections.</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16</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Progressive Disciplinary Framework &amp; Severity Sanctions Matrix</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33-34</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4-tier disciplinary severity matrix, investigation due process, LTIP forfeiture, and criminal prosecution referrals.</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17</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Human Resources Compliance Auditing &amp; Forensic Reviews</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35-36</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Annual HR compliance audits, background check re-screenings, continuous conflict monitoring, and internal audit oversight.</w:t>
            </w:r>
          </w:p>
        </w:tc>
      </w:tr>
      <w:tr>
        <w:tc>
          <w:tcPr>
            <w:tcW w:type="dxa" w:w="1440"/>
            <w:shd w:fill="F7F9FB"/>
            <w:tcMar>
              <w:top w:w="80" w:type="dxa"/>
              <w:bottom w:w="80" w:type="dxa"/>
              <w:left w:w="120" w:type="dxa"/>
              <w:right w:w="120" w:type="dxa"/>
            </w:tcMar>
          </w:tcPr>
          <w:p>
            <w:pPr>
              <w:spacing w:before="0" w:after="0"/>
            </w:pPr>
            <w:r>
              <w:rPr>
                <w:rFonts w:ascii="Calibri" w:hAnsi="Calibri"/>
                <w:color w:val="2D3237"/>
                <w:sz w:val="16"/>
              </w:rPr>
              <w:t>Section 18</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Appendix A: Global Statutory &amp; Regulatory Concordance Mapping</w:t>
            </w:r>
          </w:p>
        </w:tc>
        <w:tc>
          <w:tcPr>
            <w:tcW w:type="dxa" w:w="1152"/>
            <w:shd w:fill="F7F9FB"/>
            <w:tcMar>
              <w:top w:w="80" w:type="dxa"/>
              <w:bottom w:w="80" w:type="dxa"/>
              <w:left w:w="120" w:type="dxa"/>
              <w:right w:w="120" w:type="dxa"/>
            </w:tcMar>
          </w:tcPr>
          <w:p>
            <w:pPr>
              <w:spacing w:before="0" w:after="0"/>
            </w:pPr>
            <w:r>
              <w:rPr>
                <w:rFonts w:ascii="Calibri" w:hAnsi="Calibri"/>
                <w:color w:val="2D3237"/>
                <w:sz w:val="16"/>
              </w:rPr>
              <w:t>Pages 37-38</w:t>
            </w:r>
          </w:p>
        </w:tc>
        <w:tc>
          <w:tcPr>
            <w:tcW w:type="dxa" w:w="3125"/>
            <w:shd w:fill="F7F9FB"/>
            <w:tcMar>
              <w:top w:w="80" w:type="dxa"/>
              <w:bottom w:w="80" w:type="dxa"/>
              <w:left w:w="120" w:type="dxa"/>
              <w:right w:w="120" w:type="dxa"/>
            </w:tcMar>
          </w:tcPr>
          <w:p>
            <w:pPr>
              <w:spacing w:before="0" w:after="0"/>
            </w:pPr>
            <w:r>
              <w:rPr>
                <w:rFonts w:ascii="Calibri" w:hAnsi="Calibri"/>
                <w:color w:val="2D3237"/>
                <w:sz w:val="16"/>
              </w:rPr>
              <w:t>Statutory alignment to UAE Labor Law (Decree 33/2021), US FCPA, UK Bribery Act 2010, and UN Global Compact.</w:t>
            </w:r>
          </w:p>
        </w:tc>
      </w:tr>
      <w:tr>
        <w:tc>
          <w:tcPr>
            <w:tcW w:type="dxa" w:w="1440"/>
            <w:shd w:fill="FFFFFF"/>
            <w:tcMar>
              <w:top w:w="80" w:type="dxa"/>
              <w:bottom w:w="80" w:type="dxa"/>
              <w:left w:w="120" w:type="dxa"/>
              <w:right w:w="120" w:type="dxa"/>
            </w:tcMar>
          </w:tcPr>
          <w:p>
            <w:pPr>
              <w:spacing w:before="0" w:after="0"/>
            </w:pPr>
            <w:r>
              <w:rPr>
                <w:rFonts w:ascii="Calibri" w:hAnsi="Calibri"/>
                <w:color w:val="2D3237"/>
                <w:sz w:val="16"/>
              </w:rPr>
              <w:t>Section 19</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Appendix B: Mandatory Policy Attestation Registry</w:t>
            </w:r>
          </w:p>
        </w:tc>
        <w:tc>
          <w:tcPr>
            <w:tcW w:type="dxa" w:w="1152"/>
            <w:shd w:fill="FFFFFF"/>
            <w:tcMar>
              <w:top w:w="80" w:type="dxa"/>
              <w:bottom w:w="80" w:type="dxa"/>
              <w:left w:w="120" w:type="dxa"/>
              <w:right w:w="120" w:type="dxa"/>
            </w:tcMar>
          </w:tcPr>
          <w:p>
            <w:pPr>
              <w:spacing w:before="0" w:after="0"/>
            </w:pPr>
            <w:r>
              <w:rPr>
                <w:rFonts w:ascii="Calibri" w:hAnsi="Calibri"/>
                <w:color w:val="2D3237"/>
                <w:sz w:val="16"/>
              </w:rPr>
              <w:t>Pages 39-40</w:t>
            </w:r>
          </w:p>
        </w:tc>
        <w:tc>
          <w:tcPr>
            <w:tcW w:type="dxa" w:w="3125"/>
            <w:shd w:fill="FFFFFF"/>
            <w:tcMar>
              <w:top w:w="80" w:type="dxa"/>
              <w:bottom w:w="80" w:type="dxa"/>
              <w:left w:w="120" w:type="dxa"/>
              <w:right w:w="120" w:type="dxa"/>
            </w:tcMar>
          </w:tcPr>
          <w:p>
            <w:pPr>
              <w:spacing w:before="0" w:after="0"/>
            </w:pPr>
            <w:r>
              <w:rPr>
                <w:rFonts w:ascii="Calibri" w:hAnsi="Calibri"/>
                <w:color w:val="2D3237"/>
                <w:sz w:val="16"/>
              </w:rPr>
              <w:t>Formal digital acknowledgment, compliance certifications, and executive countersignature execution tables.</w:t>
            </w:r>
          </w:p>
        </w:tc>
      </w:tr>
    </w:tbl>
    <w:p>
      <w:pPr>
        <w:spacing w:before="0" w:after="80"/>
      </w:pPr>
    </w:p>
    <w:p>
      <w:r>
        <w:br w:type="page"/>
      </w:r>
    </w:p>
    <w:p>
      <w:pPr>
        <w:keepNext/>
        <w:spacing w:before="360" w:after="120"/>
      </w:pPr>
      <w:r>
        <w:rPr>
          <w:rFonts w:ascii="Calibri" w:hAnsi="Calibri"/>
          <w:b/>
          <w:color w:val="0B2545"/>
          <w:sz w:val="29"/>
        </w:rPr>
        <w:t>SECTION 1: PURPOSE, VISION &amp; CORPORATE ETHICAL FRAMEWORK</w:t>
      </w:r>
    </w:p>
    <w:p>
      <w:pPr>
        <w:keepNext/>
        <w:spacing w:before="260" w:after="80"/>
      </w:pPr>
      <w:r>
        <w:rPr>
          <w:rFonts w:ascii="Calibri" w:hAnsi="Calibri"/>
          <w:b/>
          <w:color w:val="136F63"/>
          <w:sz w:val="23"/>
        </w:rPr>
        <w:t>1.1 Executive Statement &amp; Corporate Purpose</w:t>
      </w:r>
    </w:p>
    <w:p>
      <w:pPr>
        <w:spacing w:before="0" w:after="100" w:line="276" w:lineRule="auto"/>
      </w:pPr>
      <w:r>
        <w:rPr>
          <w:rFonts w:ascii="Calibri" w:hAnsi="Calibri"/>
          <w:color w:val="2D3237"/>
          <w:sz w:val="19"/>
        </w:rPr>
        <w:t>Clause 1.1.1 — G42 Holding LLC ('G42' or the 'Group') is a visionary global leader in artificial intelligence, cloud supercomputing, sovereign digital infrastructure, and frontier technological innovation. Headquartered in Abu Dhabi, United Arab Emirates, G42 pioneers groundbreaking technologies designed to solve humanity's most complex challenges across healthcare, energy, public services, smart cities, and space exploration. Operating at this scale requires an unwavering commitment to corporate integrity, transparent governance, lawful operations, and the highest standards of professional ethics.</w:t>
      </w:r>
    </w:p>
    <w:p>
      <w:pPr>
        <w:spacing w:before="0" w:after="100" w:line="276" w:lineRule="auto"/>
      </w:pPr>
      <w:r>
        <w:rPr>
          <w:rFonts w:ascii="Calibri" w:hAnsi="Calibri"/>
          <w:color w:val="2D3237"/>
          <w:sz w:val="19"/>
        </w:rPr>
        <w:t>Clause 1.1.2 — The purpose of this Group Global Code of Business Conduct, Ethics &amp; Workplace Standards (G42-POL-HR-004) is to articulate the core principles, legal standards, and behavioral expectations governing every individual who works for, represents, or interacts with G42. This policy serves as the moral compass and operational baseline for our global enterprise, ensuring that our technical brilliance is matched by our institutional ethics and societal responsibility.</w:t>
      </w:r>
    </w:p>
    <w:p>
      <w:pPr>
        <w:keepNext/>
        <w:spacing w:before="260" w:after="80"/>
      </w:pPr>
      <w:r>
        <w:rPr>
          <w:rFonts w:ascii="Calibri" w:hAnsi="Calibri"/>
          <w:b/>
          <w:color w:val="136F63"/>
          <w:sz w:val="23"/>
        </w:rPr>
        <w:t>1.2 The Four Core Organizational Values</w:t>
      </w:r>
    </w:p>
    <w:p>
      <w:pPr>
        <w:spacing w:before="0" w:after="100" w:line="276" w:lineRule="auto"/>
      </w:pPr>
      <w:r>
        <w:rPr>
          <w:rFonts w:ascii="Calibri" w:hAnsi="Calibri"/>
          <w:color w:val="2D3237"/>
          <w:sz w:val="19"/>
        </w:rPr>
        <w:t>Clause 1.2.1 — All professional conduct, business decisions, research endeavors, and commercial partnerships across G42 must reflect four fundamental organizational values:</w:t>
      </w:r>
    </w:p>
    <w:p>
      <w:pPr>
        <w:pStyle w:val="ListBullet"/>
        <w:spacing w:before="0" w:after="50" w:line="276" w:lineRule="auto"/>
      </w:pPr>
      <w:r>
        <w:rPr>
          <w:rFonts w:ascii="Calibri" w:hAnsi="Calibri"/>
          <w:b/>
          <w:color w:val="2D3237"/>
          <w:sz w:val="19"/>
        </w:rPr>
        <w:t xml:space="preserve">Value 1: Relentless Innovation: </w:t>
      </w:r>
      <w:r>
        <w:rPr>
          <w:rFonts w:ascii="Calibri" w:hAnsi="Calibri"/>
          <w:color w:val="2D3237"/>
          <w:sz w:val="19"/>
        </w:rPr>
        <w:t>We push the boundaries of what is possible, fostering creative scientific discovery, technical excellence, and transformative technological impact.</w:t>
      </w:r>
    </w:p>
    <w:p>
      <w:pPr>
        <w:pStyle w:val="ListBullet"/>
        <w:spacing w:before="0" w:after="50" w:line="276" w:lineRule="auto"/>
      </w:pPr>
      <w:r>
        <w:rPr>
          <w:rFonts w:ascii="Calibri" w:hAnsi="Calibri"/>
          <w:b/>
          <w:color w:val="2D3237"/>
          <w:sz w:val="19"/>
        </w:rPr>
        <w:t xml:space="preserve">Value 2: Uncompromising Courage: </w:t>
      </w:r>
      <w:r>
        <w:rPr>
          <w:rFonts w:ascii="Calibri" w:hAnsi="Calibri"/>
          <w:color w:val="2D3237"/>
          <w:sz w:val="19"/>
        </w:rPr>
        <w:t>We embrace audacious goals, challenge conventional dogmas, and take calculated risks while maintaining absolute ethical boundaries.</w:t>
      </w:r>
    </w:p>
    <w:p>
      <w:pPr>
        <w:pStyle w:val="ListBullet"/>
        <w:spacing w:before="0" w:after="50" w:line="276" w:lineRule="auto"/>
      </w:pPr>
      <w:r>
        <w:rPr>
          <w:rFonts w:ascii="Calibri" w:hAnsi="Calibri"/>
          <w:b/>
          <w:color w:val="2D3237"/>
          <w:sz w:val="19"/>
        </w:rPr>
        <w:t xml:space="preserve">Value 3: Unyielding Integrity: </w:t>
      </w:r>
      <w:r>
        <w:rPr>
          <w:rFonts w:ascii="Calibri" w:hAnsi="Calibri"/>
          <w:color w:val="2D3237"/>
          <w:sz w:val="19"/>
        </w:rPr>
        <w:t>We operate with absolute honesty, transparency, and fairness in all internal and external dealings, honoring our commitments without exception.</w:t>
      </w:r>
    </w:p>
    <w:p>
      <w:pPr>
        <w:pStyle w:val="ListBullet"/>
        <w:spacing w:before="0" w:after="50" w:line="276" w:lineRule="auto"/>
      </w:pPr>
      <w:r>
        <w:rPr>
          <w:rFonts w:ascii="Calibri" w:hAnsi="Calibri"/>
          <w:b/>
          <w:color w:val="2D3237"/>
          <w:sz w:val="19"/>
        </w:rPr>
        <w:t xml:space="preserve">Value 4: Radical Collaboration: </w:t>
      </w:r>
      <w:r>
        <w:rPr>
          <w:rFonts w:ascii="Calibri" w:hAnsi="Calibri"/>
          <w:color w:val="2D3237"/>
          <w:sz w:val="19"/>
        </w:rPr>
        <w:t>We leverage the collective intelligence of our diverse global workforce, partnering openly across operating companies, disciplines, and cultures.</w:t>
      </w:r>
    </w:p>
    <w:p>
      <w:r>
        <w:br w:type="page"/>
      </w:r>
    </w:p>
    <w:p>
      <w:pPr>
        <w:keepNext/>
        <w:spacing w:before="260" w:after="80"/>
      </w:pPr>
      <w:r>
        <w:rPr>
          <w:rFonts w:ascii="Calibri" w:hAnsi="Calibri"/>
          <w:b/>
          <w:color w:val="136F63"/>
          <w:sz w:val="23"/>
        </w:rPr>
        <w:t>1.3 Leadership Accountability &amp; Tone at the Top</w:t>
      </w:r>
    </w:p>
    <w:p>
      <w:pPr>
        <w:spacing w:before="0" w:after="100" w:line="276" w:lineRule="auto"/>
      </w:pPr>
      <w:r>
        <w:rPr>
          <w:rFonts w:ascii="Calibri" w:hAnsi="Calibri"/>
          <w:color w:val="2D3237"/>
          <w:sz w:val="19"/>
        </w:rPr>
        <w:t>Clause 1.3.1 — Executive officers, Operating Company CEOs, vice presidents, directors, and people managers bear a special fiduciary and cultural responsibility to champion this Code of Conduct. Leaders must actively demonstrate ethical behavior in their daily decision-making, foster an open environment where employees feel safe raising concerns, and ensure that commercial goals never eclipse ethical obligations.</w:t>
      </w:r>
    </w:p>
    <w:p>
      <w:pPr>
        <w:spacing w:before="0" w:after="100" w:line="276" w:lineRule="auto"/>
      </w:pPr>
      <w:r>
        <w:rPr>
          <w:rFonts w:ascii="Calibri" w:hAnsi="Calibri"/>
          <w:color w:val="2D3237"/>
          <w:sz w:val="19"/>
        </w:rPr>
        <w:t>Clause 1.3.2 — Managers are strictly accountable for: (a) Ensuring all direct reports complete mandatory annual ethics and compliance certifications; (b) Creating an atmosphere of psychological safety where dissent is welcomed during technical and strategic debates; (c) Promptly escalating any observed or suspected misconduct to the Group Compliance Office; and (d) Enforcing a strict zero-tolerance policy against retaliation of any kind.</w:t>
      </w:r>
    </w:p>
    <w:p>
      <w:pPr>
        <w:keepNext/>
        <w:spacing w:before="260" w:after="80"/>
      </w:pPr>
      <w:r>
        <w:rPr>
          <w:rFonts w:ascii="Calibri" w:hAnsi="Calibri"/>
          <w:b/>
          <w:color w:val="136F63"/>
          <w:sz w:val="23"/>
        </w:rPr>
        <w:t>1.4 Personal Responsibility &amp; The 'Front-Page Test'</w:t>
      </w:r>
    </w:p>
    <w:p>
      <w:pPr>
        <w:spacing w:before="0" w:after="100" w:line="276" w:lineRule="auto"/>
      </w:pPr>
      <w:r>
        <w:rPr>
          <w:rFonts w:ascii="Calibri" w:hAnsi="Calibri"/>
          <w:color w:val="2D3237"/>
          <w:sz w:val="19"/>
        </w:rPr>
        <w:t>Clause 1.4.1 — Every G42 team member is personally responsible for knowing, understanding, and complying with the policies outlined in this document. Ignorance of enterprise policies or local laws is never an acceptable defense for misconduct.</w:t>
      </w:r>
    </w:p>
    <w:p>
      <w:pPr>
        <w:spacing w:before="0" w:after="100" w:line="276" w:lineRule="auto"/>
      </w:pPr>
      <w:r>
        <w:rPr>
          <w:rFonts w:ascii="Calibri" w:hAnsi="Calibri"/>
          <w:color w:val="2D3237"/>
          <w:sz w:val="19"/>
        </w:rPr>
        <w:t>Clause 1.4.2 — When confronted with complex ethical dilemmas or ambiguous business situations, employees must apply the G42 'Front-Page Test': 'Would I feel proud if my proposed action, decision, or email communication were published on the front page of a leading international newspaper or reviewed by our Board of Directors?' If the answer is no or uncertain, the action must not be taken, and guidance must be sought from the Group Compliance Office.</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[ETHICAL RED LINE]</w:t>
              <w:br/>
            </w:r>
            <w:r>
              <w:rPr>
                <w:rFonts w:ascii="Calibri" w:hAnsi="Calibri"/>
                <w:color w:val="2D3237"/>
                <w:sz w:val="19"/>
              </w:rPr>
              <w:t>ETHICAL IMPERATIVE (CLAUSE 1.4.3): Commercial success achieved through deceit, bribery, regulatory circumvention, or employee exploitation is fundamentally antithetical to G42 values and will be treated as gross misconduct resulting in termination and legal action.</w:t>
            </w:r>
          </w:p>
        </w:tc>
      </w:tr>
    </w:tbl>
    <w:p>
      <w:pPr>
        <w:spacing w:before="0" w:after="80"/>
      </w:pPr>
    </w:p>
    <w:p>
      <w:r>
        <w:br w:type="page"/>
      </w:r>
    </w:p>
    <w:p>
      <w:pPr>
        <w:keepNext/>
        <w:spacing w:before="360" w:after="120"/>
      </w:pPr>
      <w:r>
        <w:rPr>
          <w:rFonts w:ascii="Calibri" w:hAnsi="Calibri"/>
          <w:b/>
          <w:color w:val="0B2545"/>
          <w:sz w:val="29"/>
        </w:rPr>
        <w:t>SECTION 2: SCOPE, APPLICABILITY &amp; SUBSIDIARY GOVERNANCE STRUCTURE</w:t>
      </w:r>
    </w:p>
    <w:p>
      <w:pPr>
        <w:keepNext/>
        <w:spacing w:before="260" w:after="80"/>
      </w:pPr>
      <w:r>
        <w:rPr>
          <w:rFonts w:ascii="Calibri" w:hAnsi="Calibri"/>
          <w:b/>
          <w:color w:val="136F63"/>
          <w:sz w:val="23"/>
        </w:rPr>
        <w:t>2.1 Universal Enterprise Scope &amp; Jurisdiction</w:t>
      </w:r>
    </w:p>
    <w:p>
      <w:pPr>
        <w:spacing w:before="0" w:after="100" w:line="276" w:lineRule="auto"/>
      </w:pPr>
      <w:r>
        <w:rPr>
          <w:rFonts w:ascii="Calibri" w:hAnsi="Calibri"/>
          <w:color w:val="2D3237"/>
          <w:sz w:val="19"/>
        </w:rPr>
        <w:t>Clause 2.1.1 — This Code of Conduct applies universally, unconditionally, and uniformly across G42 Holding LLC, all wholly owned subsidiaries, majority-owned operating companies (OpCos), joint ventures, international offices, research institutes, and shared services units worldwide. Its mandates bind all individuals acting on behalf of G42, including members of the Board of Directors, executive officers, full-time and part-time employees, seconded staff, specialized research fellows, interns, and third-party contractors.</w:t>
      </w:r>
    </w:p>
    <w:p>
      <w:pPr>
        <w:spacing w:before="0" w:after="100" w:line="276" w:lineRule="auto"/>
      </w:pPr>
      <w:r>
        <w:rPr>
          <w:rFonts w:ascii="Calibri" w:hAnsi="Calibri"/>
          <w:color w:val="2D3237"/>
          <w:sz w:val="19"/>
        </w:rPr>
        <w:t>Clause 2.1.2 — Where local laws or collective bargaining agreements in specific international jurisdictions (e.g., UAE, United States, United Kingdom, European Union, Singapore) impose stricter requirements than those set forth in this policy, the stricter standard shall strictly apply. If a local law appears to conflict with this policy, personnel must immediately seek guidance from the Group General Counsel.</w:t>
      </w:r>
    </w:p>
    <w:p>
      <w:pPr>
        <w:keepNext/>
        <w:spacing w:before="260" w:after="80"/>
      </w:pPr>
      <w:r>
        <w:rPr>
          <w:rFonts w:ascii="Calibri" w:hAnsi="Calibri"/>
          <w:b/>
          <w:color w:val="136F63"/>
          <w:sz w:val="23"/>
        </w:rPr>
        <w:t>2.2 Operating Company (OpCo) Scope Mapping</w:t>
      </w:r>
    </w:p>
    <w:p>
      <w:pPr>
        <w:spacing w:before="0" w:after="100" w:line="276" w:lineRule="auto"/>
      </w:pPr>
      <w:r>
        <w:rPr>
          <w:rFonts w:ascii="Calibri" w:hAnsi="Calibri"/>
          <w:color w:val="2D3237"/>
          <w:sz w:val="19"/>
        </w:rPr>
        <w:t>Clause 2.2.1 — Operating Companies maintain dedicated People &amp; Culture (HR) and Compliance teams responsible for day-to-day policy enforcement while upholding uniform Group standards:</w:t>
      </w:r>
    </w:p>
    <w:p>
      <w:pPr>
        <w:pStyle w:val="ListBullet"/>
        <w:spacing w:before="0" w:after="50" w:line="276" w:lineRule="auto"/>
      </w:pPr>
      <w:r>
        <w:rPr>
          <w:rFonts w:ascii="Calibri" w:hAnsi="Calibri"/>
          <w:b/>
          <w:color w:val="2D3237"/>
          <w:sz w:val="19"/>
        </w:rPr>
        <w:t xml:space="preserve">Core42 (Cloud &amp; Supercomputing Infrastructure): </w:t>
      </w:r>
      <w:r>
        <w:rPr>
          <w:rFonts w:ascii="Calibri" w:hAnsi="Calibri"/>
          <w:color w:val="2D3237"/>
          <w:sz w:val="19"/>
        </w:rPr>
        <w:t>Enforces high-security personnel clearance standards, sovereign infrastructure access controls, and critical infrastructure workplace compliance.</w:t>
      </w:r>
    </w:p>
    <w:p>
      <w:pPr>
        <w:pStyle w:val="ListBullet"/>
        <w:spacing w:before="0" w:after="50" w:line="276" w:lineRule="auto"/>
      </w:pPr>
      <w:r>
        <w:rPr>
          <w:rFonts w:ascii="Calibri" w:hAnsi="Calibri"/>
          <w:b/>
          <w:color w:val="2D3237"/>
          <w:sz w:val="19"/>
        </w:rPr>
        <w:t xml:space="preserve">Inception Institute of Artificial Intelligence (IIAI): </w:t>
      </w:r>
      <w:r>
        <w:rPr>
          <w:rFonts w:ascii="Calibri" w:hAnsi="Calibri"/>
          <w:color w:val="2D3237"/>
          <w:sz w:val="19"/>
        </w:rPr>
        <w:t>Governs academic research integrity, publication ethics, intellectual property disclosures, and research fellow conduct.</w:t>
      </w:r>
    </w:p>
    <w:p>
      <w:pPr>
        <w:pStyle w:val="ListBullet"/>
        <w:spacing w:before="0" w:after="50" w:line="276" w:lineRule="auto"/>
      </w:pPr>
      <w:r>
        <w:rPr>
          <w:rFonts w:ascii="Calibri" w:hAnsi="Calibri"/>
          <w:b/>
          <w:color w:val="2D3237"/>
          <w:sz w:val="19"/>
        </w:rPr>
        <w:t xml:space="preserve">Presight AI (Big Data &amp; Sovereign Analytics): </w:t>
      </w:r>
      <w:r>
        <w:rPr>
          <w:rFonts w:ascii="Calibri" w:hAnsi="Calibri"/>
          <w:color w:val="2D3237"/>
          <w:sz w:val="19"/>
        </w:rPr>
        <w:t>Governs public sector client engagement standards, government procurement compliance, and sovereign data handling ethics.</w:t>
      </w:r>
    </w:p>
    <w:p>
      <w:pPr>
        <w:pStyle w:val="ListBullet"/>
        <w:spacing w:before="0" w:after="50" w:line="276" w:lineRule="auto"/>
      </w:pPr>
      <w:r>
        <w:rPr>
          <w:rFonts w:ascii="Calibri" w:hAnsi="Calibri"/>
          <w:b/>
          <w:color w:val="2D3237"/>
          <w:sz w:val="19"/>
        </w:rPr>
        <w:t xml:space="preserve">AIQ (Energy &amp; Industrial AI): </w:t>
      </w:r>
      <w:r>
        <w:rPr>
          <w:rFonts w:ascii="Calibri" w:hAnsi="Calibri"/>
          <w:color w:val="2D3237"/>
          <w:sz w:val="19"/>
        </w:rPr>
        <w:t>Governs energy-sector joint venture compliance, industrial safety ethics, anti-corruption in resource exploration, and HSE standards.</w:t>
      </w:r>
    </w:p>
    <w:p>
      <w:pPr>
        <w:pStyle w:val="ListBullet"/>
        <w:spacing w:before="0" w:after="50" w:line="276" w:lineRule="auto"/>
      </w:pPr>
      <w:r>
        <w:rPr>
          <w:rFonts w:ascii="Calibri" w:hAnsi="Calibri"/>
          <w:b/>
          <w:color w:val="2D3237"/>
          <w:sz w:val="19"/>
        </w:rPr>
        <w:t xml:space="preserve">Khazna Data Centers (Data Center Facilities): </w:t>
      </w:r>
      <w:r>
        <w:rPr>
          <w:rFonts w:ascii="Calibri" w:hAnsi="Calibri"/>
          <w:color w:val="2D3237"/>
          <w:sz w:val="19"/>
        </w:rPr>
        <w:t>Governs 24/7 hyperscale facility staff standards, physical security conduct, contractor safety, and operational excellence.</w:t>
      </w:r>
    </w:p>
    <w:p>
      <w:pPr>
        <w:pStyle w:val="ListBullet"/>
        <w:spacing w:before="0" w:after="50" w:line="276" w:lineRule="auto"/>
      </w:pPr>
      <w:r>
        <w:rPr>
          <w:rFonts w:ascii="Calibri" w:hAnsi="Calibri"/>
          <w:b/>
          <w:color w:val="2D3237"/>
          <w:sz w:val="19"/>
        </w:rPr>
        <w:t xml:space="preserve">Space42 (Satellite &amp; Geospatial Communications): </w:t>
      </w:r>
      <w:r>
        <w:rPr>
          <w:rFonts w:ascii="Calibri" w:hAnsi="Calibri"/>
          <w:color w:val="2D3237"/>
          <w:sz w:val="19"/>
        </w:rPr>
        <w:t>Governs space telemetry compliance, international aerospace standards, geospatial communications integrity, and export ethics.</w:t>
      </w:r>
    </w:p>
    <w:p>
      <w:r>
        <w:br w:type="page"/>
      </w:r>
    </w:p>
    <w:p>
      <w:pPr>
        <w:keepNext/>
        <w:spacing w:before="260" w:after="80"/>
      </w:pPr>
      <w:r>
        <w:rPr>
          <w:rFonts w:ascii="Calibri" w:hAnsi="Calibri"/>
          <w:b/>
          <w:color w:val="136F63"/>
          <w:sz w:val="23"/>
        </w:rPr>
        <w:t>2.3 Governance Hierarchy &amp; Oversight Authorities</w:t>
      </w:r>
    </w:p>
    <w:p>
      <w:pPr>
        <w:spacing w:before="0" w:after="100" w:line="276" w:lineRule="auto"/>
      </w:pPr>
      <w:r>
        <w:rPr>
          <w:rFonts w:ascii="Calibri" w:hAnsi="Calibri"/>
          <w:color w:val="2D3237"/>
          <w:sz w:val="19"/>
        </w:rPr>
        <w:t>Clause 2.3.1 — The G42 Ethics and Compliance governance architecture is organized across three integrated levels of leadership oversight:</w:t>
      </w:r>
    </w:p>
    <w:tbl>
      <w:tblPr>
        <w:tblW w:type="auto" w:w="0"/>
        <w:jc w:val="center"/>
        <w:tblLayout w:type="fixed"/>
        <w:tblLook w:firstColumn="1" w:firstRow="1" w:lastColumn="0" w:lastRow="0" w:noHBand="0" w:noVBand="1" w:val="04A0"/>
      </w:tblPr>
      <w:tblGrid>
        <w:gridCol w:w="2160"/>
        <w:gridCol w:w="3312"/>
        <w:gridCol w:w="1728"/>
        <w:gridCol w:w="1829"/>
      </w:tblGrid>
      <w:tr>
        <w:tc>
          <w:tcPr>
            <w:tcW w:type="dxa" w:w="2160"/>
            <w:shd w:fill="0B2545"/>
            <w:tcMar>
              <w:top w:w="100" w:type="dxa"/>
              <w:bottom w:w="100" w:type="dxa"/>
              <w:left w:w="120" w:type="dxa"/>
              <w:right w:w="120" w:type="dxa"/>
            </w:tcMar>
          </w:tcPr>
          <w:p>
            <w:pPr>
              <w:spacing w:before="0" w:after="0"/>
              <w:jc w:val="left"/>
            </w:pPr>
            <w:r>
              <w:rPr>
                <w:rFonts w:ascii="Calibri" w:hAnsi="Calibri"/>
                <w:b/>
                <w:color w:val="FFFFFF"/>
                <w:sz w:val="17"/>
              </w:rPr>
              <w:t>Governance Body</w:t>
            </w:r>
          </w:p>
        </w:tc>
        <w:tc>
          <w:tcPr>
            <w:tcW w:type="dxa" w:w="3312"/>
            <w:shd w:fill="0B2545"/>
            <w:tcMar>
              <w:top w:w="100" w:type="dxa"/>
              <w:bottom w:w="100" w:type="dxa"/>
              <w:left w:w="120" w:type="dxa"/>
              <w:right w:w="120" w:type="dxa"/>
            </w:tcMar>
          </w:tcPr>
          <w:p>
            <w:pPr>
              <w:spacing w:before="0" w:after="0"/>
              <w:jc w:val="left"/>
            </w:pPr>
            <w:r>
              <w:rPr>
                <w:rFonts w:ascii="Calibri" w:hAnsi="Calibri"/>
                <w:b/>
                <w:color w:val="FFFFFF"/>
                <w:sz w:val="17"/>
              </w:rPr>
              <w:t>Core Mandate &amp; Responsibilities</w:t>
            </w:r>
          </w:p>
        </w:tc>
        <w:tc>
          <w:tcPr>
            <w:tcW w:type="dxa" w:w="1728"/>
            <w:shd w:fill="0B2545"/>
            <w:tcMar>
              <w:top w:w="100" w:type="dxa"/>
              <w:bottom w:w="100" w:type="dxa"/>
              <w:left w:w="120" w:type="dxa"/>
              <w:right w:w="120" w:type="dxa"/>
            </w:tcMar>
          </w:tcPr>
          <w:p>
            <w:pPr>
              <w:spacing w:before="0" w:after="0"/>
              <w:jc w:val="left"/>
            </w:pPr>
            <w:r>
              <w:rPr>
                <w:rFonts w:ascii="Calibri" w:hAnsi="Calibri"/>
                <w:b/>
                <w:color w:val="FFFFFF"/>
                <w:sz w:val="17"/>
              </w:rPr>
              <w:t>Reporting Line</w:t>
            </w:r>
          </w:p>
        </w:tc>
        <w:tc>
          <w:tcPr>
            <w:tcW w:type="dxa" w:w="1829"/>
            <w:shd w:fill="0B2545"/>
            <w:tcMar>
              <w:top w:w="100" w:type="dxa"/>
              <w:bottom w:w="100" w:type="dxa"/>
              <w:left w:w="120" w:type="dxa"/>
              <w:right w:w="120" w:type="dxa"/>
            </w:tcMar>
          </w:tcPr>
          <w:p>
            <w:pPr>
              <w:spacing w:before="0" w:after="0"/>
              <w:jc w:val="left"/>
            </w:pPr>
            <w:r>
              <w:rPr>
                <w:rFonts w:ascii="Calibri" w:hAnsi="Calibri"/>
                <w:b/>
                <w:color w:val="FFFFFF"/>
                <w:sz w:val="17"/>
              </w:rPr>
              <w:t>Enforcement Authority</w:t>
            </w:r>
          </w:p>
        </w:tc>
      </w:tr>
      <w:tr>
        <w:tc>
          <w:tcPr>
            <w:tcW w:type="dxa" w:w="2160"/>
            <w:shd w:fill="FFFFFF"/>
            <w:tcMar>
              <w:top w:w="80" w:type="dxa"/>
              <w:bottom w:w="80" w:type="dxa"/>
              <w:left w:w="120" w:type="dxa"/>
              <w:right w:w="120" w:type="dxa"/>
            </w:tcMar>
          </w:tcPr>
          <w:p>
            <w:pPr>
              <w:spacing w:before="0" w:after="0"/>
            </w:pPr>
            <w:r>
              <w:rPr>
                <w:rFonts w:ascii="Calibri" w:hAnsi="Calibri"/>
                <w:color w:val="2D3237"/>
                <w:sz w:val="16"/>
              </w:rPr>
              <w:t>Governance Body / Role</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Primary Ethical &amp; HR Mandate</w:t>
            </w:r>
          </w:p>
        </w:tc>
        <w:tc>
          <w:tcPr>
            <w:tcW w:type="dxa" w:w="1728"/>
            <w:shd w:fill="FFFFFF"/>
            <w:tcMar>
              <w:top w:w="80" w:type="dxa"/>
              <w:bottom w:w="80" w:type="dxa"/>
              <w:left w:w="120" w:type="dxa"/>
              <w:right w:w="120" w:type="dxa"/>
            </w:tcMar>
          </w:tcPr>
          <w:p>
            <w:pPr>
              <w:spacing w:before="0" w:after="0"/>
            </w:pPr>
            <w:r>
              <w:rPr>
                <w:rFonts w:ascii="Calibri" w:hAnsi="Calibri"/>
                <w:color w:val="2D3237"/>
                <w:sz w:val="16"/>
              </w:rPr>
              <w:t>Reporting Authority</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Enforcement Powers</w:t>
            </w:r>
          </w:p>
        </w:tc>
      </w:tr>
      <w:tr>
        <w:tc>
          <w:tcPr>
            <w:tcW w:type="dxa" w:w="2160"/>
            <w:shd w:fill="F7F9FB"/>
            <w:tcMar>
              <w:top w:w="80" w:type="dxa"/>
              <w:bottom w:w="80" w:type="dxa"/>
              <w:left w:w="120" w:type="dxa"/>
              <w:right w:w="120" w:type="dxa"/>
            </w:tcMar>
          </w:tcPr>
          <w:p>
            <w:pPr>
              <w:spacing w:before="0" w:after="0"/>
            </w:pPr>
            <w:r>
              <w:rPr>
                <w:rFonts w:ascii="Calibri" w:hAnsi="Calibri"/>
                <w:color w:val="2D3237"/>
                <w:sz w:val="16"/>
              </w:rPr>
              <w:t>Board Governance &amp; Risk Committee</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Ultimate fiduciary oversight of corporate governance, executive ethics, and compliance risk.</w:t>
            </w:r>
          </w:p>
        </w:tc>
        <w:tc>
          <w:tcPr>
            <w:tcW w:type="dxa" w:w="1728"/>
            <w:shd w:fill="F7F9FB"/>
            <w:tcMar>
              <w:top w:w="80" w:type="dxa"/>
              <w:bottom w:w="80" w:type="dxa"/>
              <w:left w:w="120" w:type="dxa"/>
              <w:right w:w="120" w:type="dxa"/>
            </w:tcMar>
          </w:tcPr>
          <w:p>
            <w:pPr>
              <w:spacing w:before="0" w:after="0"/>
            </w:pPr>
            <w:r>
              <w:rPr>
                <w:rFonts w:ascii="Calibri" w:hAnsi="Calibri"/>
                <w:color w:val="2D3237"/>
                <w:sz w:val="16"/>
              </w:rPr>
              <w:t>Board of Directors</w:t>
            </w:r>
          </w:p>
        </w:tc>
        <w:tc>
          <w:tcPr>
            <w:tcW w:type="dxa" w:w="1829"/>
            <w:shd w:fill="F7F9FB"/>
            <w:tcMar>
              <w:top w:w="80" w:type="dxa"/>
              <w:bottom w:w="80" w:type="dxa"/>
              <w:left w:w="120" w:type="dxa"/>
              <w:right w:w="120" w:type="dxa"/>
            </w:tcMar>
          </w:tcPr>
          <w:p>
            <w:pPr>
              <w:spacing w:before="0" w:after="0"/>
            </w:pPr>
            <w:r>
              <w:rPr>
                <w:rFonts w:ascii="Calibri" w:hAnsi="Calibri"/>
                <w:color w:val="2D3237"/>
                <w:sz w:val="16"/>
              </w:rPr>
              <w:t>Approves executive disciplinary actions and major regulatory settlement strategies.</w:t>
            </w:r>
          </w:p>
        </w:tc>
      </w:tr>
      <w:tr>
        <w:tc>
          <w:tcPr>
            <w:tcW w:type="dxa" w:w="2160"/>
            <w:shd w:fill="FFFFFF"/>
            <w:tcMar>
              <w:top w:w="80" w:type="dxa"/>
              <w:bottom w:w="80" w:type="dxa"/>
              <w:left w:w="120" w:type="dxa"/>
              <w:right w:w="120" w:type="dxa"/>
            </w:tcMar>
          </w:tcPr>
          <w:p>
            <w:pPr>
              <w:spacing w:before="0" w:after="0"/>
            </w:pPr>
            <w:r>
              <w:rPr>
                <w:rFonts w:ascii="Calibri" w:hAnsi="Calibri"/>
                <w:color w:val="2D3237"/>
                <w:sz w:val="16"/>
              </w:rPr>
              <w:t>Group Chief Human Resources Officer (CHRO)</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Global talent strategy, workplace standards, compensation governance, diversity, and HR policy enforcement.</w:t>
            </w:r>
          </w:p>
        </w:tc>
        <w:tc>
          <w:tcPr>
            <w:tcW w:type="dxa" w:w="1728"/>
            <w:shd w:fill="FFFFFF"/>
            <w:tcMar>
              <w:top w:w="80" w:type="dxa"/>
              <w:bottom w:w="80" w:type="dxa"/>
              <w:left w:w="120" w:type="dxa"/>
              <w:right w:w="120" w:type="dxa"/>
            </w:tcMar>
          </w:tcPr>
          <w:p>
            <w:pPr>
              <w:spacing w:before="0" w:after="0"/>
            </w:pPr>
            <w:r>
              <w:rPr>
                <w:rFonts w:ascii="Calibri" w:hAnsi="Calibri"/>
                <w:color w:val="2D3237"/>
                <w:sz w:val="16"/>
              </w:rPr>
              <w:t>Group CEO / Executive Committee</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Authorizes enterprise HR investigations, compensation adjustments, and structural workplace policies.</w:t>
            </w:r>
          </w:p>
        </w:tc>
      </w:tr>
      <w:tr>
        <w:tc>
          <w:tcPr>
            <w:tcW w:type="dxa" w:w="2160"/>
            <w:shd w:fill="F7F9FB"/>
            <w:tcMar>
              <w:top w:w="80" w:type="dxa"/>
              <w:bottom w:w="80" w:type="dxa"/>
              <w:left w:w="120" w:type="dxa"/>
              <w:right w:w="120" w:type="dxa"/>
            </w:tcMar>
          </w:tcPr>
          <w:p>
            <w:pPr>
              <w:spacing w:before="0" w:after="0"/>
            </w:pPr>
            <w:r>
              <w:rPr>
                <w:rFonts w:ascii="Calibri" w:hAnsi="Calibri"/>
                <w:color w:val="2D3237"/>
                <w:sz w:val="16"/>
              </w:rPr>
              <w:t>Group General Counsel &amp; CCO</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Global legal compliance, anti-corruption enforcement, trade controls, whistleblowing oversight, and regulatory liaison.</w:t>
            </w:r>
          </w:p>
        </w:tc>
        <w:tc>
          <w:tcPr>
            <w:tcW w:type="dxa" w:w="1728"/>
            <w:shd w:fill="F7F9FB"/>
            <w:tcMar>
              <w:top w:w="80" w:type="dxa"/>
              <w:bottom w:w="80" w:type="dxa"/>
              <w:left w:w="120" w:type="dxa"/>
              <w:right w:w="120" w:type="dxa"/>
            </w:tcMar>
          </w:tcPr>
          <w:p>
            <w:pPr>
              <w:spacing w:before="0" w:after="0"/>
            </w:pPr>
            <w:r>
              <w:rPr>
                <w:rFonts w:ascii="Calibri" w:hAnsi="Calibri"/>
                <w:color w:val="2D3237"/>
                <w:sz w:val="16"/>
              </w:rPr>
              <w:t>Group CEO &amp; Board Committee</w:t>
            </w:r>
          </w:p>
        </w:tc>
        <w:tc>
          <w:tcPr>
            <w:tcW w:type="dxa" w:w="1829"/>
            <w:shd w:fill="F7F9FB"/>
            <w:tcMar>
              <w:top w:w="80" w:type="dxa"/>
              <w:bottom w:w="80" w:type="dxa"/>
              <w:left w:w="120" w:type="dxa"/>
              <w:right w:w="120" w:type="dxa"/>
            </w:tcMar>
          </w:tcPr>
          <w:p>
            <w:pPr>
              <w:spacing w:before="0" w:after="0"/>
            </w:pPr>
            <w:r>
              <w:rPr>
                <w:rFonts w:ascii="Calibri" w:hAnsi="Calibri"/>
                <w:color w:val="2D3237"/>
                <w:sz w:val="16"/>
              </w:rPr>
              <w:t>Unilateral authority to initiate forensic investigations and issue binding legal directives.</w:t>
            </w:r>
          </w:p>
        </w:tc>
      </w:tr>
      <w:tr>
        <w:tc>
          <w:tcPr>
            <w:tcW w:type="dxa" w:w="2160"/>
            <w:shd w:fill="FFFFFF"/>
            <w:tcMar>
              <w:top w:w="80" w:type="dxa"/>
              <w:bottom w:w="80" w:type="dxa"/>
              <w:left w:w="120" w:type="dxa"/>
              <w:right w:w="120" w:type="dxa"/>
            </w:tcMar>
          </w:tcPr>
          <w:p>
            <w:pPr>
              <w:spacing w:before="0" w:after="0"/>
            </w:pPr>
            <w:r>
              <w:rPr>
                <w:rFonts w:ascii="Calibri" w:hAnsi="Calibri"/>
                <w:color w:val="2D3237"/>
                <w:sz w:val="16"/>
              </w:rPr>
              <w:t>OpCo HR &amp; Compliance Leads</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Operational execution of G42-POL-HR-004 within designated OpCos, local grievance resolution, and onboarding.</w:t>
            </w:r>
          </w:p>
        </w:tc>
        <w:tc>
          <w:tcPr>
            <w:tcW w:type="dxa" w:w="1728"/>
            <w:shd w:fill="FFFFFF"/>
            <w:tcMar>
              <w:top w:w="80" w:type="dxa"/>
              <w:bottom w:w="80" w:type="dxa"/>
              <w:left w:w="120" w:type="dxa"/>
              <w:right w:w="120" w:type="dxa"/>
            </w:tcMar>
          </w:tcPr>
          <w:p>
            <w:pPr>
              <w:spacing w:before="0" w:after="0"/>
            </w:pPr>
            <w:r>
              <w:rPr>
                <w:rFonts w:ascii="Calibri" w:hAnsi="Calibri"/>
                <w:color w:val="2D3237"/>
                <w:sz w:val="16"/>
              </w:rPr>
              <w:t>Group CHRO &amp; OpCo CEO</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Authority to issue formal disciplinary reprimands and manage local dispute tribunals.</w:t>
            </w:r>
          </w:p>
        </w:tc>
      </w:tr>
    </w:tbl>
    <w:p>
      <w:pPr>
        <w:spacing w:before="0" w:after="80"/>
      </w:pPr>
    </w:p>
    <w:p>
      <w:pPr>
        <w:keepNext/>
        <w:spacing w:before="180" w:after="40"/>
      </w:pPr>
      <w:r>
        <w:rPr>
          <w:rFonts w:ascii="Calibri" w:hAnsi="Calibri"/>
          <w:b/>
          <w:color w:val="0B2545"/>
          <w:sz w:val="20"/>
        </w:rPr>
        <w:t>2.4 Policy Harmonization &amp; Annual Review Cycle</w:t>
      </w:r>
    </w:p>
    <w:p>
      <w:pPr>
        <w:spacing w:before="0" w:after="100" w:line="276" w:lineRule="auto"/>
      </w:pPr>
      <w:r>
        <w:rPr>
          <w:rFonts w:ascii="Calibri" w:hAnsi="Calibri"/>
          <w:color w:val="2D3237"/>
          <w:sz w:val="19"/>
        </w:rPr>
        <w:t>Clause 2.4.1 — This Code of Conduct is subject to mandatory annual review by the Group Legal and HR Directorates. Any material amendments reflecting new statutory decrees, anti-corruption treaties, or international labor standards must be formally ratified by the Group Executive Committee and communicated to all personnel within 14 calendar days.</w:t>
      </w:r>
    </w:p>
    <w:p>
      <w:r>
        <w:br w:type="page"/>
      </w:r>
    </w:p>
    <w:p>
      <w:pPr>
        <w:keepNext/>
        <w:spacing w:before="360" w:after="120"/>
      </w:pPr>
      <w:r>
        <w:rPr>
          <w:rFonts w:ascii="Calibri" w:hAnsi="Calibri"/>
          <w:b/>
          <w:color w:val="0B2545"/>
          <w:sz w:val="29"/>
        </w:rPr>
        <w:t>SECTION 3: GLOBAL ANTI-BRIBERY, ANTI-CORRUPTION &amp; FCPA COMPLIANCE</w:t>
      </w:r>
    </w:p>
    <w:p>
      <w:pPr>
        <w:keepNext/>
        <w:spacing w:before="260" w:after="80"/>
      </w:pPr>
      <w:r>
        <w:rPr>
          <w:rFonts w:ascii="Calibri" w:hAnsi="Calibri"/>
          <w:b/>
          <w:color w:val="136F63"/>
          <w:sz w:val="23"/>
        </w:rPr>
        <w:t>3.1 Zero-Tolerance Anti-Corruption Standard</w:t>
      </w:r>
    </w:p>
    <w:p>
      <w:pPr>
        <w:spacing w:before="0" w:after="100" w:line="276" w:lineRule="auto"/>
      </w:pPr>
      <w:r>
        <w:rPr>
          <w:rFonts w:ascii="Calibri" w:hAnsi="Calibri"/>
          <w:color w:val="2D3237"/>
          <w:sz w:val="19"/>
        </w:rPr>
        <w:t>Clause 3.1.1 — G42 maintains an uncompromising, zero-tolerance policy regarding all forms of bribery, corruption, extortion, embezzlement, kickbacks, and unlawful inducements. Bribery in any form—whether involving government officials, commercial partners, state-owned enterprise representatives, or private individuals—is strictly illegal and categorically prohibited across all operating jurisdictions.</w:t>
      </w:r>
    </w:p>
    <w:p>
      <w:pPr>
        <w:spacing w:before="0" w:after="100" w:line="276" w:lineRule="auto"/>
      </w:pPr>
      <w:r>
        <w:rPr>
          <w:rFonts w:ascii="Calibri" w:hAnsi="Calibri"/>
          <w:color w:val="2D3237"/>
          <w:sz w:val="19"/>
        </w:rPr>
        <w:t>Clause 3.1.2 — G42 strictly complies with all applicable national and international anti-corruption statutes, including: (a) UAE Federal Penal Code and UAE Federal Anti-Corruption Laws; (b) United States Foreign Corrupt Practices Act (FCPA); (c) United Kingdom Bribery Act 2010 (UKBA); and (d) OECD Convention on Combating Bribery of Foreign Public Officials. These statutes carry severe criminal penalties for corporations and individual employees, including substantial fines and imprisonment.</w:t>
      </w:r>
    </w:p>
    <w:p>
      <w:pPr>
        <w:keepNext/>
        <w:spacing w:before="260" w:after="80"/>
      </w:pPr>
      <w:r>
        <w:rPr>
          <w:rFonts w:ascii="Calibri" w:hAnsi="Calibri"/>
          <w:b/>
          <w:color w:val="136F63"/>
          <w:sz w:val="23"/>
        </w:rPr>
        <w:t>3.2 Definition &amp; Broad Scope of Bribery</w:t>
      </w:r>
    </w:p>
    <w:p>
      <w:pPr>
        <w:spacing w:before="0" w:after="100" w:line="276" w:lineRule="auto"/>
      </w:pPr>
      <w:r>
        <w:rPr>
          <w:rFonts w:ascii="Calibri" w:hAnsi="Calibri"/>
          <w:color w:val="2D3237"/>
          <w:sz w:val="19"/>
        </w:rPr>
        <w:t>Clause 3.2.1 — A bribe is defined as the direct or indirect giving, offering, promising, authorizing, soliciting, or receiving of 'anything of value' intended to improperly influence any commercial act, obtain an improper business advantage, or induce the improper performance of a public or commercial function.</w:t>
      </w:r>
    </w:p>
    <w:p>
      <w:pPr>
        <w:spacing w:before="0" w:after="100" w:line="276" w:lineRule="auto"/>
      </w:pPr>
      <w:r>
        <w:rPr>
          <w:rFonts w:ascii="Calibri" w:hAnsi="Calibri"/>
          <w:color w:val="2D3237"/>
          <w:sz w:val="19"/>
        </w:rPr>
        <w:t>Clause 3.2.2 — The term 'anything of value' is interpreted broadly under this policy and includes, but is not limited to: (a) Cash, cash equivalents, gift cards, and cryptocurrency; (b) Lavish meals, luxury entertainment, and international travel accommodations; (c) Uncompensated consulting agreements, advisory contracts, or board appointments; (d) Educational scholarships, internships, or employment offers provided to family members; (e) Charitable donations or political contributions made at the direction of a commercial party; and (f) Forgiveness of personal debt or granting of preferential commercial loans.</w:t>
      </w:r>
    </w:p>
    <w:p>
      <w:r>
        <w:br w:type="page"/>
      </w:r>
    </w:p>
    <w:p>
      <w:pPr>
        <w:keepNext/>
        <w:spacing w:before="260" w:after="80"/>
      </w:pPr>
      <w:r>
        <w:rPr>
          <w:rFonts w:ascii="Calibri" w:hAnsi="Calibri"/>
          <w:b/>
          <w:color w:val="136F63"/>
          <w:sz w:val="23"/>
        </w:rPr>
        <w:t>3.3 Absolute Ban on Facilitation Payments</w:t>
      </w:r>
    </w:p>
    <w:p>
      <w:pPr>
        <w:spacing w:before="0" w:after="100" w:line="276" w:lineRule="auto"/>
      </w:pPr>
      <w:r>
        <w:rPr>
          <w:rFonts w:ascii="Calibri" w:hAnsi="Calibri"/>
          <w:color w:val="2D3237"/>
          <w:sz w:val="19"/>
        </w:rPr>
        <w:t>Clause 3.3.1 — Facilitation payments—defined as small, unofficial payments made to low-level government officials to secure, expedite, or guarantee the performance of routine, non-discretionary governmental actions (such as processing visa applications, clearing commercial customs, scheduling utility connections, or issuing routine operating permits)—are strictly prohibited across all G42 business units, regardless of local customary acceptance in foreign jurisdictions.</w:t>
      </w:r>
    </w:p>
    <w:p>
      <w:pPr>
        <w:spacing w:before="0" w:after="100" w:line="276" w:lineRule="auto"/>
      </w:pPr>
      <w:r>
        <w:rPr>
          <w:rFonts w:ascii="Calibri" w:hAnsi="Calibri"/>
          <w:color w:val="2D3237"/>
          <w:sz w:val="19"/>
        </w:rPr>
        <w:t>Clause 3.3.2 — Exception for Imminent Personal Danger: The only permitted exception to the ban on facilitation payments is where an employee reasonably believes that their life, physical safety, or personal liberty is under imminent physical threat. If a payment is made under duress to avoid physical harm, the employee must report the incident, amount, and circumstances to the Group Chief Compliance Officer within 24 hours of reaching safety.</w:t>
      </w:r>
    </w:p>
    <w:p>
      <w:pPr>
        <w:keepNext/>
        <w:spacing w:before="260" w:after="80"/>
      </w:pPr>
      <w:r>
        <w:rPr>
          <w:rFonts w:ascii="Calibri" w:hAnsi="Calibri"/>
          <w:b/>
          <w:color w:val="136F63"/>
          <w:sz w:val="23"/>
        </w:rPr>
        <w:t>3.4 Strict Controls on Interactions with Public Officials</w:t>
      </w:r>
    </w:p>
    <w:p>
      <w:pPr>
        <w:spacing w:before="0" w:after="100" w:line="276" w:lineRule="auto"/>
      </w:pPr>
      <w:r>
        <w:rPr>
          <w:rFonts w:ascii="Calibri" w:hAnsi="Calibri"/>
          <w:color w:val="2D3237"/>
          <w:sz w:val="19"/>
        </w:rPr>
        <w:t>Clause 3.4.1 — Interactions with Public Officials carry heightened legal scrutiny under the FCPA and UAE law. 'Public Officials' include: (a) Officers and employees of any municipal, federal, or sovereign government agency; (b) Executives of state-owned or state-controlled enterprises (SOEs); (c) Political candidates, political party officials, and members of royal families; and (d) Representatives of public international organizations (e.g., United Nations, World Bank).</w:t>
      </w:r>
    </w:p>
    <w:p>
      <w:pPr>
        <w:spacing w:before="0" w:after="100" w:line="276" w:lineRule="auto"/>
      </w:pPr>
      <w:r>
        <w:rPr>
          <w:rFonts w:ascii="Calibri" w:hAnsi="Calibri"/>
          <w:color w:val="2D3237"/>
          <w:sz w:val="19"/>
        </w:rPr>
        <w:t>Clause 3.4.2 — Providing any gift, meal, hospitality, travel reimbursement, or entertainment to a Public Official requires prior written authorization from the Group Chief Compliance Officer via the Compliance Portal, irrespective of monetary value.</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[CRITICAL COMPLIANCE DIRECTIVE]</w:t>
              <w:br/>
            </w:r>
            <w:r>
              <w:rPr>
                <w:rFonts w:ascii="Calibri" w:hAnsi="Calibri"/>
                <w:color w:val="2D3237"/>
                <w:sz w:val="19"/>
              </w:rPr>
              <w:t>ANTI-BRIBERY RED LINE (CLAUSE 3.4.3): Third-party intermediaries, sales agents, channel partners, and joint-venture representatives are strictly prohibited from paying bribes on behalf of G42. G42 will be held legally liable for third-party corrupt acts under the FCPA and UK Bribery Act.</w:t>
            </w:r>
          </w:p>
        </w:tc>
      </w:tr>
    </w:tbl>
    <w:p>
      <w:pPr>
        <w:spacing w:before="0" w:after="80"/>
      </w:pPr>
    </w:p>
    <w:p>
      <w:r>
        <w:br w:type="page"/>
      </w:r>
    </w:p>
    <w:p>
      <w:pPr>
        <w:keepNext/>
        <w:spacing w:before="360" w:after="120"/>
      </w:pPr>
      <w:r>
        <w:rPr>
          <w:rFonts w:ascii="Calibri" w:hAnsi="Calibri"/>
          <w:b/>
          <w:color w:val="0B2545"/>
          <w:sz w:val="29"/>
        </w:rPr>
        <w:t>SECTION 4: GIFTS, HOSPITALITY &amp; ENTERTAINMENT STANDARDS</w:t>
      </w:r>
    </w:p>
    <w:p>
      <w:pPr>
        <w:keepNext/>
        <w:spacing w:before="260" w:after="80"/>
      </w:pPr>
      <w:r>
        <w:rPr>
          <w:rFonts w:ascii="Calibri" w:hAnsi="Calibri"/>
          <w:b/>
          <w:color w:val="136F63"/>
          <w:sz w:val="23"/>
        </w:rPr>
        <w:t>4.1 Purpose &amp; General Principles</w:t>
      </w:r>
    </w:p>
    <w:p>
      <w:pPr>
        <w:spacing w:before="0" w:after="100" w:line="276" w:lineRule="auto"/>
      </w:pPr>
      <w:r>
        <w:rPr>
          <w:rFonts w:ascii="Calibri" w:hAnsi="Calibri"/>
          <w:color w:val="2D3237"/>
          <w:sz w:val="19"/>
        </w:rPr>
        <w:t>Clause 4.1.1 — While G42 recognizes that the modest, culturally appropriate exchange of business courtesies and customary hospitality can foster goodwill and legitimate commercial relationships, gifts and entertainment must never be utilized to improperly influence business decisions, compromise professional independence, or create the appearance of impropriety.</w:t>
      </w:r>
    </w:p>
    <w:p>
      <w:pPr>
        <w:spacing w:before="0" w:after="100" w:line="276" w:lineRule="auto"/>
      </w:pPr>
      <w:r>
        <w:rPr>
          <w:rFonts w:ascii="Calibri" w:hAnsi="Calibri"/>
          <w:color w:val="2D3237"/>
          <w:sz w:val="19"/>
        </w:rPr>
        <w:t>Clause 4.1.2 — Under no circumstances shall any G42 employee, officer, or representative solicit gifts, personal discounts, services, or entertainment from any current or prospective vendor, client, contractor, or commercial partner.</w:t>
      </w:r>
    </w:p>
    <w:p>
      <w:pPr>
        <w:keepNext/>
        <w:spacing w:before="260" w:after="80"/>
      </w:pPr>
      <w:r>
        <w:rPr>
          <w:rFonts w:ascii="Calibri" w:hAnsi="Calibri"/>
          <w:b/>
          <w:color w:val="136F63"/>
          <w:sz w:val="23"/>
        </w:rPr>
        <w:t>4.2 Mandatory Gift &amp; Hospitality Valuation Thresholds</w:t>
      </w:r>
    </w:p>
    <w:p>
      <w:pPr>
        <w:spacing w:before="0" w:after="100" w:line="276" w:lineRule="auto"/>
      </w:pPr>
      <w:r>
        <w:rPr>
          <w:rFonts w:ascii="Calibri" w:hAnsi="Calibri"/>
          <w:color w:val="2D3237"/>
          <w:sz w:val="19"/>
        </w:rPr>
        <w:t>Clause 4.2.1 — All giving or receiving of gifts, business meals, corporate hospitality, and event entertainment must adhere strictly to the following monetary thresholds and authorization gateways:</w:t>
      </w:r>
    </w:p>
    <w:tbl>
      <w:tblPr>
        <w:tblW w:type="auto" w:w="0"/>
        <w:jc w:val="center"/>
        <w:tblLayout w:type="fixed"/>
        <w:tblLook w:firstColumn="1" w:firstRow="1" w:lastColumn="0" w:lastRow="0" w:noHBand="0" w:noVBand="1" w:val="04A0"/>
      </w:tblPr>
      <w:tblGrid>
        <w:gridCol w:w="2016"/>
        <w:gridCol w:w="2448"/>
        <w:gridCol w:w="2880"/>
        <w:gridCol w:w="1685"/>
      </w:tblGrid>
      <w:tr>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Valuation Threshold</w:t>
            </w:r>
          </w:p>
        </w:tc>
        <w:tc>
          <w:tcPr>
            <w:tcW w:type="dxa" w:w="2448"/>
            <w:shd w:fill="0B2545"/>
            <w:tcMar>
              <w:top w:w="100" w:type="dxa"/>
              <w:bottom w:w="100" w:type="dxa"/>
              <w:left w:w="120" w:type="dxa"/>
              <w:right w:w="120" w:type="dxa"/>
            </w:tcMar>
          </w:tcPr>
          <w:p>
            <w:pPr>
              <w:spacing w:before="0" w:after="0"/>
              <w:jc w:val="left"/>
            </w:pPr>
            <w:r>
              <w:rPr>
                <w:rFonts w:ascii="Calibri" w:hAnsi="Calibri"/>
                <w:b/>
                <w:color w:val="FFFFFF"/>
                <w:sz w:val="17"/>
              </w:rPr>
              <w:t>Category Classification</w:t>
            </w:r>
          </w:p>
        </w:tc>
        <w:tc>
          <w:tcPr>
            <w:tcW w:type="dxa" w:w="2880"/>
            <w:shd w:fill="0B2545"/>
            <w:tcMar>
              <w:top w:w="100" w:type="dxa"/>
              <w:bottom w:w="100" w:type="dxa"/>
              <w:left w:w="120" w:type="dxa"/>
              <w:right w:w="120" w:type="dxa"/>
            </w:tcMar>
          </w:tcPr>
          <w:p>
            <w:pPr>
              <w:spacing w:before="0" w:after="0"/>
              <w:jc w:val="left"/>
            </w:pPr>
            <w:r>
              <w:rPr>
                <w:rFonts w:ascii="Calibri" w:hAnsi="Calibri"/>
                <w:b/>
                <w:color w:val="FFFFFF"/>
                <w:sz w:val="17"/>
              </w:rPr>
              <w:t>Mandatory Action &amp; Recording Protocol</w:t>
            </w:r>
          </w:p>
        </w:tc>
        <w:tc>
          <w:tcPr>
            <w:tcW w:type="dxa" w:w="1685"/>
            <w:shd w:fill="0B2545"/>
            <w:tcMar>
              <w:top w:w="100" w:type="dxa"/>
              <w:bottom w:w="100" w:type="dxa"/>
              <w:left w:w="120" w:type="dxa"/>
              <w:right w:w="120" w:type="dxa"/>
            </w:tcMar>
          </w:tcPr>
          <w:p>
            <w:pPr>
              <w:spacing w:before="0" w:after="0"/>
              <w:jc w:val="left"/>
            </w:pPr>
            <w:r>
              <w:rPr>
                <w:rFonts w:ascii="Calibri" w:hAnsi="Calibri"/>
                <w:b/>
                <w:color w:val="FFFFFF"/>
                <w:sz w:val="17"/>
              </w:rPr>
              <w:t>Approval Gateway</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Monetary Valuation Band</w:t>
            </w:r>
          </w:p>
        </w:tc>
        <w:tc>
          <w:tcPr>
            <w:tcW w:type="dxa" w:w="2448"/>
            <w:shd w:fill="FFFFFF"/>
            <w:tcMar>
              <w:top w:w="80" w:type="dxa"/>
              <w:bottom w:w="80" w:type="dxa"/>
              <w:left w:w="120" w:type="dxa"/>
              <w:right w:w="120" w:type="dxa"/>
            </w:tcMar>
          </w:tcPr>
          <w:p>
            <w:pPr>
              <w:spacing w:before="0" w:after="0"/>
            </w:pPr>
            <w:r>
              <w:rPr>
                <w:rFonts w:ascii="Calibri" w:hAnsi="Calibri"/>
                <w:color w:val="2D3237"/>
                <w:sz w:val="16"/>
              </w:rPr>
              <w:t>Classification Status</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Mandatory Action &amp; Registration Requirement</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Approval Authority</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Under $150 USD (or local equivalent)</w:t>
            </w:r>
          </w:p>
        </w:tc>
        <w:tc>
          <w:tcPr>
            <w:tcW w:type="dxa" w:w="2448"/>
            <w:shd w:fill="F7F9FB"/>
            <w:tcMar>
              <w:top w:w="80" w:type="dxa"/>
              <w:bottom w:w="80" w:type="dxa"/>
              <w:left w:w="120" w:type="dxa"/>
              <w:right w:w="120" w:type="dxa"/>
            </w:tcMar>
          </w:tcPr>
          <w:p>
            <w:pPr>
              <w:spacing w:before="0" w:after="0"/>
            </w:pPr>
            <w:r>
              <w:rPr>
                <w:rFonts w:ascii="Calibri" w:hAnsi="Calibri"/>
                <w:color w:val="2D3237"/>
                <w:sz w:val="16"/>
              </w:rPr>
              <w:t>Modest / Routine Business Courtesy</w:t>
            </w:r>
          </w:p>
        </w:tc>
        <w:tc>
          <w:tcPr>
            <w:tcW w:type="dxa" w:w="2880"/>
            <w:shd w:fill="F7F9FB"/>
            <w:tcMar>
              <w:top w:w="80" w:type="dxa"/>
              <w:bottom w:w="80" w:type="dxa"/>
              <w:left w:w="120" w:type="dxa"/>
              <w:right w:w="120" w:type="dxa"/>
            </w:tcMar>
          </w:tcPr>
          <w:p>
            <w:pPr>
              <w:spacing w:before="0" w:after="0"/>
            </w:pPr>
            <w:r>
              <w:rPr>
                <w:rFonts w:ascii="Calibri" w:hAnsi="Calibri"/>
                <w:color w:val="2D3237"/>
                <w:sz w:val="16"/>
              </w:rPr>
              <w:t>Permissible without pre-approval. Must be infrequent (max 2 per year from same source).</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No pre-approval required; voluntary log encouraged.</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$150 USD to $500 USD</w:t>
            </w:r>
          </w:p>
        </w:tc>
        <w:tc>
          <w:tcPr>
            <w:tcW w:type="dxa" w:w="2448"/>
            <w:shd w:fill="FFFFFF"/>
            <w:tcMar>
              <w:top w:w="80" w:type="dxa"/>
              <w:bottom w:w="80" w:type="dxa"/>
              <w:left w:w="120" w:type="dxa"/>
              <w:right w:w="120" w:type="dxa"/>
            </w:tcMar>
          </w:tcPr>
          <w:p>
            <w:pPr>
              <w:spacing w:before="0" w:after="0"/>
            </w:pPr>
            <w:r>
              <w:rPr>
                <w:rFonts w:ascii="Calibri" w:hAnsi="Calibri"/>
                <w:color w:val="2D3237"/>
                <w:sz w:val="16"/>
              </w:rPr>
              <w:t>Reportable Business Gift / Hospitality</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Mandatory logging in the G42 Global Compliance Registry within 5 business days of receipt/offer.</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Written notification to Line Manager &amp; Data Steward.</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Exceeding $500 USD</w:t>
            </w:r>
          </w:p>
        </w:tc>
        <w:tc>
          <w:tcPr>
            <w:tcW w:type="dxa" w:w="2448"/>
            <w:shd w:fill="F7F9FB"/>
            <w:tcMar>
              <w:top w:w="80" w:type="dxa"/>
              <w:bottom w:w="80" w:type="dxa"/>
              <w:left w:w="120" w:type="dxa"/>
              <w:right w:w="120" w:type="dxa"/>
            </w:tcMar>
          </w:tcPr>
          <w:p>
            <w:pPr>
              <w:spacing w:before="0" w:after="0"/>
            </w:pPr>
            <w:r>
              <w:rPr>
                <w:rFonts w:ascii="Calibri" w:hAnsi="Calibri"/>
                <w:color w:val="2D3237"/>
                <w:sz w:val="16"/>
              </w:rPr>
              <w:t>High-Value Item / Strict Exception</w:t>
            </w:r>
          </w:p>
        </w:tc>
        <w:tc>
          <w:tcPr>
            <w:tcW w:type="dxa" w:w="2880"/>
            <w:shd w:fill="F7F9FB"/>
            <w:tcMar>
              <w:top w:w="80" w:type="dxa"/>
              <w:bottom w:w="80" w:type="dxa"/>
              <w:left w:w="120" w:type="dxa"/>
              <w:right w:w="120" w:type="dxa"/>
            </w:tcMar>
          </w:tcPr>
          <w:p>
            <w:pPr>
              <w:spacing w:before="0" w:after="0"/>
            </w:pPr>
            <w:r>
              <w:rPr>
                <w:rFonts w:ascii="Calibri" w:hAnsi="Calibri"/>
                <w:color w:val="2D3237"/>
                <w:sz w:val="16"/>
              </w:rPr>
              <w:t>Strictly prohibited unless pre-cleared. If received unexpectedly, must be surrendered to HR.</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Prior written approval from Group Chief Compliance Officer (CCO).</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Any Value (Cash, Gift Cards, Crypto)</w:t>
            </w:r>
          </w:p>
        </w:tc>
        <w:tc>
          <w:tcPr>
            <w:tcW w:type="dxa" w:w="2448"/>
            <w:shd w:fill="FFFFFF"/>
            <w:tcMar>
              <w:top w:w="80" w:type="dxa"/>
              <w:bottom w:w="80" w:type="dxa"/>
              <w:left w:w="120" w:type="dxa"/>
              <w:right w:w="120" w:type="dxa"/>
            </w:tcMar>
          </w:tcPr>
          <w:p>
            <w:pPr>
              <w:spacing w:before="0" w:after="0"/>
            </w:pPr>
            <w:r>
              <w:rPr>
                <w:rFonts w:ascii="Calibri" w:hAnsi="Calibri"/>
                <w:color w:val="2D3237"/>
                <w:sz w:val="16"/>
              </w:rPr>
              <w:t>Strictly Prohibited Category</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Absolute prohibition across all scenarios. Must be refused or immediately returned.</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NO APPROVALS PERMITTED (Absolute Red Line).</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Public / Government Officials</w:t>
            </w:r>
          </w:p>
        </w:tc>
        <w:tc>
          <w:tcPr>
            <w:tcW w:type="dxa" w:w="2448"/>
            <w:shd w:fill="F7F9FB"/>
            <w:tcMar>
              <w:top w:w="80" w:type="dxa"/>
              <w:bottom w:w="80" w:type="dxa"/>
              <w:left w:w="120" w:type="dxa"/>
              <w:right w:w="120" w:type="dxa"/>
            </w:tcMar>
          </w:tcPr>
          <w:p>
            <w:pPr>
              <w:spacing w:before="0" w:after="0"/>
            </w:pPr>
            <w:r>
              <w:rPr>
                <w:rFonts w:ascii="Calibri" w:hAnsi="Calibri"/>
                <w:color w:val="2D3237"/>
                <w:sz w:val="16"/>
              </w:rPr>
              <w:t>Special Regulated Category</w:t>
            </w:r>
          </w:p>
        </w:tc>
        <w:tc>
          <w:tcPr>
            <w:tcW w:type="dxa" w:w="2880"/>
            <w:shd w:fill="F7F9FB"/>
            <w:tcMar>
              <w:top w:w="80" w:type="dxa"/>
              <w:bottom w:w="80" w:type="dxa"/>
              <w:left w:w="120" w:type="dxa"/>
              <w:right w:w="120" w:type="dxa"/>
            </w:tcMar>
          </w:tcPr>
          <w:p>
            <w:pPr>
              <w:spacing w:before="0" w:after="0"/>
            </w:pPr>
            <w:r>
              <w:rPr>
                <w:rFonts w:ascii="Calibri" w:hAnsi="Calibri"/>
                <w:color w:val="2D3237"/>
                <w:sz w:val="16"/>
              </w:rPr>
              <w:t>Zero-dollar threshold. Any gift, coffee, or meal provided to a public official requires pre-clearance.</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Prior written authorization from Group Legal &amp; CCO.</w:t>
            </w:r>
          </w:p>
        </w:tc>
      </w:tr>
    </w:tbl>
    <w:p>
      <w:pPr>
        <w:spacing w:before="0" w:after="80"/>
      </w:pPr>
    </w:p>
    <w:p>
      <w:r>
        <w:br w:type="page"/>
      </w:r>
    </w:p>
    <w:p>
      <w:pPr>
        <w:keepNext/>
        <w:spacing w:before="260" w:after="80"/>
      </w:pPr>
      <w:r>
        <w:rPr>
          <w:rFonts w:ascii="Calibri" w:hAnsi="Calibri"/>
          <w:b/>
          <w:color w:val="136F63"/>
          <w:sz w:val="23"/>
        </w:rPr>
        <w:t>4.3 Global Compliance Registry &amp; Logging Protocols</w:t>
      </w:r>
    </w:p>
    <w:p>
      <w:pPr>
        <w:spacing w:before="0" w:after="100" w:line="276" w:lineRule="auto"/>
      </w:pPr>
      <w:r>
        <w:rPr>
          <w:rFonts w:ascii="Calibri" w:hAnsi="Calibri"/>
          <w:color w:val="2D3237"/>
          <w:sz w:val="19"/>
        </w:rPr>
        <w:t>Clause 4.3.1 — G42 maintains an automated Global Compliance Registry hosted on the internal intranet at compliance.g42.ai. All gifts, event invitations, business meals, and hospitality valued between $150 USD and $500 USD—or exceeding $500 USD where an exception has been requested—must be registered by the employee within five (5) business days.</w:t>
      </w:r>
    </w:p>
    <w:p>
      <w:pPr>
        <w:spacing w:before="0" w:after="100" w:line="276" w:lineRule="auto"/>
      </w:pPr>
      <w:r>
        <w:rPr>
          <w:rFonts w:ascii="Calibri" w:hAnsi="Calibri"/>
          <w:color w:val="2D3237"/>
          <w:sz w:val="19"/>
        </w:rPr>
        <w:t>Clause 4.3.2 — Registry entries must capture: (a) Date of offer/receipt; (b) Full legal name, title, and organization of the giver and recipient; (c) Commercial relationship and business context; (d) Estimated fair market value in USD; (e) Physical description of the item; and (f) Line manager written endorsement.</w:t>
      </w:r>
    </w:p>
    <w:p>
      <w:pPr>
        <w:keepNext/>
        <w:spacing w:before="260" w:after="80"/>
      </w:pPr>
      <w:r>
        <w:rPr>
          <w:rFonts w:ascii="Calibri" w:hAnsi="Calibri"/>
          <w:b/>
          <w:color w:val="136F63"/>
          <w:sz w:val="23"/>
        </w:rPr>
        <w:t>4.4 Physical Gift Disposition &amp; Corporate Charity Protocols</w:t>
      </w:r>
    </w:p>
    <w:p>
      <w:pPr>
        <w:spacing w:before="0" w:after="100" w:line="276" w:lineRule="auto"/>
      </w:pPr>
      <w:r>
        <w:rPr>
          <w:rFonts w:ascii="Calibri" w:hAnsi="Calibri"/>
          <w:color w:val="2D3237"/>
          <w:sz w:val="19"/>
        </w:rPr>
        <w:t>Clause 4.4.1 — Where high-value gifts (exceeding $500 USD) cannot be politely refused or returned without causing grave cultural insult to a dignitary or state partner, the item must be formally surrendered to the Group People &amp; Culture (HR) Directorate. The Group HR Directorate shall handle the gift through one of three approved corporate disposition channels:</w:t>
      </w:r>
    </w:p>
    <w:p>
      <w:pPr>
        <w:pStyle w:val="ListBullet"/>
        <w:spacing w:before="0" w:after="50" w:line="276" w:lineRule="auto"/>
      </w:pPr>
      <w:r>
        <w:rPr>
          <w:rFonts w:ascii="Calibri" w:hAnsi="Calibri"/>
          <w:b/>
          <w:color w:val="2D3237"/>
          <w:sz w:val="19"/>
        </w:rPr>
        <w:t xml:space="preserve">Corporate Display: </w:t>
      </w:r>
      <w:r>
        <w:rPr>
          <w:rFonts w:ascii="Calibri" w:hAnsi="Calibri"/>
          <w:color w:val="2D3237"/>
          <w:sz w:val="19"/>
        </w:rPr>
        <w:t>High-value ceremonial items, plaques, and cultural artifacts are displayed in designated corporate reception galleries.</w:t>
      </w:r>
    </w:p>
    <w:p>
      <w:pPr>
        <w:pStyle w:val="ListBullet"/>
        <w:spacing w:before="0" w:after="50" w:line="276" w:lineRule="auto"/>
      </w:pPr>
      <w:r>
        <w:rPr>
          <w:rFonts w:ascii="Calibri" w:hAnsi="Calibri"/>
          <w:b/>
          <w:color w:val="2D3237"/>
          <w:sz w:val="19"/>
        </w:rPr>
        <w:t xml:space="preserve">Charitable Raffle: </w:t>
      </w:r>
      <w:r>
        <w:rPr>
          <w:rFonts w:ascii="Calibri" w:hAnsi="Calibri"/>
          <w:color w:val="2D3237"/>
          <w:sz w:val="19"/>
        </w:rPr>
        <w:t>Non-ceremonial luxury goods are pooled for annual corporate employee charity raffles, with proceeds donated to registered UAE charities.</w:t>
      </w:r>
    </w:p>
    <w:p>
      <w:pPr>
        <w:pStyle w:val="ListBullet"/>
        <w:spacing w:before="0" w:after="50" w:line="276" w:lineRule="auto"/>
      </w:pPr>
      <w:r>
        <w:rPr>
          <w:rFonts w:ascii="Calibri" w:hAnsi="Calibri"/>
          <w:b/>
          <w:color w:val="2D3237"/>
          <w:sz w:val="19"/>
        </w:rPr>
        <w:t xml:space="preserve">Team Consumption: </w:t>
      </w:r>
      <w:r>
        <w:rPr>
          <w:rFonts w:ascii="Calibri" w:hAnsi="Calibri"/>
          <w:color w:val="2D3237"/>
          <w:sz w:val="19"/>
        </w:rPr>
        <w:t>Perishable gourmet food baskets are placed in common employee pantry areas for general team consumption.</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[ABSOLUTE CASH BAN]</w:t>
              <w:br/>
            </w:r>
            <w:r>
              <w:rPr>
                <w:rFonts w:ascii="Calibri" w:hAnsi="Calibri"/>
                <w:color w:val="2D3237"/>
                <w:sz w:val="19"/>
              </w:rPr>
              <w:t>PROHIBITION ON CASH EQUIVALENTS: Under no circumstances may cash, prepaid debit cards, store gift certificates, stock options, or cryptocurrency tokens be accepted, regardless of amount. Accepting cash equivalents constitutes gross misconduct.</w:t>
            </w:r>
          </w:p>
        </w:tc>
      </w:tr>
    </w:tbl>
    <w:p>
      <w:pPr>
        <w:spacing w:before="0" w:after="80"/>
      </w:pPr>
    </w:p>
    <w:p>
      <w:r>
        <w:br w:type="page"/>
      </w:r>
    </w:p>
    <w:p>
      <w:pPr>
        <w:keepNext/>
        <w:spacing w:before="360" w:after="120"/>
      </w:pPr>
      <w:r>
        <w:rPr>
          <w:rFonts w:ascii="Calibri" w:hAnsi="Calibri"/>
          <w:b/>
          <w:color w:val="0B2545"/>
          <w:sz w:val="29"/>
        </w:rPr>
        <w:t>SECTION 5: FIDUCIARY RESPONSIBILITY &amp; CONFLICTS OF INTEREST</w:t>
      </w:r>
    </w:p>
    <w:p>
      <w:pPr>
        <w:keepNext/>
        <w:spacing w:before="260" w:after="80"/>
      </w:pPr>
      <w:r>
        <w:rPr>
          <w:rFonts w:ascii="Calibri" w:hAnsi="Calibri"/>
          <w:b/>
          <w:color w:val="136F63"/>
          <w:sz w:val="23"/>
        </w:rPr>
        <w:t>5.1 Fiduciary Duty &amp; Definition of Conflict</w:t>
      </w:r>
    </w:p>
    <w:p>
      <w:pPr>
        <w:spacing w:before="0" w:after="100" w:line="276" w:lineRule="auto"/>
      </w:pPr>
      <w:r>
        <w:rPr>
          <w:rFonts w:ascii="Calibri" w:hAnsi="Calibri"/>
          <w:color w:val="2D3237"/>
          <w:sz w:val="19"/>
        </w:rPr>
        <w:t>Clause 5.1.1 — All G42 employees, officers, and directors owe an unyielding fiduciary duty of loyalty to G42. A conflict of interest arises whenever personal, financial, romantic, familial, or outside commercial interests interfere—or appear to a reasonable observer to interfere—with an individual's objective judgment, professional impartiality, or loyalty in executing their official responsibilities at G42.</w:t>
      </w:r>
    </w:p>
    <w:p>
      <w:pPr>
        <w:spacing w:before="0" w:after="100" w:line="276" w:lineRule="auto"/>
      </w:pPr>
      <w:r>
        <w:rPr>
          <w:rFonts w:ascii="Calibri" w:hAnsi="Calibri"/>
          <w:color w:val="2D3237"/>
          <w:sz w:val="19"/>
        </w:rPr>
        <w:t>Clause 5.1.2 — Conflicts of interest are not necessarily unethical in themselves; however, failing to promptly, fully, and formally disclose a potential or actual conflict of interest constitutes a severe ethical violation resulting in formal disciplinary action under Section 16.</w:t>
      </w:r>
    </w:p>
    <w:p>
      <w:pPr>
        <w:keepNext/>
        <w:spacing w:before="260" w:after="80"/>
      </w:pPr>
      <w:r>
        <w:rPr>
          <w:rFonts w:ascii="Calibri" w:hAnsi="Calibri"/>
          <w:b/>
          <w:color w:val="136F63"/>
          <w:sz w:val="23"/>
        </w:rPr>
        <w:t>5.2 Mandatory Disclosure Triggers</w:t>
      </w:r>
    </w:p>
    <w:p>
      <w:pPr>
        <w:spacing w:before="0" w:after="100" w:line="276" w:lineRule="auto"/>
      </w:pPr>
      <w:r>
        <w:rPr>
          <w:rFonts w:ascii="Calibri" w:hAnsi="Calibri"/>
          <w:color w:val="2D3237"/>
          <w:sz w:val="19"/>
        </w:rPr>
        <w:t>Clause 5.2.1 — All employees and officers must immediately disclose any of the following circumstances via the G42 Conflict of Interest Declaration Portal:</w:t>
      </w:r>
    </w:p>
    <w:p>
      <w:pPr>
        <w:pStyle w:val="ListBullet"/>
        <w:spacing w:before="0" w:after="50" w:line="276" w:lineRule="auto"/>
      </w:pPr>
      <w:r>
        <w:rPr>
          <w:rFonts w:ascii="Calibri" w:hAnsi="Calibri"/>
          <w:b/>
          <w:color w:val="2D3237"/>
          <w:sz w:val="19"/>
        </w:rPr>
        <w:t xml:space="preserve">Significant Financial Holdings (&gt;1% Equity): </w:t>
      </w:r>
      <w:r>
        <w:rPr>
          <w:rFonts w:ascii="Calibri" w:hAnsi="Calibri"/>
          <w:color w:val="2D3237"/>
          <w:sz w:val="19"/>
        </w:rPr>
        <w:t>Holding more than 1.0% equity or debt ownership in any entity that is a current or prospective vendor, supplier, customer, competitor, or research partner of G42.</w:t>
      </w:r>
    </w:p>
    <w:p>
      <w:pPr>
        <w:pStyle w:val="ListBullet"/>
        <w:spacing w:before="0" w:after="50" w:line="276" w:lineRule="auto"/>
      </w:pPr>
      <w:r>
        <w:rPr>
          <w:rFonts w:ascii="Calibri" w:hAnsi="Calibri"/>
          <w:b/>
          <w:color w:val="2D3237"/>
          <w:sz w:val="19"/>
        </w:rPr>
        <w:t xml:space="preserve">Outside Board Memberships &amp; Advisory Roles: </w:t>
      </w:r>
      <w:r>
        <w:rPr>
          <w:rFonts w:ascii="Calibri" w:hAnsi="Calibri"/>
          <w:color w:val="2D3237"/>
          <w:sz w:val="19"/>
        </w:rPr>
        <w:t>Serving as a director, advisor, consultant, officer, or employee of any outside commercial enterprise, startup, or non-profit organization.</w:t>
      </w:r>
    </w:p>
    <w:p>
      <w:pPr>
        <w:pStyle w:val="ListBullet"/>
        <w:spacing w:before="0" w:after="50" w:line="276" w:lineRule="auto"/>
      </w:pPr>
      <w:r>
        <w:rPr>
          <w:rFonts w:ascii="Calibri" w:hAnsi="Calibri"/>
          <w:b/>
          <w:color w:val="2D3237"/>
          <w:sz w:val="19"/>
        </w:rPr>
        <w:t xml:space="preserve">Secondary Employment &amp; Moonlighting: </w:t>
      </w:r>
      <w:r>
        <w:rPr>
          <w:rFonts w:ascii="Calibri" w:hAnsi="Calibri"/>
          <w:color w:val="2D3237"/>
          <w:sz w:val="19"/>
        </w:rPr>
        <w:t>Engaging in secondary commercial employment, freelance software engineering, algorithm consulting, or commercial moonlighting.</w:t>
      </w:r>
    </w:p>
    <w:p>
      <w:pPr>
        <w:pStyle w:val="ListBullet"/>
        <w:spacing w:before="0" w:after="50" w:line="276" w:lineRule="auto"/>
      </w:pPr>
      <w:r>
        <w:rPr>
          <w:rFonts w:ascii="Calibri" w:hAnsi="Calibri"/>
          <w:b/>
          <w:color w:val="2D3237"/>
          <w:sz w:val="19"/>
        </w:rPr>
        <w:t xml:space="preserve">Familial &amp; Close Personal Relationships: </w:t>
      </w:r>
      <w:r>
        <w:rPr>
          <w:rFonts w:ascii="Calibri" w:hAnsi="Calibri"/>
          <w:color w:val="2D3237"/>
          <w:sz w:val="19"/>
        </w:rPr>
        <w:t>Managing, evaluating, auditing, approving purchase orders for, or influencing the hiring or promotion of a family member or intimate partner.</w:t>
      </w:r>
    </w:p>
    <w:p>
      <w:r>
        <w:br w:type="page"/>
      </w:r>
    </w:p>
    <w:p>
      <w:pPr>
        <w:keepNext/>
        <w:spacing w:before="260" w:after="80"/>
      </w:pPr>
      <w:r>
        <w:rPr>
          <w:rFonts w:ascii="Calibri" w:hAnsi="Calibri"/>
          <w:b/>
          <w:color w:val="136F63"/>
          <w:sz w:val="23"/>
        </w:rPr>
        <w:t>5.3 Outside Board Appointments &amp; Commercial Moonlighting</w:t>
      </w:r>
    </w:p>
    <w:p>
      <w:pPr>
        <w:spacing w:before="0" w:after="100" w:line="276" w:lineRule="auto"/>
      </w:pPr>
      <w:r>
        <w:rPr>
          <w:rFonts w:ascii="Calibri" w:hAnsi="Calibri"/>
          <w:color w:val="2D3237"/>
          <w:sz w:val="19"/>
        </w:rPr>
        <w:t>Clause 5.3.1 — Outside Board Memberships: Employees may not accept appointments to the board of directors, advisory boards, or statutory audit committees of any commercial enterprise without prior written approval from the Group Chief Human Resources Officer and Group General Counsel.</w:t>
      </w:r>
    </w:p>
    <w:p>
      <w:pPr>
        <w:spacing w:before="0" w:after="100" w:line="276" w:lineRule="auto"/>
      </w:pPr>
      <w:r>
        <w:rPr>
          <w:rFonts w:ascii="Calibri" w:hAnsi="Calibri"/>
          <w:color w:val="2D3237"/>
          <w:sz w:val="19"/>
        </w:rPr>
        <w:t>Clause 5.3.2 — Commercial Moonlighting: G42 full-time employees are strictly prohibited from engaging in commercial software development, machine learning consulting, or scientific advising for external commercial entities during their tenure. Research personnel seeking to collaborate on academic open-source initiatives must obtain formal Open Source Clearance under G42-POL-IP-005.</w:t>
      </w:r>
    </w:p>
    <w:p>
      <w:pPr>
        <w:keepNext/>
        <w:spacing w:before="260" w:after="80"/>
      </w:pPr>
      <w:r>
        <w:rPr>
          <w:rFonts w:ascii="Calibri" w:hAnsi="Calibri"/>
          <w:b/>
          <w:color w:val="136F63"/>
          <w:sz w:val="23"/>
        </w:rPr>
        <w:t>5.4 Recusal &amp; Mitigation Management Plans</w:t>
      </w:r>
    </w:p>
    <w:p>
      <w:pPr>
        <w:spacing w:before="0" w:after="100" w:line="276" w:lineRule="auto"/>
      </w:pPr>
      <w:r>
        <w:rPr>
          <w:rFonts w:ascii="Calibri" w:hAnsi="Calibri"/>
          <w:color w:val="2D3237"/>
          <w:sz w:val="19"/>
        </w:rPr>
        <w:t>Clause 5.4.1 — Upon receipt of a Conflict of Interest Declaration, the Group Compliance Office and Group HR shall evaluate the risk profile and formulate a binding Conflict Mitigation Plan. Mandatory elements of a mitigation plan include:</w:t>
      </w:r>
    </w:p>
    <w:p>
      <w:pPr>
        <w:pStyle w:val="ListBullet"/>
        <w:spacing w:before="0" w:after="50" w:line="276" w:lineRule="auto"/>
      </w:pPr>
      <w:r>
        <w:rPr>
          <w:rFonts w:ascii="Calibri" w:hAnsi="Calibri"/>
          <w:b/>
          <w:color w:val="2D3237"/>
          <w:sz w:val="19"/>
        </w:rPr>
        <w:t xml:space="preserve">Mandatory Committee Recusal: </w:t>
      </w:r>
      <w:r>
        <w:rPr>
          <w:rFonts w:ascii="Calibri" w:hAnsi="Calibri"/>
          <w:color w:val="2D3237"/>
          <w:sz w:val="19"/>
        </w:rPr>
        <w:t>The employee is formally removed from tender evaluations, contract negotiations, pricing determinations, and vendor selection committees.</w:t>
      </w:r>
    </w:p>
    <w:p>
      <w:pPr>
        <w:pStyle w:val="ListBullet"/>
        <w:spacing w:before="0" w:after="50" w:line="276" w:lineRule="auto"/>
      </w:pPr>
      <w:r>
        <w:rPr>
          <w:rFonts w:ascii="Calibri" w:hAnsi="Calibri"/>
          <w:b/>
          <w:color w:val="2D3237"/>
          <w:sz w:val="19"/>
        </w:rPr>
        <w:t xml:space="preserve">Structural Supervisory Separation: </w:t>
      </w:r>
      <w:r>
        <w:rPr>
          <w:rFonts w:ascii="Calibri" w:hAnsi="Calibri"/>
          <w:color w:val="2D3237"/>
          <w:sz w:val="19"/>
        </w:rPr>
        <w:t>Employees related by blood, marriage, or romantic partnership are structurally separated; direct or indirect supervisory reporting lines are prohibited.</w:t>
      </w:r>
    </w:p>
    <w:p>
      <w:pPr>
        <w:pStyle w:val="ListBullet"/>
        <w:spacing w:before="0" w:after="50" w:line="276" w:lineRule="auto"/>
      </w:pPr>
      <w:r>
        <w:rPr>
          <w:rFonts w:ascii="Calibri" w:hAnsi="Calibri"/>
          <w:b/>
          <w:color w:val="2D3237"/>
          <w:sz w:val="19"/>
        </w:rPr>
        <w:t xml:space="preserve">Annual Re-certification: </w:t>
      </w:r>
      <w:r>
        <w:rPr>
          <w:rFonts w:ascii="Calibri" w:hAnsi="Calibri"/>
          <w:color w:val="2D3237"/>
          <w:sz w:val="19"/>
        </w:rPr>
        <w:t>The employee must re-certify their conflict disclosure annually and report any material changes in ownership or involvement within 10 business days.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[FIDUCIARY ENFORCEMENT]</w:t>
              <w:br/>
            </w:r>
            <w:r>
              <w:rPr>
                <w:rFonts w:ascii="Calibri" w:hAnsi="Calibri"/>
                <w:color w:val="2D3237"/>
                <w:sz w:val="19"/>
              </w:rPr>
              <w:t>MANDATORY RECUSAL CLAUSE: Any employee who participates in a procurement evaluation or commercial award involving an undisclosed entity in which they or their immediate family hold a financial interest shall face immediate termination for cause and potential civil litigation for breach of fiduciary duty.</w:t>
            </w:r>
          </w:p>
        </w:tc>
      </w:tr>
    </w:tbl>
    <w:p>
      <w:pPr>
        <w:spacing w:before="0" w:after="80"/>
      </w:pPr>
    </w:p>
    <w:p>
      <w:r>
        <w:br w:type="page"/>
      </w:r>
    </w:p>
    <w:p>
      <w:pPr>
        <w:keepNext/>
        <w:spacing w:before="360" w:after="120"/>
      </w:pPr>
      <w:r>
        <w:rPr>
          <w:rFonts w:ascii="Calibri" w:hAnsi="Calibri"/>
          <w:b/>
          <w:color w:val="0B2545"/>
          <w:sz w:val="29"/>
        </w:rPr>
        <w:t>SECTION 6: INTERNATIONAL TRADE CONTROLS, EXPORT SANCTIONS &amp; DUAL-USE TECH</w:t>
      </w:r>
    </w:p>
    <w:p>
      <w:pPr>
        <w:keepNext/>
        <w:spacing w:before="260" w:after="80"/>
      </w:pPr>
      <w:r>
        <w:rPr>
          <w:rFonts w:ascii="Calibri" w:hAnsi="Calibri"/>
          <w:b/>
          <w:color w:val="136F63"/>
          <w:sz w:val="23"/>
        </w:rPr>
        <w:t>6.1 Strategic Trade Compliance &amp; Export Controls</w:t>
      </w:r>
    </w:p>
    <w:p>
      <w:pPr>
        <w:spacing w:before="0" w:after="100" w:line="276" w:lineRule="auto"/>
      </w:pPr>
      <w:r>
        <w:rPr>
          <w:rFonts w:ascii="Calibri" w:hAnsi="Calibri"/>
          <w:color w:val="2D3237"/>
          <w:sz w:val="19"/>
        </w:rPr>
        <w:t>Clause 6.1.1 — As a global frontier technology group developing advanced foundational artificial intelligence architectures, high-performance computing clusters, quantum integrations, and semiconductor systems, G42 strictly complies with international export control regimes and strategic trade control frameworks.</w:t>
      </w:r>
    </w:p>
    <w:p>
      <w:pPr>
        <w:spacing w:before="0" w:after="100" w:line="276" w:lineRule="auto"/>
      </w:pPr>
      <w:r>
        <w:rPr>
          <w:rFonts w:ascii="Calibri" w:hAnsi="Calibri"/>
          <w:color w:val="2D3237"/>
          <w:sz w:val="19"/>
        </w:rPr>
        <w:t>Clause 6.1.2 — Compliance frameworks enforced across G42 include: (a) UAE Ministry of Foreign Affairs (MOFA) and Executive Office for Control and Non-Proliferation (EOCN) Dual-Use Regulations; (b) United States Export Administration Regulations (EAR) administered by the Bureau of Industry and Security (BIS); (c) United States International Traffic in Arms Regulations (ITAR); and (d) Multilateral export agreements (Wassenaar Arrangement).</w:t>
      </w:r>
    </w:p>
    <w:p>
      <w:pPr>
        <w:keepNext/>
        <w:spacing w:before="260" w:after="80"/>
      </w:pPr>
      <w:r>
        <w:rPr>
          <w:rFonts w:ascii="Calibri" w:hAnsi="Calibri"/>
          <w:b/>
          <w:color w:val="136F63"/>
          <w:sz w:val="23"/>
        </w:rPr>
        <w:t>6.2 Advanced Compute, GPU Clusters &amp; Sovereign Safeguards</w:t>
      </w:r>
    </w:p>
    <w:p>
      <w:pPr>
        <w:spacing w:before="0" w:after="100" w:line="276" w:lineRule="auto"/>
      </w:pPr>
      <w:r>
        <w:rPr>
          <w:rFonts w:ascii="Calibri" w:hAnsi="Calibri"/>
          <w:color w:val="2D3237"/>
          <w:sz w:val="19"/>
        </w:rPr>
        <w:t>Clause 6.2.1 — Advanced GPU Infrastructure Safeguards: G42 enforces strict cryptographic and physical access controls over high-density semiconductor compute clusters (including NVIDIA H100, B200, and subsequent frontier architectures).</w:t>
      </w:r>
    </w:p>
    <w:p>
      <w:pPr>
        <w:spacing w:before="0" w:after="100" w:line="276" w:lineRule="auto"/>
      </w:pPr>
      <w:r>
        <w:rPr>
          <w:rFonts w:ascii="Calibri" w:hAnsi="Calibri"/>
          <w:color w:val="2D3237"/>
          <w:sz w:val="19"/>
        </w:rPr>
        <w:t>Clause 6.2.2 — Re-Export and Remote Access Prohibitions: Infrastructure administrators and cloud engineers are strictly prohibited from transferring, re-exporting, leasing, or providing remote virtualization access to restricted GPU compute clusters to any entity, organization, or individual located within embargoed jurisdictions or listed on international trade denial lists without prior BIS / MOFA export licenses.</w:t>
      </w:r>
    </w:p>
    <w:p>
      <w:r>
        <w:br w:type="page"/>
      </w:r>
    </w:p>
    <w:p>
      <w:pPr>
        <w:keepNext/>
        <w:spacing w:before="260" w:after="80"/>
      </w:pPr>
      <w:r>
        <w:rPr>
          <w:rFonts w:ascii="Calibri" w:hAnsi="Calibri"/>
          <w:b/>
          <w:color w:val="136F63"/>
          <w:sz w:val="23"/>
        </w:rPr>
        <w:t>6.3 Sanctions Screening &amp; Know-Your-Customer (KYC) Protocols</w:t>
      </w:r>
    </w:p>
    <w:p>
      <w:pPr>
        <w:spacing w:before="0" w:after="100" w:line="276" w:lineRule="auto"/>
      </w:pPr>
      <w:r>
        <w:rPr>
          <w:rFonts w:ascii="Calibri" w:hAnsi="Calibri"/>
          <w:color w:val="2D3237"/>
          <w:sz w:val="19"/>
        </w:rPr>
        <w:t>Clause 6.3.1 — All commercial clients, joint-venture partners, vendor suppliers, distributors, and ultimate beneficial owners (UBOs holding &gt;10% equity) must undergo real-time automated sanctions screening prior to commercial contract execution and onboarding.</w:t>
      </w:r>
    </w:p>
    <w:p>
      <w:pPr>
        <w:spacing w:before="0" w:after="100" w:line="276" w:lineRule="auto"/>
      </w:pPr>
      <w:r>
        <w:rPr>
          <w:rFonts w:ascii="Calibri" w:hAnsi="Calibri"/>
          <w:color w:val="2D3237"/>
          <w:sz w:val="19"/>
        </w:rPr>
        <w:t>Clause 6.3.2 — Screening systems evaluate prospective counterparties against international trade control databases, including: (a) United Nations Security Council Consolidated Sanctions; (b) UAE National Terrorist and Sanctions Lists; (c) US Department of the Treasury Office of Foreign Assets Control (OFAC) Specially Designated Nationals (SDN) List; (d) US Department of Commerce Entity List and Unverified List; and (e) European Union Consolidated Financial Sanctions List.</w:t>
      </w:r>
    </w:p>
    <w:p>
      <w:pPr>
        <w:keepNext/>
        <w:spacing w:before="260" w:after="80"/>
      </w:pPr>
      <w:r>
        <w:rPr>
          <w:rFonts w:ascii="Calibri" w:hAnsi="Calibri"/>
          <w:b/>
          <w:color w:val="136F63"/>
          <w:sz w:val="23"/>
        </w:rPr>
        <w:t>6.4 Dual-Use Foundational AI Model Weights</w:t>
      </w:r>
    </w:p>
    <w:p>
      <w:pPr>
        <w:spacing w:before="0" w:after="100" w:line="276" w:lineRule="auto"/>
      </w:pPr>
      <w:r>
        <w:rPr>
          <w:rFonts w:ascii="Calibri" w:hAnsi="Calibri"/>
          <w:color w:val="2D3237"/>
          <w:sz w:val="19"/>
        </w:rPr>
        <w:t>Clause 6.4.1 — Foundational AI model weights possessing dual-use capabilities—specifically including models capable of automated offensive cyber exploitation, advanced chemical synthesis, autonomous biological design, or kinetic infrastructure disruption—are classified as Level 4 Sovereign Technology.</w:t>
      </w:r>
    </w:p>
    <w:p>
      <w:pPr>
        <w:spacing w:before="0" w:after="100" w:line="276" w:lineRule="auto"/>
      </w:pPr>
      <w:r>
        <w:rPr>
          <w:rFonts w:ascii="Calibri" w:hAnsi="Calibri"/>
          <w:color w:val="2D3237"/>
          <w:sz w:val="19"/>
        </w:rPr>
        <w:t>Clause 6.4.2 — Releasing, exporting, or distributing dual-use model weights outside authorized sovereign compute fabrics requires formal Dual-Use Clearance from the Group AI Ethics &amp; Safety Board and statutory export licensing from UAE regulatory authorities.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[TRADE COMPLIANCE DIRECTIVE]</w:t>
              <w:br/>
            </w:r>
            <w:r>
              <w:rPr>
                <w:rFonts w:ascii="Calibri" w:hAnsi="Calibri"/>
                <w:color w:val="2D3237"/>
                <w:sz w:val="19"/>
              </w:rPr>
              <w:t>SANCTIONS VIOLATION SANCTION: Facilitating business transactions with sanctioned entities or transferring restricted compute infrastructure without statutory export licenses is a catastrophic regulatory violation resulting in immediate termination and criminal referral.</w:t>
            </w:r>
          </w:p>
        </w:tc>
      </w:tr>
    </w:tbl>
    <w:p>
      <w:pPr>
        <w:spacing w:before="0" w:after="80"/>
      </w:pPr>
    </w:p>
    <w:p>
      <w:r>
        <w:br w:type="page"/>
      </w:r>
    </w:p>
    <w:p>
      <w:pPr>
        <w:keepNext/>
        <w:spacing w:before="360" w:after="120"/>
      </w:pPr>
      <w:r>
        <w:rPr>
          <w:rFonts w:ascii="Calibri" w:hAnsi="Calibri"/>
          <w:b/>
          <w:color w:val="0B2545"/>
          <w:sz w:val="29"/>
        </w:rPr>
        <w:t>SECTION 7: GLOBAL DIVERSITY, INCLUSION &amp; MERIT-BASED TALENT</w:t>
      </w:r>
    </w:p>
    <w:p>
      <w:pPr>
        <w:keepNext/>
        <w:spacing w:before="260" w:after="80"/>
      </w:pPr>
      <w:r>
        <w:rPr>
          <w:rFonts w:ascii="Calibri" w:hAnsi="Calibri"/>
          <w:b/>
          <w:color w:val="136F63"/>
          <w:sz w:val="23"/>
        </w:rPr>
        <w:t>7.1 Commitment to Global Diversity &amp; Inclusion</w:t>
      </w:r>
    </w:p>
    <w:p>
      <w:pPr>
        <w:spacing w:before="0" w:after="100" w:line="276" w:lineRule="auto"/>
      </w:pPr>
      <w:r>
        <w:rPr>
          <w:rFonts w:ascii="Calibri" w:hAnsi="Calibri"/>
          <w:color w:val="2D3237"/>
          <w:sz w:val="19"/>
        </w:rPr>
        <w:t>Clause 7.1.1 — G42 derives its strength and innovation from a world-class global workforce representing more than 80 nationalities, diverse cultural traditions, academic disciplines, and life experiences. We believe that groundbreaking cognitive technologies can only be conceived and built by teams that reflect the rich diversity of humanity.</w:t>
      </w:r>
    </w:p>
    <w:p>
      <w:pPr>
        <w:spacing w:before="0" w:after="100" w:line="276" w:lineRule="auto"/>
      </w:pPr>
      <w:r>
        <w:rPr>
          <w:rFonts w:ascii="Calibri" w:hAnsi="Calibri"/>
          <w:color w:val="2D3237"/>
          <w:sz w:val="19"/>
        </w:rPr>
        <w:t>Clause 7.1.2 — The Group is committed to creating an inclusive, empowering professional environment where every individual is treated with dignity, respect, and fairness, and where unique perspectives are actively solicited, valued, and leveraged to drive technological breakthroughs.</w:t>
      </w:r>
    </w:p>
    <w:p>
      <w:pPr>
        <w:keepNext/>
        <w:spacing w:before="260" w:after="80"/>
      </w:pPr>
      <w:r>
        <w:rPr>
          <w:rFonts w:ascii="Calibri" w:hAnsi="Calibri"/>
          <w:b/>
          <w:color w:val="136F63"/>
          <w:sz w:val="23"/>
        </w:rPr>
        <w:t>7.2 Equal Opportunity &amp; Non-Discrimination Standard</w:t>
      </w:r>
    </w:p>
    <w:p>
      <w:pPr>
        <w:spacing w:before="0" w:after="100" w:line="276" w:lineRule="auto"/>
      </w:pPr>
      <w:r>
        <w:rPr>
          <w:rFonts w:ascii="Calibri" w:hAnsi="Calibri"/>
          <w:color w:val="2D3237"/>
          <w:sz w:val="19"/>
        </w:rPr>
        <w:t>Clause 7.2.1 — G42 provides equal employment, career development, and commercial advancement opportunities to all qualified individuals. The Group strictly prohibits discrimination, disparate treatment, prejudice, or harassment based on race, color, nationality, ethnic or social origin, citizenship, religion, religious creed, gender, gender identity, marital status, pregnancy, parental status, age, physical or mental disability, medical condition, genetic information, or veteran status.</w:t>
      </w:r>
    </w:p>
    <w:p>
      <w:pPr>
        <w:spacing w:before="0" w:after="100" w:line="276" w:lineRule="auto"/>
      </w:pPr>
      <w:r>
        <w:rPr>
          <w:rFonts w:ascii="Calibri" w:hAnsi="Calibri"/>
          <w:color w:val="2D3237"/>
          <w:sz w:val="19"/>
        </w:rPr>
        <w:t>Clause 7.2.2 — Non-discrimination mandates apply universally across all employment practices, including: (a) Sourcing, recruitment, interviewing, and hiring; (b) Job assignments, project allocations, and promotions; (c) Compensation, performance ratings, and bonus allocations; (d) Training, conference sponsorships, and leadership development programs; and (e) Disciplinary proceedings, contract renewals, and terminations.</w:t>
      </w:r>
    </w:p>
    <w:p>
      <w:r>
        <w:br w:type="page"/>
      </w:r>
    </w:p>
    <w:p>
      <w:pPr>
        <w:keepNext/>
        <w:spacing w:before="260" w:after="80"/>
      </w:pPr>
      <w:r>
        <w:rPr>
          <w:rFonts w:ascii="Calibri" w:hAnsi="Calibri"/>
          <w:b/>
          <w:color w:val="136F63"/>
          <w:sz w:val="23"/>
        </w:rPr>
        <w:t>7.3 Merit-Based Talent Management &amp; Objective Evaluation</w:t>
      </w:r>
    </w:p>
    <w:p>
      <w:pPr>
        <w:spacing w:before="0" w:after="100" w:line="276" w:lineRule="auto"/>
      </w:pPr>
      <w:r>
        <w:rPr>
          <w:rFonts w:ascii="Calibri" w:hAnsi="Calibri"/>
          <w:color w:val="2D3237"/>
          <w:sz w:val="19"/>
        </w:rPr>
        <w:t>Clause 7.3.1 — Talent acquisition, performance appraisal, compensation benchmarking, and promotional advancements within G42 are governed strictly by objective meritocracy. Decisions are anchored in demonstrable technical brilliance, operational impact, leadership capability, problem-solving excellence, and cultural alignment with G42 core values.</w:t>
      </w:r>
    </w:p>
    <w:p>
      <w:pPr>
        <w:spacing w:before="0" w:after="100" w:line="276" w:lineRule="auto"/>
      </w:pPr>
      <w:r>
        <w:rPr>
          <w:rFonts w:ascii="Calibri" w:hAnsi="Calibri"/>
          <w:color w:val="2D3237"/>
          <w:sz w:val="19"/>
        </w:rPr>
        <w:t>Clause 7.3.2 — People managers must utilize standardized performance rubrics, peer reviews, and multi-evaluator calibration committees during annual review cycles to eliminate unconscious bias and ensure that promotions reflect objective contributions.</w:t>
      </w:r>
    </w:p>
    <w:p>
      <w:pPr>
        <w:keepNext/>
        <w:spacing w:before="260" w:after="80"/>
      </w:pPr>
      <w:r>
        <w:rPr>
          <w:rFonts w:ascii="Calibri" w:hAnsi="Calibri"/>
          <w:b/>
          <w:color w:val="136F63"/>
          <w:sz w:val="23"/>
        </w:rPr>
        <w:t>7.4 Equal Pay for Equal Work &amp; Pay Equity Auditing</w:t>
      </w:r>
    </w:p>
    <w:p>
      <w:pPr>
        <w:spacing w:before="0" w:after="100" w:line="276" w:lineRule="auto"/>
      </w:pPr>
      <w:r>
        <w:rPr>
          <w:rFonts w:ascii="Calibri" w:hAnsi="Calibri"/>
          <w:color w:val="2D3237"/>
          <w:sz w:val="19"/>
        </w:rPr>
        <w:t>Clause 7.4.1 — G42 enforces the principle of equal pay for equal work. Compensation packages are determined based on role complexity, market benchmarking, technical specialization, and individual contribution, without regard to demographic attributes.</w:t>
      </w:r>
    </w:p>
    <w:p>
      <w:pPr>
        <w:spacing w:before="0" w:after="100" w:line="276" w:lineRule="auto"/>
      </w:pPr>
      <w:r>
        <w:rPr>
          <w:rFonts w:ascii="Calibri" w:hAnsi="Calibri"/>
          <w:color w:val="2D3237"/>
          <w:sz w:val="19"/>
        </w:rPr>
        <w:t>Clause 7.4.2 — The Group People &amp; Culture Directorate conducts an annual enterprise-wide Gender &amp; Demographic Pay Equity Audit. Any identified pay disparities across equivalent job tiers and performance brackets must be remediated during the Q1 compensation cycle.</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[EQUAL OPPORTUNITY DIRECTIVE]</w:t>
              <w:br/>
            </w:r>
            <w:r>
              <w:rPr>
                <w:rFonts w:ascii="Calibri" w:hAnsi="Calibri"/>
                <w:color w:val="2D3237"/>
                <w:sz w:val="19"/>
              </w:rPr>
              <w:t>INCLUSIVE CULTURE MANDATE: Discriminatory hiring practices, tokenism, biased performance evaluations, or disparate promotional treatment represent severe breaches of G42 human resources policy resulting in managerial removal and formal disciplinary action.</w:t>
            </w:r>
          </w:p>
        </w:tc>
      </w:tr>
    </w:tbl>
    <w:p>
      <w:pPr>
        <w:spacing w:before="0" w:after="80"/>
      </w:pPr>
    </w:p>
    <w:p>
      <w:r>
        <w:br w:type="page"/>
      </w:r>
    </w:p>
    <w:p>
      <w:pPr>
        <w:keepNext/>
        <w:spacing w:before="360" w:after="120"/>
      </w:pPr>
      <w:r>
        <w:rPr>
          <w:rFonts w:ascii="Calibri" w:hAnsi="Calibri"/>
          <w:b/>
          <w:color w:val="0B2545"/>
          <w:sz w:val="29"/>
        </w:rPr>
        <w:t>SECTION 8: MODERN WORKPLACE POLICY, HYBRID WORK &amp; MOBILITY</w:t>
      </w:r>
    </w:p>
    <w:p>
      <w:pPr>
        <w:keepNext/>
        <w:spacing w:before="260" w:after="80"/>
      </w:pPr>
      <w:r>
        <w:rPr>
          <w:rFonts w:ascii="Calibri" w:hAnsi="Calibri"/>
          <w:b/>
          <w:color w:val="136F63"/>
          <w:sz w:val="23"/>
        </w:rPr>
        <w:t>8.1 Performance-Oriented Hybrid Work Framework</w:t>
      </w:r>
    </w:p>
    <w:p>
      <w:pPr>
        <w:spacing w:before="0" w:after="100" w:line="276" w:lineRule="auto"/>
      </w:pPr>
      <w:r>
        <w:rPr>
          <w:rFonts w:ascii="Calibri" w:hAnsi="Calibri"/>
          <w:color w:val="2D3237"/>
          <w:sz w:val="19"/>
        </w:rPr>
        <w:t>Clause 8.1.1 — G42 embraces a modern, performance-oriented hybrid work model designed to balance deep technical collaboration, laboratory research, and computational innovation with flexible working arrangements.</w:t>
      </w:r>
    </w:p>
    <w:p>
      <w:pPr>
        <w:spacing w:before="0" w:after="100" w:line="276" w:lineRule="auto"/>
      </w:pPr>
      <w:r>
        <w:rPr>
          <w:rFonts w:ascii="Calibri" w:hAnsi="Calibri"/>
          <w:color w:val="2D3237"/>
          <w:sz w:val="19"/>
        </w:rPr>
        <w:t>Clause 8.1.2 — Core Operating Structure: Standard engineering, research, and operational roles maintain a structured hybrid cadence—typically three (3) days on-site at designated corporate innovation hubs and two (2) days remote—determined at the Operating Company and Business Unit leadership level.</w:t>
      </w:r>
    </w:p>
    <w:p>
      <w:pPr>
        <w:spacing w:before="0" w:after="100" w:line="276" w:lineRule="auto"/>
      </w:pPr>
      <w:r>
        <w:rPr>
          <w:rFonts w:ascii="Calibri" w:hAnsi="Calibri"/>
          <w:color w:val="2D3237"/>
          <w:sz w:val="19"/>
        </w:rPr>
        <w:t>Clause 8.1.3 — Roles requiring physical infrastructure oversight (such as Khazna data center technicians, high-security hardware facility operators, and executive security personnel) operate under dedicated on-site schedules governed by business unit standard operating procedures.</w:t>
      </w:r>
    </w:p>
    <w:p>
      <w:pPr>
        <w:keepNext/>
        <w:spacing w:before="260" w:after="80"/>
      </w:pPr>
      <w:r>
        <w:rPr>
          <w:rFonts w:ascii="Calibri" w:hAnsi="Calibri"/>
          <w:b/>
          <w:color w:val="136F63"/>
          <w:sz w:val="23"/>
        </w:rPr>
        <w:t>8.2 Home Office Ergonomics &amp; Technology Allowances</w:t>
      </w:r>
    </w:p>
    <w:p>
      <w:pPr>
        <w:spacing w:before="0" w:after="100" w:line="276" w:lineRule="auto"/>
      </w:pPr>
      <w:r>
        <w:rPr>
          <w:rFonts w:ascii="Calibri" w:hAnsi="Calibri"/>
          <w:color w:val="2D3237"/>
          <w:sz w:val="19"/>
        </w:rPr>
        <w:t>Clause 8.2.1 — To support ergonomic wellness and operational excellence during remote working days, G42 provides enterprise-grade IT hardware (laptops, dual 4K monitors, encrypted peripherals) and an annual Home Office Wellness Allowance.</w:t>
      </w:r>
    </w:p>
    <w:p>
      <w:pPr>
        <w:spacing w:before="0" w:after="100" w:line="276" w:lineRule="auto"/>
      </w:pPr>
      <w:r>
        <w:rPr>
          <w:rFonts w:ascii="Calibri" w:hAnsi="Calibri"/>
          <w:color w:val="2D3237"/>
          <w:sz w:val="19"/>
        </w:rPr>
        <w:t>Clause 8.2.2 — Employees working remotely must maintain a private, secure workspace free from visual or acoustic eavesdropping when handling Level 3 (Confidential) or Level 4 (Sovereign) data assets.</w:t>
      </w:r>
    </w:p>
    <w:p>
      <w:r>
        <w:br w:type="page"/>
      </w:r>
    </w:p>
    <w:p>
      <w:pPr>
        <w:keepNext/>
        <w:spacing w:before="260" w:after="80"/>
      </w:pPr>
      <w:r>
        <w:rPr>
          <w:rFonts w:ascii="Calibri" w:hAnsi="Calibri"/>
          <w:b/>
          <w:color w:val="136F63"/>
          <w:sz w:val="23"/>
        </w:rPr>
        <w:t>8.3 International Remote Work &amp; Tax Nexus Protocols</w:t>
      </w:r>
    </w:p>
    <w:p>
      <w:pPr>
        <w:spacing w:before="0" w:after="100" w:line="276" w:lineRule="auto"/>
      </w:pPr>
      <w:r>
        <w:rPr>
          <w:rFonts w:ascii="Calibri" w:hAnsi="Calibri"/>
          <w:color w:val="2D3237"/>
          <w:sz w:val="19"/>
        </w:rPr>
        <w:t>Clause 8.3.1 — Working Temporarily from Abroad: Full-time employees may request permission to work remotely from an approved international jurisdiction for up to twenty (20) business days per calendar year, subject to operational feasibility and written approval from their Line Manager, OpCo HR Lead, and Group Legal.</w:t>
      </w:r>
    </w:p>
    <w:p>
      <w:pPr>
        <w:spacing w:before="0" w:after="100" w:line="276" w:lineRule="auto"/>
      </w:pPr>
      <w:r>
        <w:rPr>
          <w:rFonts w:ascii="Calibri" w:hAnsi="Calibri"/>
          <w:color w:val="2D3237"/>
          <w:sz w:val="19"/>
        </w:rPr>
        <w:t>Clause 8.3.2 — Mandatory Regulatory Constraints on International Remote Work: Remote work from overseas locations must strictly satisfy three mandatory compliance gateways:</w:t>
      </w:r>
    </w:p>
    <w:p>
      <w:pPr>
        <w:pStyle w:val="ListBullet"/>
        <w:spacing w:before="0" w:after="50" w:line="276" w:lineRule="auto"/>
      </w:pPr>
      <w:r>
        <w:rPr>
          <w:rFonts w:ascii="Calibri" w:hAnsi="Calibri"/>
          <w:b/>
          <w:color w:val="2D3237"/>
          <w:sz w:val="19"/>
        </w:rPr>
        <w:t xml:space="preserve">Corporate Tax Nexus: </w:t>
      </w:r>
      <w:r>
        <w:rPr>
          <w:rFonts w:ascii="Calibri" w:hAnsi="Calibri"/>
          <w:color w:val="2D3237"/>
          <w:sz w:val="19"/>
        </w:rPr>
        <w:t>Remote work is strictly prohibited from countries that create unintended corporate tax nexus, permanent establishment (PE) exposure, or personal tax withholding liabilities for G42.</w:t>
      </w:r>
    </w:p>
    <w:p>
      <w:pPr>
        <w:pStyle w:val="ListBullet"/>
        <w:spacing w:before="0" w:after="50" w:line="276" w:lineRule="auto"/>
      </w:pPr>
      <w:r>
        <w:rPr>
          <w:rFonts w:ascii="Calibri" w:hAnsi="Calibri"/>
          <w:b/>
          <w:color w:val="2D3237"/>
          <w:sz w:val="19"/>
        </w:rPr>
        <w:t xml:space="preserve">Data Sovereignty &amp; Export Controls: </w:t>
      </w:r>
      <w:r>
        <w:rPr>
          <w:rFonts w:ascii="Calibri" w:hAnsi="Calibri"/>
          <w:color w:val="2D3237"/>
          <w:sz w:val="19"/>
        </w:rPr>
        <w:t>Employees traveling internationally may not access Level 4 Sovereign Data or export-controlled AI model weights from foreign IP addresses without CISO authorization.</w:t>
      </w:r>
    </w:p>
    <w:p>
      <w:pPr>
        <w:pStyle w:val="ListBullet"/>
        <w:spacing w:before="0" w:after="50" w:line="276" w:lineRule="auto"/>
      </w:pPr>
      <w:r>
        <w:rPr>
          <w:rFonts w:ascii="Calibri" w:hAnsi="Calibri"/>
          <w:b/>
          <w:color w:val="2D3237"/>
          <w:sz w:val="19"/>
        </w:rPr>
        <w:t xml:space="preserve">Sanctioned Country Ban: </w:t>
      </w:r>
      <w:r>
        <w:rPr>
          <w:rFonts w:ascii="Calibri" w:hAnsi="Calibri"/>
          <w:color w:val="2D3237"/>
          <w:sz w:val="19"/>
        </w:rPr>
        <w:t>Remote work is categorically prohibited from any country subject to comprehensive international trade sanctions (e.g., OFAC embargoes).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[MOBILITY DIRECTIVE]</w:t>
              <w:br/>
            </w:r>
            <w:r>
              <w:rPr>
                <w:rFonts w:ascii="Calibri" w:hAnsi="Calibri"/>
                <w:color w:val="2D3237"/>
                <w:sz w:val="19"/>
              </w:rPr>
              <w:t>UNAUTHORIZED CROSS-BORDER WORK: Engaging in unapproved remote work from foreign countries poses severe corporate tax and data export liabilities. Violations will result in immediate revocation of remote work privileges and formal disciplinary review.</w:t>
            </w:r>
          </w:p>
        </w:tc>
      </w:tr>
    </w:tbl>
    <w:p>
      <w:pPr>
        <w:spacing w:before="0" w:after="80"/>
      </w:pPr>
    </w:p>
    <w:p>
      <w:r>
        <w:br w:type="page"/>
      </w:r>
    </w:p>
    <w:p>
      <w:pPr>
        <w:keepNext/>
        <w:spacing w:before="360" w:after="120"/>
      </w:pPr>
      <w:r>
        <w:rPr>
          <w:rFonts w:ascii="Calibri" w:hAnsi="Calibri"/>
          <w:b/>
          <w:color w:val="0B2545"/>
          <w:sz w:val="29"/>
        </w:rPr>
        <w:t>SECTION 9: WORKPLACE CONDUCT, ANTI-HARASSMENT &amp; ANTI-BULLYING</w:t>
      </w:r>
    </w:p>
    <w:p>
      <w:pPr>
        <w:keepNext/>
        <w:spacing w:before="260" w:after="80"/>
      </w:pPr>
      <w:r>
        <w:rPr>
          <w:rFonts w:ascii="Calibri" w:hAnsi="Calibri"/>
          <w:b/>
          <w:color w:val="136F63"/>
          <w:sz w:val="23"/>
        </w:rPr>
        <w:t>9.1 Zero Tolerance for Harassment and Intimidation</w:t>
      </w:r>
    </w:p>
    <w:p>
      <w:pPr>
        <w:spacing w:before="0" w:after="100" w:line="276" w:lineRule="auto"/>
      </w:pPr>
      <w:r>
        <w:rPr>
          <w:rFonts w:ascii="Calibri" w:hAnsi="Calibri"/>
          <w:color w:val="2D3237"/>
          <w:sz w:val="19"/>
        </w:rPr>
        <w:t>Clause 9.1.1 — G42 maintains an absolute zero-tolerance policy towards any form of harassment, sexual harassment, intimidation, hostile work environment creation, psychological abuse, or workplace bullying. Every employee has the fundamental right to work in an environment free from hostility, coercion, and humiliation.</w:t>
      </w:r>
    </w:p>
    <w:p>
      <w:pPr>
        <w:spacing w:before="0" w:after="100" w:line="276" w:lineRule="auto"/>
      </w:pPr>
      <w:r>
        <w:rPr>
          <w:rFonts w:ascii="Calibri" w:hAnsi="Calibri"/>
          <w:color w:val="2D3237"/>
          <w:sz w:val="19"/>
        </w:rPr>
        <w:t>Clause 9.1.2 — This standard applies unconditionally across all corporate offices, laboratories, data center facilities, off-site business conferences, corporate social functions, client dinners, and digital communication channels (Slack, Microsoft Teams, email, video conferences).</w:t>
      </w:r>
    </w:p>
    <w:p>
      <w:pPr>
        <w:keepNext/>
        <w:spacing w:before="260" w:after="80"/>
      </w:pPr>
      <w:r>
        <w:rPr>
          <w:rFonts w:ascii="Calibri" w:hAnsi="Calibri"/>
          <w:b/>
          <w:color w:val="136F63"/>
          <w:sz w:val="23"/>
        </w:rPr>
        <w:t>9.2 Definitions &amp; Prohibited Behaviors</w:t>
      </w:r>
    </w:p>
    <w:p>
      <w:pPr>
        <w:spacing w:before="0" w:after="100" w:line="276" w:lineRule="auto"/>
      </w:pPr>
      <w:r>
        <w:rPr>
          <w:rFonts w:ascii="Calibri" w:hAnsi="Calibri"/>
          <w:color w:val="2D3237"/>
          <w:sz w:val="19"/>
        </w:rPr>
        <w:t>Clause 9.2.1 — Sexual Harassment: Includes unwelcome sexual advances, requests for sexual favors, inappropriate physical contact, sexually suggestive comments, sharing explicit imagery, offensive jokes, and 'quid pro quo' harassment (conditioning employment benefits on sexual favors).</w:t>
      </w:r>
    </w:p>
    <w:p>
      <w:pPr>
        <w:spacing w:before="0" w:after="100" w:line="276" w:lineRule="auto"/>
      </w:pPr>
      <w:r>
        <w:rPr>
          <w:rFonts w:ascii="Calibri" w:hAnsi="Calibri"/>
          <w:color w:val="2D3237"/>
          <w:sz w:val="19"/>
        </w:rPr>
        <w:t>Clause 9.2.2 — Workplace Bullying &amp; Mobbing: Repeated, unreasonable behavior directed towards an employee or group of employees that creates a risk to health and safety, including verbal abuse, public humiliation, deliberate professional isolation, malicious gossip, and assigning impossible tasks intended to induce failure.</w:t>
      </w:r>
    </w:p>
    <w:p>
      <w:r>
        <w:br w:type="page"/>
      </w:r>
    </w:p>
    <w:p>
      <w:pPr>
        <w:keepNext/>
        <w:spacing w:before="260" w:after="80"/>
      </w:pPr>
      <w:r>
        <w:rPr>
          <w:rFonts w:ascii="Calibri" w:hAnsi="Calibri"/>
          <w:b/>
          <w:color w:val="136F63"/>
          <w:sz w:val="23"/>
        </w:rPr>
        <w:t>9.3 Formal Harassment Reporting &amp; Investigation Procedures</w:t>
      </w:r>
    </w:p>
    <w:p>
      <w:pPr>
        <w:spacing w:before="0" w:after="100" w:line="276" w:lineRule="auto"/>
      </w:pPr>
      <w:r>
        <w:rPr>
          <w:rFonts w:ascii="Calibri" w:hAnsi="Calibri"/>
          <w:color w:val="2D3237"/>
          <w:sz w:val="19"/>
        </w:rPr>
        <w:t>Clause 9.3.1 — Any employee who experiences or witnesses harassment, discrimination, or bullying is strongly encouraged to report the incident immediately through any of the following safe channels: (a) Direct supervisor or business unit HR Business Partner; (b) Group Employee Relations Directorate; or (c) The anonymous 24/7 G42 EthicsPoint Portal.</w:t>
      </w:r>
    </w:p>
    <w:p>
      <w:pPr>
        <w:spacing w:before="0" w:after="100" w:line="276" w:lineRule="auto"/>
      </w:pPr>
      <w:r>
        <w:rPr>
          <w:rFonts w:ascii="Calibri" w:hAnsi="Calibri"/>
          <w:color w:val="2D3237"/>
          <w:sz w:val="19"/>
        </w:rPr>
        <w:t>Clause 9.3.2 — Mandatory Investigation Standards: All reports of harassment are investigated promptly, thoroughly, objectively, and confidentially by the Group Employee Relations and Legal Compliance teams:</w:t>
      </w:r>
    </w:p>
    <w:tbl>
      <w:tblPr>
        <w:tblW w:type="auto" w:w="0"/>
        <w:jc w:val="center"/>
        <w:tblLayout w:type="fixed"/>
        <w:tblLook w:firstColumn="1" w:firstRow="1" w:lastColumn="0" w:lastRow="0" w:noHBand="0" w:noVBand="1" w:val="04A0"/>
      </w:tblPr>
      <w:tblGrid>
        <w:gridCol w:w="2016"/>
        <w:gridCol w:w="3312"/>
        <w:gridCol w:w="2016"/>
        <w:gridCol w:w="1685"/>
      </w:tblGrid>
      <w:tr>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Investigation Phase</w:t>
            </w:r>
          </w:p>
        </w:tc>
        <w:tc>
          <w:tcPr>
            <w:tcW w:type="dxa" w:w="3312"/>
            <w:shd w:fill="0B2545"/>
            <w:tcMar>
              <w:top w:w="100" w:type="dxa"/>
              <w:bottom w:w="100" w:type="dxa"/>
              <w:left w:w="120" w:type="dxa"/>
              <w:right w:w="120" w:type="dxa"/>
            </w:tcMar>
          </w:tcPr>
          <w:p>
            <w:pPr>
              <w:spacing w:before="0" w:after="0"/>
              <w:jc w:val="left"/>
            </w:pPr>
            <w:r>
              <w:rPr>
                <w:rFonts w:ascii="Calibri" w:hAnsi="Calibri"/>
                <w:b/>
                <w:color w:val="FFFFFF"/>
                <w:sz w:val="17"/>
              </w:rPr>
              <w:t>Protocol &amp; Timeline</w:t>
            </w:r>
          </w:p>
        </w:tc>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Responsible Body</w:t>
            </w:r>
          </w:p>
        </w:tc>
        <w:tc>
          <w:tcPr>
            <w:tcW w:type="dxa" w:w="1685"/>
            <w:shd w:fill="0B2545"/>
            <w:tcMar>
              <w:top w:w="100" w:type="dxa"/>
              <w:bottom w:w="100" w:type="dxa"/>
              <w:left w:w="120" w:type="dxa"/>
              <w:right w:w="120" w:type="dxa"/>
            </w:tcMar>
          </w:tcPr>
          <w:p>
            <w:pPr>
              <w:spacing w:before="0" w:after="0"/>
              <w:jc w:val="left"/>
            </w:pPr>
            <w:r>
              <w:rPr>
                <w:rFonts w:ascii="Calibri" w:hAnsi="Calibri"/>
                <w:b/>
                <w:color w:val="FFFFFF"/>
                <w:sz w:val="17"/>
              </w:rPr>
              <w:t>Confidentiality Control</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Investigation Stage</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Operational Protocol &amp; Timeframe</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Action Party</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Confidentiality Safeguards</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Stage 1: Intake &amp; Assessment</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Immediate acknowledgment within 24 hours. Formal intake interview and safety risk assessment.</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Employee Relations Lead</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Strict need-to-know access; case file encrypted in HRIS.</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Stage 2: Fact-Finding &amp; Interviews</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Interviews with complainant, respondent, and relevant witnesses. Digital evidence preservation (within 10 days).</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Independent Investigator</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Witnesses execute mandatory non-disclosure declarations.</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Stage 3: Findings &amp; Legal Review</w:t>
            </w:r>
          </w:p>
        </w:tc>
        <w:tc>
          <w:tcPr>
            <w:tcW w:type="dxa" w:w="3312"/>
            <w:shd w:fill="F7F9FB"/>
            <w:tcMar>
              <w:top w:w="80" w:type="dxa"/>
              <w:bottom w:w="80" w:type="dxa"/>
              <w:left w:w="120" w:type="dxa"/>
              <w:right w:w="120" w:type="dxa"/>
            </w:tcMar>
          </w:tcPr>
          <w:p>
            <w:pPr>
              <w:spacing w:before="0" w:after="0"/>
            </w:pPr>
            <w:r>
              <w:rPr>
                <w:rFonts w:ascii="Calibri" w:hAnsi="Calibri"/>
                <w:color w:val="2D3237"/>
                <w:sz w:val="16"/>
              </w:rPr>
              <w:t>Formal investigative report summarizing findings against policy standards. Legal liability assessment.</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Group Legal &amp; CHRO</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Report presented directly to CHRO and Disciplinary Committee.</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Stage 4: Disciplinary Action</w:t>
            </w:r>
          </w:p>
        </w:tc>
        <w:tc>
          <w:tcPr>
            <w:tcW w:type="dxa" w:w="3312"/>
            <w:shd w:fill="FFFFFF"/>
            <w:tcMar>
              <w:top w:w="80" w:type="dxa"/>
              <w:bottom w:w="80" w:type="dxa"/>
              <w:left w:w="120" w:type="dxa"/>
              <w:right w:w="120" w:type="dxa"/>
            </w:tcMar>
          </w:tcPr>
          <w:p>
            <w:pPr>
              <w:spacing w:before="0" w:after="0"/>
            </w:pPr>
            <w:r>
              <w:rPr>
                <w:rFonts w:ascii="Calibri" w:hAnsi="Calibri"/>
                <w:color w:val="2D3237"/>
                <w:sz w:val="16"/>
              </w:rPr>
              <w:t>Immediate execution of corrective sanctions (up to termination). Formal notification to parties within 48 hours.</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Disciplinary Committee</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Outcome documented in official HR record; non-retaliation monitoring.</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[ZERO-TOLERANCE ENFORCEMENT]</w:t>
              <w:br/>
            </w:r>
            <w:r>
              <w:rPr>
                <w:rFonts w:ascii="Calibri" w:hAnsi="Calibri"/>
                <w:color w:val="2D3237"/>
                <w:sz w:val="19"/>
              </w:rPr>
              <w:t>DISCIPLINARY SANCTION FOR HARASSMENT: Any employee, manager, or executive found to have engaged in sexual harassment, severe bullying, or physical intimidation will be subject to immediate summary dismissal for gross misconduct without notice or severance pay.</w:t>
            </w:r>
          </w:p>
        </w:tc>
      </w:tr>
    </w:tbl>
    <w:p>
      <w:pPr>
        <w:spacing w:before="0" w:after="80"/>
      </w:pPr>
    </w:p>
    <w:p>
      <w:r>
        <w:br w:type="page"/>
      </w:r>
    </w:p>
    <w:p>
      <w:pPr>
        <w:keepNext/>
        <w:spacing w:before="360" w:after="120"/>
      </w:pPr>
      <w:r>
        <w:rPr>
          <w:rFonts w:ascii="Calibri" w:hAnsi="Calibri"/>
          <w:b/>
          <w:color w:val="0B2545"/>
          <w:sz w:val="29"/>
        </w:rPr>
        <w:t>SECTION 10: TOTAL REWARDS, COMPENSATION &amp; LTIP GOVERNANCE</w:t>
      </w:r>
    </w:p>
    <w:p>
      <w:pPr>
        <w:keepNext/>
        <w:spacing w:before="260" w:after="80"/>
      </w:pPr>
      <w:r>
        <w:rPr>
          <w:rFonts w:ascii="Calibri" w:hAnsi="Calibri"/>
          <w:b/>
          <w:color w:val="136F63"/>
          <w:sz w:val="23"/>
        </w:rPr>
        <w:t>10.1 Total Rewards Philosophy &amp; Market Parity</w:t>
      </w:r>
    </w:p>
    <w:p>
      <w:pPr>
        <w:spacing w:before="0" w:after="100" w:line="276" w:lineRule="auto"/>
      </w:pPr>
      <w:r>
        <w:rPr>
          <w:rFonts w:ascii="Calibri" w:hAnsi="Calibri"/>
          <w:color w:val="2D3237"/>
          <w:sz w:val="19"/>
        </w:rPr>
        <w:t>Clause 10.1.1 — G42's Total Rewards philosophy is designed to attract, motivate, and retain the world's most brilliant artificial intelligence scientists, cloud engineers, software architects, and business leaders. Our compensation structures are benchmarked annually against top-tier global deep-tech enterprises and tier-1 international technology corporations.</w:t>
      </w:r>
    </w:p>
    <w:p>
      <w:pPr>
        <w:keepNext/>
        <w:spacing w:before="260" w:after="80"/>
      </w:pPr>
      <w:r>
        <w:rPr>
          <w:rFonts w:ascii="Calibri" w:hAnsi="Calibri"/>
          <w:b/>
          <w:color w:val="136F63"/>
          <w:sz w:val="23"/>
        </w:rPr>
        <w:t>10.2 Core Compensation Components</w:t>
      </w:r>
    </w:p>
    <w:p>
      <w:pPr>
        <w:spacing w:before="0" w:after="100" w:line="276" w:lineRule="auto"/>
      </w:pPr>
      <w:r>
        <w:rPr>
          <w:rFonts w:ascii="Calibri" w:hAnsi="Calibri"/>
          <w:color w:val="2D3237"/>
          <w:sz w:val="19"/>
        </w:rPr>
        <w:t>Clause 10.2.1 — Employee compensation comprises three integrated reward pillars:</w:t>
      </w:r>
    </w:p>
    <w:tbl>
      <w:tblPr>
        <w:tblW w:type="auto" w:w="0"/>
        <w:jc w:val="center"/>
        <w:tblLayout w:type="fixed"/>
        <w:tblLook w:firstColumn="1" w:firstRow="1" w:lastColumn="0" w:lastRow="0" w:noHBand="0" w:noVBand="1" w:val="04A0"/>
      </w:tblPr>
      <w:tblGrid>
        <w:gridCol w:w="2016"/>
        <w:gridCol w:w="3168"/>
        <w:gridCol w:w="2016"/>
        <w:gridCol w:w="1829"/>
      </w:tblGrid>
      <w:tr>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Reward Pillar</w:t>
            </w:r>
          </w:p>
        </w:tc>
        <w:tc>
          <w:tcPr>
            <w:tcW w:type="dxa" w:w="3168"/>
            <w:shd w:fill="0B2545"/>
            <w:tcMar>
              <w:top w:w="100" w:type="dxa"/>
              <w:bottom w:w="100" w:type="dxa"/>
              <w:left w:w="120" w:type="dxa"/>
              <w:right w:w="120" w:type="dxa"/>
            </w:tcMar>
          </w:tcPr>
          <w:p>
            <w:pPr>
              <w:spacing w:before="0" w:after="0"/>
              <w:jc w:val="left"/>
            </w:pPr>
            <w:r>
              <w:rPr>
                <w:rFonts w:ascii="Calibri" w:hAnsi="Calibri"/>
                <w:b/>
                <w:color w:val="FFFFFF"/>
                <w:sz w:val="17"/>
              </w:rPr>
              <w:t>Description &amp; Objective</w:t>
            </w:r>
          </w:p>
        </w:tc>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Eligibility Scope</w:t>
            </w:r>
          </w:p>
        </w:tc>
        <w:tc>
          <w:tcPr>
            <w:tcW w:type="dxa" w:w="1829"/>
            <w:shd w:fill="0B2545"/>
            <w:tcMar>
              <w:top w:w="100" w:type="dxa"/>
              <w:bottom w:w="100" w:type="dxa"/>
              <w:left w:w="120" w:type="dxa"/>
              <w:right w:w="120" w:type="dxa"/>
            </w:tcMar>
          </w:tcPr>
          <w:p>
            <w:pPr>
              <w:spacing w:before="0" w:after="0"/>
              <w:jc w:val="left"/>
            </w:pPr>
            <w:r>
              <w:rPr>
                <w:rFonts w:ascii="Calibri" w:hAnsi="Calibri"/>
                <w:b/>
                <w:color w:val="FFFFFF"/>
                <w:sz w:val="17"/>
              </w:rPr>
              <w:t>Vesting / Review Cycle</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Compensation Pillar</w:t>
            </w:r>
          </w:p>
        </w:tc>
        <w:tc>
          <w:tcPr>
            <w:tcW w:type="dxa" w:w="3168"/>
            <w:shd w:fill="FFFFFF"/>
            <w:tcMar>
              <w:top w:w="80" w:type="dxa"/>
              <w:bottom w:w="80" w:type="dxa"/>
              <w:left w:w="120" w:type="dxa"/>
              <w:right w:w="120" w:type="dxa"/>
            </w:tcMar>
          </w:tcPr>
          <w:p>
            <w:pPr>
              <w:spacing w:before="0" w:after="0"/>
            </w:pPr>
            <w:r>
              <w:rPr>
                <w:rFonts w:ascii="Calibri" w:hAnsi="Calibri"/>
                <w:color w:val="2D3237"/>
                <w:sz w:val="16"/>
              </w:rPr>
              <w:t>Component Structure &amp; Purpose</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Benchmarking &amp; Eligibility</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Review / Vesting Schedule</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Pillar 1: Base Salary</w:t>
            </w:r>
          </w:p>
        </w:tc>
        <w:tc>
          <w:tcPr>
            <w:tcW w:type="dxa" w:w="3168"/>
            <w:shd w:fill="F7F9FB"/>
            <w:tcMar>
              <w:top w:w="80" w:type="dxa"/>
              <w:bottom w:w="80" w:type="dxa"/>
              <w:left w:w="120" w:type="dxa"/>
              <w:right w:w="120" w:type="dxa"/>
            </w:tcMar>
          </w:tcPr>
          <w:p>
            <w:pPr>
              <w:spacing w:before="0" w:after="0"/>
            </w:pPr>
            <w:r>
              <w:rPr>
                <w:rFonts w:ascii="Calibri" w:hAnsi="Calibri"/>
                <w:color w:val="2D3237"/>
                <w:sz w:val="16"/>
              </w:rPr>
              <w:t>Highly competitive monthly fixed salary reflecting role complexity, technical tier, and market value.</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Benchmarked against P75/P90 tech industry percentiles.</w:t>
            </w:r>
          </w:p>
        </w:tc>
        <w:tc>
          <w:tcPr>
            <w:tcW w:type="dxa" w:w="1829"/>
            <w:shd w:fill="F7F9FB"/>
            <w:tcMar>
              <w:top w:w="80" w:type="dxa"/>
              <w:bottom w:w="80" w:type="dxa"/>
              <w:left w:w="120" w:type="dxa"/>
              <w:right w:w="120" w:type="dxa"/>
            </w:tcMar>
          </w:tcPr>
          <w:p>
            <w:pPr>
              <w:spacing w:before="0" w:after="0"/>
            </w:pPr>
            <w:r>
              <w:rPr>
                <w:rFonts w:ascii="Calibri" w:hAnsi="Calibri"/>
                <w:color w:val="2D3237"/>
                <w:sz w:val="16"/>
              </w:rPr>
              <w:t>Annual performance review with market-parity adjustments.</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Pillar 2: Variable Annual Bonus</w:t>
            </w:r>
          </w:p>
        </w:tc>
        <w:tc>
          <w:tcPr>
            <w:tcW w:type="dxa" w:w="3168"/>
            <w:shd w:fill="FFFFFF"/>
            <w:tcMar>
              <w:top w:w="80" w:type="dxa"/>
              <w:bottom w:w="80" w:type="dxa"/>
              <w:left w:w="120" w:type="dxa"/>
              <w:right w:w="120" w:type="dxa"/>
            </w:tcMar>
          </w:tcPr>
          <w:p>
            <w:pPr>
              <w:spacing w:before="0" w:after="0"/>
            </w:pPr>
            <w:r>
              <w:rPr>
                <w:rFonts w:ascii="Calibri" w:hAnsi="Calibri"/>
                <w:color w:val="2D3237"/>
                <w:sz w:val="16"/>
              </w:rPr>
              <w:t>Discretionary incentive reward tied to enterprise financial metrics, OpCo milestones, and individual KPIs.</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All permanent full-time employees in good standing.</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Annual disbursement following Board financial sign-off.</w:t>
            </w:r>
          </w:p>
        </w:tc>
      </w:tr>
      <w:tr>
        <w:tc>
          <w:tcPr>
            <w:tcW w:type="dxa" w:w="2016"/>
            <w:shd w:fill="F7F9FB"/>
            <w:tcMar>
              <w:top w:w="80" w:type="dxa"/>
              <w:bottom w:w="80" w:type="dxa"/>
              <w:left w:w="120" w:type="dxa"/>
              <w:right w:w="120" w:type="dxa"/>
            </w:tcMar>
          </w:tcPr>
          <w:p>
            <w:pPr>
              <w:spacing w:before="0" w:after="0"/>
            </w:pPr>
            <w:r>
              <w:rPr>
                <w:rFonts w:ascii="Calibri" w:hAnsi="Calibri"/>
                <w:color w:val="2D3237"/>
                <w:sz w:val="16"/>
              </w:rPr>
              <w:t>Pillar 3: Long-Term Incentive Plan (LTIP)</w:t>
            </w:r>
          </w:p>
        </w:tc>
        <w:tc>
          <w:tcPr>
            <w:tcW w:type="dxa" w:w="3168"/>
            <w:shd w:fill="F7F9FB"/>
            <w:tcMar>
              <w:top w:w="80" w:type="dxa"/>
              <w:bottom w:w="80" w:type="dxa"/>
              <w:left w:w="120" w:type="dxa"/>
              <w:right w:w="120" w:type="dxa"/>
            </w:tcMar>
          </w:tcPr>
          <w:p>
            <w:pPr>
              <w:spacing w:before="0" w:after="0"/>
            </w:pPr>
            <w:r>
              <w:rPr>
                <w:rFonts w:ascii="Calibri" w:hAnsi="Calibri"/>
                <w:color w:val="2D3237"/>
                <w:sz w:val="16"/>
              </w:rPr>
              <w:t>Restricted Stock Units (RSUs) or synthetic phantom equity aligning talent with long-term enterprise valuation.</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Key technical talent, executive officers, and senior leaders.</w:t>
            </w:r>
          </w:p>
        </w:tc>
        <w:tc>
          <w:tcPr>
            <w:tcW w:type="dxa" w:w="1829"/>
            <w:shd w:fill="F7F9FB"/>
            <w:tcMar>
              <w:top w:w="80" w:type="dxa"/>
              <w:bottom w:w="80" w:type="dxa"/>
              <w:left w:w="120" w:type="dxa"/>
              <w:right w:w="120" w:type="dxa"/>
            </w:tcMar>
          </w:tcPr>
          <w:p>
            <w:pPr>
              <w:spacing w:before="0" w:after="0"/>
            </w:pPr>
            <w:r>
              <w:rPr>
                <w:rFonts w:ascii="Calibri" w:hAnsi="Calibri"/>
                <w:color w:val="2D3237"/>
                <w:sz w:val="16"/>
              </w:rPr>
              <w:t>Standard 4-year vesting schedule with a 1-year cliff and quarterly tranches.</w:t>
            </w:r>
          </w:p>
        </w:tc>
      </w:tr>
      <w:tr>
        <w:tc>
          <w:tcPr>
            <w:tcW w:type="dxa" w:w="2016"/>
            <w:shd w:fill="FFFFFF"/>
            <w:tcMar>
              <w:top w:w="80" w:type="dxa"/>
              <w:bottom w:w="80" w:type="dxa"/>
              <w:left w:w="120" w:type="dxa"/>
              <w:right w:w="120" w:type="dxa"/>
            </w:tcMar>
          </w:tcPr>
          <w:p>
            <w:pPr>
              <w:spacing w:before="0" w:after="0"/>
            </w:pPr>
            <w:r>
              <w:rPr>
                <w:rFonts w:ascii="Calibri" w:hAnsi="Calibri"/>
                <w:color w:val="2D3237"/>
                <w:sz w:val="16"/>
              </w:rPr>
              <w:t>Comprehensive Benefits</w:t>
            </w:r>
          </w:p>
        </w:tc>
        <w:tc>
          <w:tcPr>
            <w:tcW w:type="dxa" w:w="3168"/>
            <w:shd w:fill="FFFFFF"/>
            <w:tcMar>
              <w:top w:w="80" w:type="dxa"/>
              <w:bottom w:w="80" w:type="dxa"/>
              <w:left w:w="120" w:type="dxa"/>
              <w:right w:w="120" w:type="dxa"/>
            </w:tcMar>
          </w:tcPr>
          <w:p>
            <w:pPr>
              <w:spacing w:before="0" w:after="0"/>
            </w:pPr>
            <w:r>
              <w:rPr>
                <w:rFonts w:ascii="Calibri" w:hAnsi="Calibri"/>
                <w:color w:val="2D3237"/>
                <w:sz w:val="16"/>
              </w:rPr>
              <w:t>Executive-tier medical, dental, life assurance, pension/gratuity, and educational allowances.</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All full-time employees and eligible dependents.</w:t>
            </w:r>
          </w:p>
        </w:tc>
        <w:tc>
          <w:tcPr>
            <w:tcW w:type="dxa" w:w="1829"/>
            <w:shd w:fill="FFFFFF"/>
            <w:tcMar>
              <w:top w:w="80" w:type="dxa"/>
              <w:bottom w:w="80" w:type="dxa"/>
              <w:left w:w="120" w:type="dxa"/>
              <w:right w:w="120" w:type="dxa"/>
            </w:tcMar>
          </w:tcPr>
          <w:p>
            <w:pPr>
              <w:spacing w:before="0" w:after="0"/>
            </w:pPr>
            <w:r>
              <w:rPr>
                <w:rFonts w:ascii="Calibri" w:hAnsi="Calibri"/>
                <w:color w:val="2D3237"/>
                <w:sz w:val="16"/>
              </w:rPr>
              <w:t>Active upon Day 1 of formal employment.</w:t>
            </w:r>
          </w:p>
        </w:tc>
      </w:tr>
    </w:tbl>
    <w:p>
      <w:pPr>
        <w:spacing w:before="0" w:after="80"/>
      </w:pPr>
    </w:p>
    <w:p>
      <w:r>
        <w:br w:type="page"/>
      </w:r>
    </w:p>
    <w:p>
      <w:pPr>
        <w:keepNext/>
        <w:spacing w:before="260" w:after="80"/>
      </w:pPr>
      <w:r>
        <w:rPr>
          <w:rFonts w:ascii="Calibri" w:hAnsi="Calibri"/>
          <w:b/>
          <w:color w:val="136F63"/>
          <w:sz w:val="23"/>
        </w:rPr>
        <w:t>10.3 Long-Term Incentive Plan (LTIP) Governance &amp; Clawback Provisions</w:t>
      </w:r>
    </w:p>
    <w:p>
      <w:pPr>
        <w:spacing w:before="0" w:after="100" w:line="276" w:lineRule="auto"/>
      </w:pPr>
      <w:r>
        <w:rPr>
          <w:rFonts w:ascii="Calibri" w:hAnsi="Calibri"/>
          <w:color w:val="2D3237"/>
          <w:sz w:val="19"/>
        </w:rPr>
        <w:t>Clause 10.3.1 — 4-Year Vesting Schedule: Unless otherwise specified in a formal grant agreement approved by the Board Remuneration Committee, LTIP awards vest over a four-year horizon: 25% vests upon the completion of twelve (12) months of continuous service (the '1-Year Cliff'), with the remaining 75% vesting in equal quarterly tranches over the subsequent thirty-six (36) months.</w:t>
      </w:r>
    </w:p>
    <w:p>
      <w:pPr>
        <w:spacing w:before="0" w:after="100" w:line="276" w:lineRule="auto"/>
      </w:pPr>
      <w:r>
        <w:rPr>
          <w:rFonts w:ascii="Calibri" w:hAnsi="Calibri"/>
          <w:color w:val="2D3237"/>
          <w:sz w:val="19"/>
        </w:rPr>
        <w:t>Clause 10.3.2 — Mandatory Clawback Policy: In alignment with global corporate governance best practices, all unvested and vested LTIP equity awards, performance bonuses, and severance benefits are subject to mandatory clawback and forfeiture upon the occurrence of any of the following triggering events:</w:t>
      </w:r>
    </w:p>
    <w:p>
      <w:pPr>
        <w:pStyle w:val="ListBullet"/>
        <w:spacing w:before="0" w:after="50" w:line="276" w:lineRule="auto"/>
      </w:pPr>
      <w:r>
        <w:rPr>
          <w:rFonts w:ascii="Calibri" w:hAnsi="Calibri"/>
          <w:b/>
          <w:color w:val="2D3237"/>
          <w:sz w:val="19"/>
        </w:rPr>
        <w:t xml:space="preserve">Financial Restatement: </w:t>
      </w:r>
      <w:r>
        <w:rPr>
          <w:rFonts w:ascii="Calibri" w:hAnsi="Calibri"/>
          <w:color w:val="2D3237"/>
          <w:sz w:val="19"/>
        </w:rPr>
        <w:t>Material restatement of group or Operating Company financial results resulting from accounting irregularities or intentional fraud.</w:t>
      </w:r>
    </w:p>
    <w:p>
      <w:pPr>
        <w:pStyle w:val="ListBullet"/>
        <w:spacing w:before="0" w:after="50" w:line="276" w:lineRule="auto"/>
      </w:pPr>
      <w:r>
        <w:rPr>
          <w:rFonts w:ascii="Calibri" w:hAnsi="Calibri"/>
          <w:b/>
          <w:color w:val="2D3237"/>
          <w:sz w:val="19"/>
        </w:rPr>
        <w:t xml:space="preserve">Gross Misconduct &amp; IP Theft: </w:t>
      </w:r>
      <w:r>
        <w:rPr>
          <w:rFonts w:ascii="Calibri" w:hAnsi="Calibri"/>
          <w:color w:val="2D3237"/>
          <w:sz w:val="19"/>
        </w:rPr>
        <w:t>Willful engagement in gross misconduct, commercial bribery, intellectual property theft, or catastrophic cybersecurity breaches.</w:t>
      </w:r>
    </w:p>
    <w:p>
      <w:pPr>
        <w:pStyle w:val="ListBullet"/>
        <w:spacing w:before="0" w:after="50" w:line="276" w:lineRule="auto"/>
      </w:pPr>
      <w:r>
        <w:rPr>
          <w:rFonts w:ascii="Calibri" w:hAnsi="Calibri"/>
          <w:b/>
          <w:color w:val="2D3237"/>
          <w:sz w:val="19"/>
        </w:rPr>
        <w:t xml:space="preserve">AI Safety Misrepresentation: </w:t>
      </w:r>
      <w:r>
        <w:rPr>
          <w:rFonts w:ascii="Calibri" w:hAnsi="Calibri"/>
          <w:color w:val="2D3237"/>
          <w:sz w:val="19"/>
        </w:rPr>
        <w:t>Intentional suppression or falsification of artificial intelligence safety benchmarking, red-teaming reports, or regulatory filings.</w:t>
      </w:r>
    </w:p>
    <w:p>
      <w:pPr>
        <w:pStyle w:val="ListBullet"/>
        <w:spacing w:before="0" w:after="50" w:line="276" w:lineRule="auto"/>
      </w:pPr>
      <w:r>
        <w:rPr>
          <w:rFonts w:ascii="Calibri" w:hAnsi="Calibri"/>
          <w:b/>
          <w:color w:val="2D3237"/>
          <w:sz w:val="19"/>
        </w:rPr>
        <w:t xml:space="preserve">Restrictive Covenant Breach: </w:t>
      </w:r>
      <w:r>
        <w:rPr>
          <w:rFonts w:ascii="Calibri" w:hAnsi="Calibri"/>
          <w:color w:val="2D3237"/>
          <w:sz w:val="19"/>
        </w:rPr>
        <w:t>Violation of post-employment non-compete, non-solicitation, or confidentiality covenants within twenty-four (24) months of departure.</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[CLAWBACK DIRECTIVE]</w:t>
              <w:br/>
            </w:r>
            <w:r>
              <w:rPr>
                <w:rFonts w:ascii="Calibri" w:hAnsi="Calibri"/>
                <w:color w:val="2D3237"/>
                <w:sz w:val="19"/>
              </w:rPr>
              <w:t>EQUITY CLAWBACK MANDATE: The Board Remuneration Committee reserves the absolute legal authority to cancel unvested equity and demand full monetary restitution of bonuses paid within the preceding 36 months in the event of gross ethical misconduct.</w:t>
            </w:r>
          </w:p>
        </w:tc>
      </w:tr>
    </w:tbl>
    <w:p>
      <w:pPr>
        <w:spacing w:before="0" w:after="80"/>
      </w:pPr>
    </w:p>
    <w:p>
      <w:r>
        <w:br w:type="page"/>
      </w:r>
    </w:p>
    <w:p>
      <w:pPr>
        <w:keepNext/>
        <w:spacing w:before="360" w:after="120"/>
      </w:pPr>
      <w:r>
        <w:rPr>
          <w:rFonts w:ascii="Calibri" w:hAnsi="Calibri"/>
          <w:b/>
          <w:color w:val="0B2545"/>
          <w:sz w:val="29"/>
        </w:rPr>
        <w:t>SECTION 11: OCCUPATIONAL HEALTH, SAFETY &amp; WELLBEING STANDARD</w:t>
      </w:r>
    </w:p>
    <w:p>
      <w:pPr>
        <w:keepNext/>
        <w:spacing w:before="260" w:after="80"/>
      </w:pPr>
      <w:r>
        <w:rPr>
          <w:rFonts w:ascii="Calibri" w:hAnsi="Calibri"/>
          <w:b/>
          <w:color w:val="136F63"/>
          <w:sz w:val="23"/>
        </w:rPr>
        <w:t>11.1 Health, Safety &amp; Environment (HSE) Policy Statement</w:t>
      </w:r>
    </w:p>
    <w:p>
      <w:pPr>
        <w:spacing w:before="0" w:after="100" w:line="276" w:lineRule="auto"/>
      </w:pPr>
      <w:r>
        <w:rPr>
          <w:rFonts w:ascii="Calibri" w:hAnsi="Calibri"/>
          <w:color w:val="2D3237"/>
          <w:sz w:val="19"/>
        </w:rPr>
        <w:t>Clause 11.1.1 — G42 is committed to providing a safe, healthy, and environmentally sustainable working environment for all employees, contractors, visitors, and partners. The Group operates in full compliance with UAE Federal Law No. 33/2021 on Labor Relations, Abu Dhabi Public Health Centre (ADPHC) Occupational Safety and Health Standards, and international ISO 45001 standards.</w:t>
      </w:r>
    </w:p>
    <w:p>
      <w:pPr>
        <w:spacing w:before="0" w:after="100" w:line="276" w:lineRule="auto"/>
      </w:pPr>
      <w:r>
        <w:rPr>
          <w:rFonts w:ascii="Calibri" w:hAnsi="Calibri"/>
          <w:color w:val="2D3237"/>
          <w:sz w:val="19"/>
        </w:rPr>
        <w:t>Clause 11.1.2 — Every employee is empowered and obligated to stop any work activity immediately if they observe an imminent safety hazard, unsafe physical condition, or inadequate protective controls ('Stop Work Authority').</w:t>
      </w:r>
    </w:p>
    <w:p>
      <w:pPr>
        <w:keepNext/>
        <w:spacing w:before="260" w:after="80"/>
      </w:pPr>
      <w:r>
        <w:rPr>
          <w:rFonts w:ascii="Calibri" w:hAnsi="Calibri"/>
          <w:b/>
          <w:color w:val="136F63"/>
          <w:sz w:val="23"/>
        </w:rPr>
        <w:t>11.2 Hyperscale Data Center &amp; Laboratory Safety</w:t>
      </w:r>
    </w:p>
    <w:p>
      <w:pPr>
        <w:spacing w:before="0" w:after="100" w:line="276" w:lineRule="auto"/>
      </w:pPr>
      <w:r>
        <w:rPr>
          <w:rFonts w:ascii="Calibri" w:hAnsi="Calibri"/>
          <w:color w:val="2D3237"/>
          <w:sz w:val="19"/>
        </w:rPr>
        <w:t>Clause 11.2.1 — Personnel working within Khazna hyperscale data centers, Core42 sovereign supercomputing server halls, and IIAI specialized robotics laboratories must strictly adhere to specialized HSE operating protocols:</w:t>
      </w:r>
    </w:p>
    <w:p>
      <w:pPr>
        <w:pStyle w:val="ListBullet"/>
        <w:spacing w:before="0" w:after="50" w:line="276" w:lineRule="auto"/>
      </w:pPr>
      <w:r>
        <w:rPr>
          <w:rFonts w:ascii="Calibri" w:hAnsi="Calibri"/>
          <w:b/>
          <w:color w:val="2D3237"/>
          <w:sz w:val="19"/>
        </w:rPr>
        <w:t xml:space="preserve">Electrical Safety &amp; LOTO: </w:t>
      </w:r>
      <w:r>
        <w:rPr>
          <w:rFonts w:ascii="Calibri" w:hAnsi="Calibri"/>
          <w:color w:val="2D3237"/>
          <w:sz w:val="19"/>
        </w:rPr>
        <w:t>Mandatory high-voltage arc-flash protection, insulated electrical tooling, and Lockout/Tagout (LOTO) protocols during electrical maintenance.</w:t>
      </w:r>
    </w:p>
    <w:p>
      <w:pPr>
        <w:pStyle w:val="ListBullet"/>
        <w:spacing w:before="0" w:after="50" w:line="276" w:lineRule="auto"/>
      </w:pPr>
      <w:r>
        <w:rPr>
          <w:rFonts w:ascii="Calibri" w:hAnsi="Calibri"/>
          <w:b/>
          <w:color w:val="2D3237"/>
          <w:sz w:val="19"/>
        </w:rPr>
        <w:t xml:space="preserve">Acoustic Noise Containment: </w:t>
      </w:r>
      <w:r>
        <w:rPr>
          <w:rFonts w:ascii="Calibri" w:hAnsi="Calibri"/>
          <w:color w:val="2D3237"/>
          <w:sz w:val="19"/>
        </w:rPr>
        <w:t>Personnel working in high-density server halls must wear certified hearing protection where noise levels exceed 85 dBA.</w:t>
      </w:r>
    </w:p>
    <w:p>
      <w:pPr>
        <w:pStyle w:val="ListBullet"/>
        <w:spacing w:before="0" w:after="50" w:line="276" w:lineRule="auto"/>
      </w:pPr>
      <w:r>
        <w:rPr>
          <w:rFonts w:ascii="Calibri" w:hAnsi="Calibri"/>
          <w:b/>
          <w:color w:val="2D3237"/>
          <w:sz w:val="19"/>
        </w:rPr>
        <w:t xml:space="preserve">Liquid Cooling &amp; Thermal Safety: </w:t>
      </w:r>
      <w:r>
        <w:rPr>
          <w:rFonts w:ascii="Calibri" w:hAnsi="Calibri"/>
          <w:color w:val="2D3237"/>
          <w:sz w:val="19"/>
        </w:rPr>
        <w:t>Compliance with non-conductive dielectric fluid safety protocols, emergency spill containment, and thermal safety gear.</w:t>
      </w:r>
    </w:p>
    <w:p>
      <w:r>
        <w:br w:type="page"/>
      </w:r>
    </w:p>
    <w:p>
      <w:pPr>
        <w:keepNext/>
        <w:spacing w:before="260" w:after="80"/>
      </w:pPr>
      <w:r>
        <w:rPr>
          <w:rFonts w:ascii="Calibri" w:hAnsi="Calibri"/>
          <w:b/>
          <w:color w:val="136F63"/>
          <w:sz w:val="23"/>
        </w:rPr>
        <w:t>11.3 Emergency Preparedness &amp; Incident Reporting</w:t>
      </w:r>
    </w:p>
    <w:p>
      <w:pPr>
        <w:spacing w:before="0" w:after="100" w:line="276" w:lineRule="auto"/>
      </w:pPr>
      <w:r>
        <w:rPr>
          <w:rFonts w:ascii="Calibri" w:hAnsi="Calibri"/>
          <w:color w:val="2D3237"/>
          <w:sz w:val="19"/>
        </w:rPr>
        <w:t>Clause 11.3.1 — All G42 facilities maintain comprehensive Emergency Action Plans (EAPs), automated fire suppression systems, trained emergency wardens, and first aid responders. Evacuation drills are conducted semi-annually across all physical locations.</w:t>
      </w:r>
    </w:p>
    <w:p>
      <w:pPr>
        <w:spacing w:before="0" w:after="100" w:line="276" w:lineRule="auto"/>
      </w:pPr>
      <w:r>
        <w:rPr>
          <w:rFonts w:ascii="Calibri" w:hAnsi="Calibri"/>
          <w:color w:val="2D3237"/>
          <w:sz w:val="19"/>
        </w:rPr>
        <w:t>Clause 11.3.2 — All workplace injuries, near-miss incidents, chemical spills, or facility safety failures must be reported to the Group HSE Officer within two (2) hours of occurrence to enable rapid root-cause analysis and corrective action implementation.</w:t>
      </w:r>
    </w:p>
    <w:p>
      <w:pPr>
        <w:keepNext/>
        <w:spacing w:before="260" w:after="80"/>
      </w:pPr>
      <w:r>
        <w:rPr>
          <w:rFonts w:ascii="Calibri" w:hAnsi="Calibri"/>
          <w:b/>
          <w:color w:val="136F63"/>
          <w:sz w:val="23"/>
        </w:rPr>
        <w:t>11.4 Employee Mental Health &amp; Psychological Wellbeing</w:t>
      </w:r>
    </w:p>
    <w:p>
      <w:pPr>
        <w:spacing w:before="0" w:after="100" w:line="276" w:lineRule="auto"/>
      </w:pPr>
      <w:r>
        <w:rPr>
          <w:rFonts w:ascii="Calibri" w:hAnsi="Calibri"/>
          <w:color w:val="2D3237"/>
          <w:sz w:val="19"/>
        </w:rPr>
        <w:t>Clause 11.4.1 — G42 recognizes that mental health and psychological wellness are vital to individual wellbeing and sustained professional excellence. The Group provides comprehensive mental health support programs, including:</w:t>
      </w:r>
    </w:p>
    <w:p>
      <w:pPr>
        <w:pStyle w:val="ListBullet"/>
        <w:spacing w:before="0" w:after="50" w:line="276" w:lineRule="auto"/>
      </w:pPr>
      <w:r>
        <w:rPr>
          <w:rFonts w:ascii="Calibri" w:hAnsi="Calibri"/>
          <w:b/>
          <w:color w:val="2D3237"/>
          <w:sz w:val="19"/>
        </w:rPr>
        <w:t xml:space="preserve">Employee Assistance Program (EAP): </w:t>
      </w:r>
      <w:r>
        <w:rPr>
          <w:rFonts w:ascii="Calibri" w:hAnsi="Calibri"/>
          <w:color w:val="2D3237"/>
          <w:sz w:val="19"/>
        </w:rPr>
        <w:t>24/7/365 confidential psychological counseling, crisis support, and wellness coaching provided by licensed independent mental health professionals.</w:t>
      </w:r>
    </w:p>
    <w:p>
      <w:pPr>
        <w:pStyle w:val="ListBullet"/>
        <w:spacing w:before="0" w:after="50" w:line="276" w:lineRule="auto"/>
      </w:pPr>
      <w:r>
        <w:rPr>
          <w:rFonts w:ascii="Calibri" w:hAnsi="Calibri"/>
          <w:b/>
          <w:color w:val="2D3237"/>
          <w:sz w:val="19"/>
        </w:rPr>
        <w:t xml:space="preserve">Burnout Prevention &amp; Resilience: </w:t>
      </w:r>
      <w:r>
        <w:rPr>
          <w:rFonts w:ascii="Calibri" w:hAnsi="Calibri"/>
          <w:color w:val="2D3237"/>
          <w:sz w:val="19"/>
        </w:rPr>
        <w:t>Managerial training on identifying workplace burnout, managing cognitive workload, and promoting healthy work-life integration.</w:t>
      </w:r>
    </w:p>
    <w:p>
      <w:pPr>
        <w:pStyle w:val="ListBullet"/>
        <w:spacing w:before="0" w:after="50" w:line="276" w:lineRule="auto"/>
      </w:pPr>
      <w:r>
        <w:rPr>
          <w:rFonts w:ascii="Calibri" w:hAnsi="Calibri"/>
          <w:b/>
          <w:color w:val="2D3237"/>
          <w:sz w:val="19"/>
        </w:rPr>
        <w:t xml:space="preserve">Wellness Subsidies: </w:t>
      </w:r>
      <w:r>
        <w:rPr>
          <w:rFonts w:ascii="Calibri" w:hAnsi="Calibri"/>
          <w:color w:val="2D3237"/>
          <w:sz w:val="19"/>
        </w:rPr>
        <w:t>Access to corporate mindfulness programs, fitness subsidies, and annual wellness sabbaticals for eligible senior research personnel.</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[SAFETY MANDATE]</w:t>
              <w:br/>
            </w:r>
            <w:r>
              <w:rPr>
                <w:rFonts w:ascii="Calibri" w:hAnsi="Calibri"/>
                <w:color w:val="2D3237"/>
                <w:sz w:val="19"/>
              </w:rPr>
              <w:t>STOP WORK AUTHORITY: No employee or contractor will face disciplinary action or managerial reprimand for exercising their Stop Work Authority in good faith to prevent a workplace safety incident.</w:t>
            </w:r>
          </w:p>
        </w:tc>
      </w:tr>
    </w:tbl>
    <w:p>
      <w:pPr>
        <w:spacing w:before="0" w:after="80"/>
      </w:pPr>
    </w:p>
    <w:p>
      <w:r>
        <w:br w:type="page"/>
      </w:r>
    </w:p>
    <w:p>
      <w:pPr>
        <w:keepNext/>
        <w:spacing w:before="360" w:after="120"/>
      </w:pPr>
      <w:r>
        <w:rPr>
          <w:rFonts w:ascii="Calibri" w:hAnsi="Calibri"/>
          <w:b/>
          <w:color w:val="0B2545"/>
          <w:sz w:val="29"/>
        </w:rPr>
        <w:t>SECTION 12: CORPORATE COMMUNICATIONS, SOCIAL MEDIA &amp; PUBLIC REMARKS</w:t>
      </w:r>
    </w:p>
    <w:p>
      <w:pPr>
        <w:keepNext/>
        <w:spacing w:before="260" w:after="80"/>
      </w:pPr>
      <w:r>
        <w:rPr>
          <w:rFonts w:ascii="Calibri" w:hAnsi="Calibri"/>
          <w:b/>
          <w:color w:val="136F63"/>
          <w:sz w:val="23"/>
        </w:rPr>
        <w:t>12.1 Designated Corporate Spokespersons</w:t>
      </w:r>
    </w:p>
    <w:p>
      <w:pPr>
        <w:spacing w:before="0" w:after="100" w:line="276" w:lineRule="auto"/>
      </w:pPr>
      <w:r>
        <w:rPr>
          <w:rFonts w:ascii="Calibri" w:hAnsi="Calibri"/>
          <w:color w:val="2D3237"/>
          <w:sz w:val="19"/>
        </w:rPr>
        <w:t>Clause 12.1.1 — To ensure that all external communications are accurate, authorized, legally compliant, and aligned with group strategic messaging, only designated corporate spokespersons are authorized to speak on behalf of G42 to journalists, news media organizations, industry analysts, or public broadcast outlets.</w:t>
      </w:r>
    </w:p>
    <w:p>
      <w:pPr>
        <w:spacing w:before="0" w:after="100" w:line="276" w:lineRule="auto"/>
      </w:pPr>
      <w:r>
        <w:rPr>
          <w:rFonts w:ascii="Calibri" w:hAnsi="Calibri"/>
          <w:color w:val="2D3237"/>
          <w:sz w:val="19"/>
        </w:rPr>
        <w:t>Clause 12.1.2 — Designated Spokespersons include: (a) Group CEO; (b) Operating Company CEOs; (c) Group Chief Communications Officer (CCO); and (d) Individuals explicitly authorized in writing by the Group CCO for specific technical announcements.</w:t>
      </w:r>
    </w:p>
    <w:p>
      <w:pPr>
        <w:spacing w:before="0" w:after="100" w:line="276" w:lineRule="auto"/>
      </w:pPr>
      <w:r>
        <w:rPr>
          <w:rFonts w:ascii="Calibri" w:hAnsi="Calibri"/>
          <w:color w:val="2D3237"/>
          <w:sz w:val="19"/>
        </w:rPr>
        <w:t>Clause 12.1.3 — If approached by a journalist, media representative, or external blogger seeking comment on G42 strategy, client partnerships, AI safety, sovereign cloud deployments, or financial results, employees must state: 'I am not authorized to speak on behalf of G42; please direct your inquiry to media@g42.ai.'</w:t>
      </w:r>
    </w:p>
    <w:p>
      <w:pPr>
        <w:keepNext/>
        <w:spacing w:before="260" w:after="80"/>
      </w:pPr>
      <w:r>
        <w:rPr>
          <w:rFonts w:ascii="Calibri" w:hAnsi="Calibri"/>
          <w:b/>
          <w:color w:val="136F63"/>
          <w:sz w:val="23"/>
        </w:rPr>
        <w:t>12.2 Academic Publications &amp; Conference Speaking</w:t>
      </w:r>
    </w:p>
    <w:p>
      <w:pPr>
        <w:spacing w:before="0" w:after="100" w:line="276" w:lineRule="auto"/>
      </w:pPr>
      <w:r>
        <w:rPr>
          <w:rFonts w:ascii="Calibri" w:hAnsi="Calibri"/>
          <w:color w:val="2D3237"/>
          <w:sz w:val="19"/>
        </w:rPr>
        <w:t>Clause 12.2.1 — G42 actively encourages research scientists and software engineers to publish peer-reviewed academic papers and deliver keynote presentations at prestigious international technical conferences (e.g., NeurIPS, ICML, CVPR, ICLR).</w:t>
      </w:r>
    </w:p>
    <w:p>
      <w:pPr>
        <w:spacing w:before="0" w:after="100" w:line="276" w:lineRule="auto"/>
      </w:pPr>
      <w:r>
        <w:rPr>
          <w:rFonts w:ascii="Calibri" w:hAnsi="Calibri"/>
          <w:color w:val="2D3237"/>
          <w:sz w:val="19"/>
        </w:rPr>
        <w:t>Clause 12.2.2 — Prior Publication Clearance: All academic research papers, technical blog posts, and conference slide decks must be submitted to the Group IP &amp; Publications Committee at least fourteen (14) calendar days prior to external submission to verify that the publication contains zero proprietary trade secrets, patentable inventions, or Level 3/4 data.</w:t>
      </w:r>
    </w:p>
    <w:p>
      <w:r>
        <w:br w:type="page"/>
      </w:r>
    </w:p>
    <w:p>
      <w:pPr>
        <w:keepNext/>
        <w:spacing w:before="260" w:after="80"/>
      </w:pPr>
      <w:r>
        <w:rPr>
          <w:rFonts w:ascii="Calibri" w:hAnsi="Calibri"/>
          <w:b/>
          <w:color w:val="136F63"/>
          <w:sz w:val="23"/>
        </w:rPr>
        <w:t>12.3 Personal Social Media Conduct &amp; Professional Standards</w:t>
      </w:r>
    </w:p>
    <w:p>
      <w:pPr>
        <w:spacing w:before="0" w:after="100" w:line="276" w:lineRule="auto"/>
      </w:pPr>
      <w:r>
        <w:rPr>
          <w:rFonts w:ascii="Calibri" w:hAnsi="Calibri"/>
          <w:color w:val="2D3237"/>
          <w:sz w:val="19"/>
        </w:rPr>
        <w:t>Clause 12.3.1 — While G42 respects employees' personal freedom of expression on personal social media accounts (LinkedIn, X/Twitter, GitHub, YouTube, Instagram), online activities must comply with enterprise confidentiality and professional conduct policies.</w:t>
      </w:r>
    </w:p>
    <w:p>
      <w:pPr>
        <w:spacing w:before="0" w:after="100" w:line="276" w:lineRule="auto"/>
      </w:pPr>
      <w:r>
        <w:rPr>
          <w:rFonts w:ascii="Calibri" w:hAnsi="Calibri"/>
          <w:color w:val="2D3237"/>
          <w:sz w:val="19"/>
        </w:rPr>
        <w:t>Clause 12.3.2 — Mandatory Social Media Rules: When posting on personal social media platforms, employees must strictly observe the following rules:</w:t>
      </w:r>
    </w:p>
    <w:p>
      <w:pPr>
        <w:pStyle w:val="ListBullet"/>
        <w:spacing w:before="0" w:after="50" w:line="276" w:lineRule="auto"/>
      </w:pPr>
      <w:r>
        <w:rPr>
          <w:rFonts w:ascii="Calibri" w:hAnsi="Calibri"/>
          <w:b/>
          <w:color w:val="2D3237"/>
          <w:sz w:val="19"/>
        </w:rPr>
        <w:t xml:space="preserve">Confidentiality Preservation: </w:t>
      </w:r>
      <w:r>
        <w:rPr>
          <w:rFonts w:ascii="Calibri" w:hAnsi="Calibri"/>
          <w:color w:val="2D3237"/>
          <w:sz w:val="19"/>
        </w:rPr>
        <w:t>Never disclose confidential business plans, unreleased AI models, client names, internal Slack discussions, source code, or internal facility photos.</w:t>
      </w:r>
    </w:p>
    <w:p>
      <w:pPr>
        <w:pStyle w:val="ListBullet"/>
        <w:spacing w:before="0" w:after="50" w:line="276" w:lineRule="auto"/>
      </w:pPr>
      <w:r>
        <w:rPr>
          <w:rFonts w:ascii="Calibri" w:hAnsi="Calibri"/>
          <w:b/>
          <w:color w:val="2D3237"/>
          <w:sz w:val="19"/>
        </w:rPr>
        <w:t xml:space="preserve">Mandatory Personal Disclaimer: </w:t>
      </w:r>
      <w:r>
        <w:rPr>
          <w:rFonts w:ascii="Calibri" w:hAnsi="Calibri"/>
          <w:color w:val="2D3237"/>
          <w:sz w:val="19"/>
        </w:rPr>
        <w:t>Include a clear disclaimer in profile bios or public posts discussing industry topics: 'The views expressed here are my personal opinions and do not represent the views of G42.'</w:t>
      </w:r>
    </w:p>
    <w:p>
      <w:pPr>
        <w:pStyle w:val="ListBullet"/>
        <w:spacing w:before="0" w:after="50" w:line="276" w:lineRule="auto"/>
      </w:pPr>
      <w:r>
        <w:rPr>
          <w:rFonts w:ascii="Calibri" w:hAnsi="Calibri"/>
          <w:b/>
          <w:color w:val="2D3237"/>
          <w:sz w:val="19"/>
        </w:rPr>
        <w:t xml:space="preserve">Prohibition on Inappropriate Content: </w:t>
      </w:r>
      <w:r>
        <w:rPr>
          <w:rFonts w:ascii="Calibri" w:hAnsi="Calibri"/>
          <w:color w:val="2D3237"/>
          <w:sz w:val="19"/>
        </w:rPr>
        <w:t>Never post content that is defamatory, harassing, discriminatory, sexually explicit, or incites hatred or violence against any group or individual.</w:t>
      </w:r>
    </w:p>
    <w:p>
      <w:pPr>
        <w:pStyle w:val="ListBullet"/>
        <w:spacing w:before="0" w:after="50" w:line="276" w:lineRule="auto"/>
      </w:pPr>
      <w:r>
        <w:rPr>
          <w:rFonts w:ascii="Calibri" w:hAnsi="Calibri"/>
          <w:b/>
          <w:color w:val="2D3237"/>
          <w:sz w:val="19"/>
        </w:rPr>
        <w:t xml:space="preserve">Professional Reputation: </w:t>
      </w:r>
      <w:r>
        <w:rPr>
          <w:rFonts w:ascii="Calibri" w:hAnsi="Calibri"/>
          <w:color w:val="2D3237"/>
          <w:sz w:val="19"/>
        </w:rPr>
        <w:t>Do not engage in hostile public debates, online harassment, or leak internal corporate memoranda under anonymous handles.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[COMMUNICATIONS DIRECTIVE]</w:t>
              <w:br/>
            </w:r>
            <w:r>
              <w:rPr>
                <w:rFonts w:ascii="Calibri" w:hAnsi="Calibri"/>
                <w:color w:val="2D3237"/>
                <w:sz w:val="19"/>
              </w:rPr>
              <w:t>SOCIAL MEDIA LEAKAGE SANCTION: Leaking internal memoranda, non-public AI benchmarks, or source code snippets to social media platforms or public forums constitutes a catastrophic confidentiality breach resulting in immediate termination and civil litigation.</w:t>
            </w:r>
          </w:p>
        </w:tc>
      </w:tr>
    </w:tbl>
    <w:p>
      <w:pPr>
        <w:spacing w:before="0" w:after="80"/>
      </w:pPr>
    </w:p>
    <w:p>
      <w:r>
        <w:br w:type="page"/>
      </w:r>
    </w:p>
    <w:p>
      <w:pPr>
        <w:keepNext/>
        <w:spacing w:before="360" w:after="120"/>
      </w:pPr>
      <w:r>
        <w:rPr>
          <w:rFonts w:ascii="Calibri" w:hAnsi="Calibri"/>
          <w:b/>
          <w:color w:val="0B2545"/>
          <w:sz w:val="29"/>
        </w:rPr>
        <w:t>SECTION 13: INSIDER TRADING, MATERIAL NON-PUBLIC INFO &amp; MARKET CONDUCT</w:t>
      </w:r>
    </w:p>
    <w:p>
      <w:pPr>
        <w:keepNext/>
        <w:spacing w:before="260" w:after="80"/>
      </w:pPr>
      <w:r>
        <w:rPr>
          <w:rFonts w:ascii="Calibri" w:hAnsi="Calibri"/>
          <w:b/>
          <w:color w:val="136F63"/>
          <w:sz w:val="23"/>
        </w:rPr>
        <w:t>13.1 Strict Prohibition on Insider Trading</w:t>
      </w:r>
    </w:p>
    <w:p>
      <w:pPr>
        <w:spacing w:before="0" w:after="100" w:line="276" w:lineRule="auto"/>
      </w:pPr>
      <w:r>
        <w:rPr>
          <w:rFonts w:ascii="Calibri" w:hAnsi="Calibri"/>
          <w:color w:val="2D3237"/>
          <w:sz w:val="19"/>
        </w:rPr>
        <w:t>Clause 13.1.1 — G42 strictly complies with international securities laws and market abuse regulations across all global financial markets. Employees, officers, and directors who possess Material Non-Public Information (MNPI) regarding G42, its publicly listed subsidiaries (e.g., Presight AI, Space42), joint-venture partners, clients, or suppliers are strictly prohibited from trading securities based on that information.</w:t>
      </w:r>
    </w:p>
    <w:p>
      <w:pPr>
        <w:spacing w:before="0" w:after="100" w:line="276" w:lineRule="auto"/>
      </w:pPr>
      <w:r>
        <w:rPr>
          <w:rFonts w:ascii="Calibri" w:hAnsi="Calibri"/>
          <w:color w:val="2D3237"/>
          <w:sz w:val="19"/>
        </w:rPr>
        <w:t>Clause 13.1.2 — Insider trading is a severe federal and international crime punishable by substantial criminal fines, civil asset forfeiture, and lengthy prison sentences.</w:t>
      </w:r>
    </w:p>
    <w:p>
      <w:pPr>
        <w:keepNext/>
        <w:spacing w:before="260" w:after="80"/>
      </w:pPr>
      <w:r>
        <w:rPr>
          <w:rFonts w:ascii="Calibri" w:hAnsi="Calibri"/>
          <w:b/>
          <w:color w:val="136F63"/>
          <w:sz w:val="23"/>
        </w:rPr>
        <w:t>13.2 Definition of Material Non-Public Information (MNPI)</w:t>
      </w:r>
    </w:p>
    <w:p>
      <w:pPr>
        <w:spacing w:before="0" w:after="100" w:line="276" w:lineRule="auto"/>
      </w:pPr>
      <w:r>
        <w:rPr>
          <w:rFonts w:ascii="Calibri" w:hAnsi="Calibri"/>
          <w:color w:val="2D3237"/>
          <w:sz w:val="19"/>
        </w:rPr>
        <w:t>Clause 13.2.1 — Information is considered 'Material' if there is a substantial likelihood that a reasonable investor would consider it important in making an investment decision to buy, sell, or hold securities. Information is 'Non-Public' until it has been broadly disseminated to the investing public through official regulatory filings, major press wires, or public earnings calls.</w:t>
      </w:r>
    </w:p>
    <w:p>
      <w:pPr>
        <w:spacing w:before="0" w:after="100" w:line="276" w:lineRule="auto"/>
      </w:pPr>
      <w:r>
        <w:rPr>
          <w:rFonts w:ascii="Calibri" w:hAnsi="Calibri"/>
          <w:color w:val="2D3237"/>
          <w:sz w:val="19"/>
        </w:rPr>
        <w:t>Clause 13.2.2 — Examples of MNPI include: (a) Unannounced quarterly or annual financial earnings and revenue figures; (b) Pending mergers, acquisitions, tender offers, joint ventures, or divestitures; (c) Major unannounced sovereign government contracts or strategic partnerships; (d) Significant scientific breakthroughs or unreleased foundational AI models; (e) Impending senior executive leadership changes; and (f) Major cybersecurity breaches or severe regulatory enforcement actions.</w:t>
      </w:r>
    </w:p>
    <w:p>
      <w:r>
        <w:br w:type="page"/>
      </w:r>
    </w:p>
    <w:p>
      <w:pPr>
        <w:keepNext/>
        <w:spacing w:before="260" w:after="80"/>
      </w:pPr>
      <w:r>
        <w:rPr>
          <w:rFonts w:ascii="Calibri" w:hAnsi="Calibri"/>
          <w:b/>
          <w:color w:val="136F63"/>
          <w:sz w:val="23"/>
        </w:rPr>
        <w:t>13.3 Absolute Ban on Tipping &amp; Selective Disclosure</w:t>
      </w:r>
    </w:p>
    <w:p>
      <w:pPr>
        <w:spacing w:before="0" w:after="100" w:line="276" w:lineRule="auto"/>
      </w:pPr>
      <w:r>
        <w:rPr>
          <w:rFonts w:ascii="Calibri" w:hAnsi="Calibri"/>
          <w:color w:val="2D3237"/>
          <w:sz w:val="19"/>
        </w:rPr>
        <w:t>Clause 13.3.1 — Employees in possession of MNPI are strictly prohibited from 'tipping'—passing material non-public information to family members, friends, business associates, or third parties who might trade on the basis of that information. The tipper is equally criminally liable under international securities laws as the individual who executes the trade.</w:t>
      </w:r>
    </w:p>
    <w:p>
      <w:pPr>
        <w:keepNext/>
        <w:spacing w:before="260" w:after="80"/>
      </w:pPr>
      <w:r>
        <w:rPr>
          <w:rFonts w:ascii="Calibri" w:hAnsi="Calibri"/>
          <w:b/>
          <w:color w:val="136F63"/>
          <w:sz w:val="23"/>
        </w:rPr>
        <w:t>13.4 Blackout Trading Windows &amp; Pre-Clearance Protocols</w:t>
      </w:r>
    </w:p>
    <w:p>
      <w:pPr>
        <w:spacing w:before="0" w:after="100" w:line="276" w:lineRule="auto"/>
      </w:pPr>
      <w:r>
        <w:rPr>
          <w:rFonts w:ascii="Calibri" w:hAnsi="Calibri"/>
          <w:color w:val="2D3237"/>
          <w:sz w:val="19"/>
        </w:rPr>
        <w:t>Clause 13.4.1 — Quarterly Blackout Windows: Directors, executive officers, finance personnel, and designated insiders of publicly listed group subsidiaries (e.g., Presight AI, Space42) are subject to mandatory quarterly blackout trading windows:</w:t>
      </w:r>
    </w:p>
    <w:p>
      <w:pPr>
        <w:pStyle w:val="ListBullet"/>
        <w:spacing w:before="0" w:after="50" w:line="276" w:lineRule="auto"/>
      </w:pPr>
      <w:r>
        <w:rPr>
          <w:rFonts w:ascii="Calibri" w:hAnsi="Calibri"/>
          <w:b/>
          <w:color w:val="2D3237"/>
          <w:sz w:val="19"/>
        </w:rPr>
        <w:t xml:space="preserve">Quarterly Blackout Period: </w:t>
      </w:r>
      <w:r>
        <w:rPr>
          <w:rFonts w:ascii="Calibri" w:hAnsi="Calibri"/>
          <w:color w:val="2D3237"/>
          <w:sz w:val="19"/>
        </w:rPr>
        <w:t>Trading in subsidiary securities is strictly prohibited beginning fifteen (15) calendar days prior to the end of each fiscal quarter and ending two (2) full trading days after public financial disclosure.</w:t>
      </w:r>
    </w:p>
    <w:p>
      <w:pPr>
        <w:pStyle w:val="ListBullet"/>
        <w:spacing w:before="0" w:after="50" w:line="276" w:lineRule="auto"/>
      </w:pPr>
      <w:r>
        <w:rPr>
          <w:rFonts w:ascii="Calibri" w:hAnsi="Calibri"/>
          <w:b/>
          <w:color w:val="2D3237"/>
          <w:sz w:val="19"/>
        </w:rPr>
        <w:t xml:space="preserve">Mandatory Pre-Clearance: </w:t>
      </w:r>
      <w:r>
        <w:rPr>
          <w:rFonts w:ascii="Calibri" w:hAnsi="Calibri"/>
          <w:color w:val="2D3237"/>
          <w:sz w:val="19"/>
        </w:rPr>
        <w:t>Designated Insiders must obtain written pre-clearance from the Group Corporate Secretary prior to executing any trade in group-related securities.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[MARKET CONDUCT MANDATE]</w:t>
              <w:br/>
            </w:r>
            <w:r>
              <w:rPr>
                <w:rFonts w:ascii="Calibri" w:hAnsi="Calibri"/>
                <w:color w:val="2D3237"/>
                <w:sz w:val="19"/>
              </w:rPr>
              <w:t>INSIDER TRADING ENFORCEMENT: Trading on insider information or sharing tips with external parties will result in immediate termination of employment, forfeiture of all equity awards, and immediate referral to financial regulatory authorities for criminal prosecution.</w:t>
            </w:r>
          </w:p>
        </w:tc>
      </w:tr>
    </w:tbl>
    <w:p>
      <w:pPr>
        <w:spacing w:before="0" w:after="80"/>
      </w:pPr>
    </w:p>
    <w:p>
      <w:r>
        <w:br w:type="page"/>
      </w:r>
    </w:p>
    <w:p>
      <w:pPr>
        <w:keepNext/>
        <w:spacing w:before="360" w:after="120"/>
      </w:pPr>
      <w:r>
        <w:rPr>
          <w:rFonts w:ascii="Calibri" w:hAnsi="Calibri"/>
          <w:b/>
          <w:color w:val="0B2545"/>
          <w:sz w:val="29"/>
        </w:rPr>
        <w:t>SECTION 14: AUTONOMOUS AGENT ETHICS &amp; SYNTHETIC WORKPLACE INTERACTIONS</w:t>
      </w:r>
    </w:p>
    <w:p>
      <w:pPr>
        <w:keepNext/>
        <w:spacing w:before="260" w:after="80"/>
      </w:pPr>
      <w:r>
        <w:rPr>
          <w:rFonts w:ascii="Calibri" w:hAnsi="Calibri"/>
          <w:b/>
          <w:color w:val="136F63"/>
          <w:sz w:val="23"/>
        </w:rPr>
        <w:t>14.1 Synthetic Enterprise Actors in the Modern Workplace</w:t>
      </w:r>
    </w:p>
    <w:p>
      <w:pPr>
        <w:spacing w:before="0" w:after="100" w:line="276" w:lineRule="auto"/>
      </w:pPr>
      <w:r>
        <w:rPr>
          <w:rFonts w:ascii="Calibri" w:hAnsi="Calibri"/>
          <w:color w:val="2D3237"/>
          <w:sz w:val="19"/>
        </w:rPr>
        <w:t>Clause 14.1.1 — As G42 integrates advanced autonomous agent systems—specifically including Sage Agent, automated code-refactoring copilots, multi-agent ERP executors, and cognitive analytics assistants—into enterprise workflows, G42 establishes specialized ethical boundaries governing human-agent interactions, task delegations, and accountability.</w:t>
      </w:r>
    </w:p>
    <w:p>
      <w:pPr>
        <w:spacing w:before="0" w:after="100" w:line="276" w:lineRule="auto"/>
      </w:pPr>
      <w:r>
        <w:rPr>
          <w:rFonts w:ascii="Calibri" w:hAnsi="Calibri"/>
          <w:color w:val="2D3237"/>
          <w:sz w:val="19"/>
        </w:rPr>
        <w:t>Clause 14.1.2 — Autonomous agents are classified as Synthetic Enterprise Actors. While agents possess autonomous reasoning and tool-calling capabilities, ultimate legal, ethical, and operational accountability resides permanently with the human owner and deploying business unit.</w:t>
      </w:r>
    </w:p>
    <w:p>
      <w:pPr>
        <w:keepNext/>
        <w:spacing w:before="260" w:after="80"/>
      </w:pPr>
      <w:r>
        <w:rPr>
          <w:rFonts w:ascii="Calibri" w:hAnsi="Calibri"/>
          <w:b/>
          <w:color w:val="136F63"/>
          <w:sz w:val="23"/>
        </w:rPr>
        <w:t>14.2 Ethical Boundaries on Autonomous Task Delegation</w:t>
      </w:r>
    </w:p>
    <w:p>
      <w:pPr>
        <w:spacing w:before="0" w:after="100" w:line="276" w:lineRule="auto"/>
      </w:pPr>
      <w:r>
        <w:rPr>
          <w:rFonts w:ascii="Calibri" w:hAnsi="Calibri"/>
          <w:color w:val="2D3237"/>
          <w:sz w:val="19"/>
        </w:rPr>
        <w:t>Clause 14.2.1 — Permissible vs. Prohibited Delegation: Employees may delegate analytical, administrative, code-refactoring, and summarization tasks to Sage Agent in accordance with the Agentic Control Standard (ACS-2026). However, delegating consequential human capital decisions to autonomous agents is strictly prohibited.</w:t>
      </w:r>
    </w:p>
    <w:p>
      <w:pPr>
        <w:spacing w:before="0" w:after="100" w:line="276" w:lineRule="auto"/>
      </w:pPr>
      <w:r>
        <w:rPr>
          <w:rFonts w:ascii="Calibri" w:hAnsi="Calibri"/>
          <w:color w:val="2D3237"/>
          <w:sz w:val="19"/>
        </w:rPr>
        <w:t>Clause 14.2.2 — Absolute Prohibitions on Agent Delegation: Under no circumstances may an autonomous agent be utilized to: (a) Formulate, approve, or execute employee termination decisions; (b) Conduct unassisted performance evaluations or determine discretionary bonus awards; (c) Conduct biometric surveillance or psychological tracking of employees; or (d) Make unconstrained legal or disciplinary determinations.</w:t>
      </w:r>
    </w:p>
    <w:p>
      <w:r>
        <w:br w:type="page"/>
      </w:r>
    </w:p>
    <w:p>
      <w:pPr>
        <w:keepNext/>
        <w:spacing w:before="260" w:after="80"/>
      </w:pPr>
      <w:r>
        <w:rPr>
          <w:rFonts w:ascii="Calibri" w:hAnsi="Calibri"/>
          <w:b/>
          <w:color w:val="136F63"/>
          <w:sz w:val="23"/>
        </w:rPr>
        <w:t>14.3 Mandatory Human-in-the-Loop (HITL) Accountability</w:t>
      </w:r>
    </w:p>
    <w:p>
      <w:pPr>
        <w:spacing w:before="0" w:after="100" w:line="276" w:lineRule="auto"/>
      </w:pPr>
      <w:r>
        <w:rPr>
          <w:rFonts w:ascii="Calibri" w:hAnsi="Calibri"/>
          <w:color w:val="2D3237"/>
          <w:sz w:val="19"/>
        </w:rPr>
        <w:t>Clause 14.3.1 — Human-in-the-Loop (HITL) governance requires that human operators maintain active, meaningful oversight over all agentic recommendations impacting individuals, financial transactions &gt; $500 USD, or production codebases.</w:t>
      </w:r>
    </w:p>
    <w:p>
      <w:pPr>
        <w:spacing w:before="0" w:after="100" w:line="276" w:lineRule="auto"/>
      </w:pPr>
      <w:r>
        <w:rPr>
          <w:rFonts w:ascii="Calibri" w:hAnsi="Calibri"/>
          <w:color w:val="2D3237"/>
          <w:sz w:val="19"/>
        </w:rPr>
        <w:t>Clause 14.3.2 — Employees may not blindly accept or publish agent-generated outputs without conducting human verification. If an employee relies upon an erroneous or biased agent output that causes commercial damage, the employee remains personally accountable for failing to exercise due diligence.</w:t>
      </w:r>
    </w:p>
    <w:p>
      <w:pPr>
        <w:keepNext/>
        <w:spacing w:before="260" w:after="80"/>
      </w:pPr>
      <w:r>
        <w:rPr>
          <w:rFonts w:ascii="Calibri" w:hAnsi="Calibri"/>
          <w:b/>
          <w:color w:val="136F63"/>
          <w:sz w:val="23"/>
        </w:rPr>
        <w:t>14.4 Transparency &amp; Disclosure in Agentic Communications</w:t>
      </w:r>
    </w:p>
    <w:p>
      <w:pPr>
        <w:spacing w:before="0" w:after="100" w:line="276" w:lineRule="auto"/>
      </w:pPr>
      <w:r>
        <w:rPr>
          <w:rFonts w:ascii="Calibri" w:hAnsi="Calibri"/>
          <w:color w:val="2D3237"/>
          <w:sz w:val="19"/>
        </w:rPr>
        <w:t>Clause 14.4.1 — In all client-facing and internal communications, autonomous agents must explicitly identify themselves as synthetic artificial intelligence systems. Agents are strictly prohibited from impersonating specific human employees, assuming executive identities, or masking their synthetic nature.</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[SYNTHETIC ACTOR MANDATE]</w:t>
              <w:br/>
            </w:r>
            <w:r>
              <w:rPr>
                <w:rFonts w:ascii="Calibri" w:hAnsi="Calibri"/>
                <w:color w:val="2D3237"/>
                <w:sz w:val="19"/>
              </w:rPr>
              <w:t>AGENT GOVERNANCE DIRECTIVE: Autonomous agents must operate within strict sandboxes with ephemeral Vault credentials (&lt;3600s). Any employee who intentionally removes agent safety circuit breakers or instructs an agent to violate G42 policies will face immediate dismissal for gross misconduct.</w:t>
            </w:r>
          </w:p>
        </w:tc>
      </w:tr>
    </w:tbl>
    <w:p>
      <w:pPr>
        <w:spacing w:before="0" w:after="80"/>
      </w:pPr>
    </w:p>
    <w:p>
      <w:r>
        <w:br w:type="page"/>
      </w:r>
    </w:p>
    <w:p>
      <w:pPr>
        <w:keepNext/>
        <w:spacing w:before="360" w:after="120"/>
      </w:pPr>
      <w:r>
        <w:rPr>
          <w:rFonts w:ascii="Calibri" w:hAnsi="Calibri"/>
          <w:b/>
          <w:color w:val="0B2545"/>
          <w:sz w:val="29"/>
        </w:rPr>
        <w:t>SECTION 15: WHISTLEBLOWING, SAFE REPORTING CHANNELS &amp; ETHICSPOINT</w:t>
      </w:r>
    </w:p>
    <w:p>
      <w:pPr>
        <w:keepNext/>
        <w:spacing w:before="260" w:after="80"/>
      </w:pPr>
      <w:r>
        <w:rPr>
          <w:rFonts w:ascii="Calibri" w:hAnsi="Calibri"/>
          <w:b/>
          <w:color w:val="136F63"/>
          <w:sz w:val="23"/>
        </w:rPr>
        <w:t>15.1 Obligation to Speak Up &amp; Safe Reporting Channels</w:t>
      </w:r>
    </w:p>
    <w:p>
      <w:pPr>
        <w:spacing w:before="0" w:after="100" w:line="276" w:lineRule="auto"/>
      </w:pPr>
      <w:r>
        <w:rPr>
          <w:rFonts w:ascii="Calibri" w:hAnsi="Calibri"/>
          <w:color w:val="2D3237"/>
          <w:sz w:val="19"/>
        </w:rPr>
        <w:t>Clause 15.1.1 — G42 thrives on an open, ethical culture where every individual feels empowered and obligated to speak up when they observe or suspect illegal activities, safety violations, financial fraud, sexual harassment, AI ethics breaches, or violations of this Code of Conduct. Staying silent in the presence of wrongdoing harms our colleagues, our clients, and our corporate mission.</w:t>
      </w:r>
    </w:p>
    <w:p>
      <w:pPr>
        <w:spacing w:before="0" w:after="100" w:line="276" w:lineRule="auto"/>
      </w:pPr>
      <w:r>
        <w:rPr>
          <w:rFonts w:ascii="Calibri" w:hAnsi="Calibri"/>
          <w:color w:val="2D3237"/>
          <w:sz w:val="19"/>
        </w:rPr>
        <w:t>Clause 15.1.2 — Confidential Whistleblowing Channels: Concerns may be reported through multiple confidential, secure pathways:</w:t>
      </w:r>
    </w:p>
    <w:p>
      <w:pPr>
        <w:pStyle w:val="ListBullet"/>
        <w:spacing w:before="0" w:after="50" w:line="276" w:lineRule="auto"/>
      </w:pPr>
      <w:r>
        <w:rPr>
          <w:rFonts w:ascii="Calibri" w:hAnsi="Calibri"/>
          <w:b/>
          <w:color w:val="2D3237"/>
          <w:sz w:val="19"/>
        </w:rPr>
        <w:t xml:space="preserve">Global EthicsPoint Portal: </w:t>
      </w:r>
      <w:r>
        <w:rPr>
          <w:rFonts w:ascii="Calibri" w:hAnsi="Calibri"/>
          <w:color w:val="2D3237"/>
          <w:sz w:val="19"/>
        </w:rPr>
        <w:t>Independent, third-party encrypted whistleblowing portal available 24/7/365 in English, Arabic, and multiple languages at ethics.g42.ai.</w:t>
      </w:r>
    </w:p>
    <w:p>
      <w:pPr>
        <w:pStyle w:val="ListBullet"/>
        <w:spacing w:before="0" w:after="50" w:line="276" w:lineRule="auto"/>
      </w:pPr>
      <w:r>
        <w:rPr>
          <w:rFonts w:ascii="Calibri" w:hAnsi="Calibri"/>
          <w:b/>
          <w:color w:val="2D3237"/>
          <w:sz w:val="19"/>
        </w:rPr>
        <w:t xml:space="preserve">Dedicated Compliance Hotlines: </w:t>
      </w:r>
      <w:r>
        <w:rPr>
          <w:rFonts w:ascii="Calibri" w:hAnsi="Calibri"/>
          <w:color w:val="2D3237"/>
          <w:sz w:val="19"/>
        </w:rPr>
        <w:t>Toll-free telephone hotlines: +971-2-GOV-G42 (UAE) / +1-800-ETHIC-42 (International / US).</w:t>
      </w:r>
    </w:p>
    <w:p>
      <w:pPr>
        <w:pStyle w:val="ListBullet"/>
        <w:spacing w:before="0" w:after="50" w:line="276" w:lineRule="auto"/>
      </w:pPr>
      <w:r>
        <w:rPr>
          <w:rFonts w:ascii="Calibri" w:hAnsi="Calibri"/>
          <w:b/>
          <w:color w:val="2D3237"/>
          <w:sz w:val="19"/>
        </w:rPr>
        <w:t xml:space="preserve">Direct Compliance Escalation: </w:t>
      </w:r>
      <w:r>
        <w:rPr>
          <w:rFonts w:ascii="Calibri" w:hAnsi="Calibri"/>
          <w:color w:val="2D3237"/>
          <w:sz w:val="19"/>
        </w:rPr>
        <w:t>Direct confidential email communication to group.compliance@g42.ai or postal mail addressed to the Group General Counsel.</w:t>
      </w:r>
    </w:p>
    <w:p>
      <w:pPr>
        <w:pStyle w:val="ListBullet"/>
        <w:spacing w:before="0" w:after="50" w:line="276" w:lineRule="auto"/>
      </w:pPr>
      <w:r>
        <w:rPr>
          <w:rFonts w:ascii="Calibri" w:hAnsi="Calibri"/>
          <w:b/>
          <w:color w:val="2D3237"/>
          <w:sz w:val="19"/>
        </w:rPr>
        <w:t xml:space="preserve">Board Audit Committee Access: </w:t>
      </w:r>
      <w:r>
        <w:rPr>
          <w:rFonts w:ascii="Calibri" w:hAnsi="Calibri"/>
          <w:color w:val="2D3237"/>
          <w:sz w:val="19"/>
        </w:rPr>
        <w:t>Direct, unmonitored communication channel to the Chair of the Board Audit and Risk Committee for executive-level misconduct.</w:t>
      </w:r>
    </w:p>
    <w:p>
      <w:r>
        <w:br w:type="page"/>
      </w:r>
    </w:p>
    <w:p>
      <w:pPr>
        <w:keepNext/>
        <w:spacing w:before="260" w:after="80"/>
      </w:pPr>
      <w:r>
        <w:rPr>
          <w:rFonts w:ascii="Calibri" w:hAnsi="Calibri"/>
          <w:b/>
          <w:color w:val="136F63"/>
          <w:sz w:val="23"/>
        </w:rPr>
        <w:t>15.2 Absolute Non-Retaliation Policy (Whistleblower Safe Harbor)</w:t>
      </w:r>
    </w:p>
    <w:p>
      <w:pPr>
        <w:spacing w:before="0" w:after="100" w:line="276" w:lineRule="auto"/>
      </w:pPr>
      <w:r>
        <w:rPr>
          <w:rFonts w:ascii="Calibri" w:hAnsi="Calibri"/>
          <w:color w:val="2D3237"/>
          <w:sz w:val="19"/>
        </w:rPr>
        <w:t>Clause 15.2.1 — G42 enforces an uncompromising, absolute non-retaliation policy. The Group strictly protects any employee, contractor, or partner who reports a concern, raises an ethical grievance, or participates in an investigation in good faith.</w:t>
      </w:r>
    </w:p>
    <w:p>
      <w:pPr>
        <w:spacing w:before="0" w:after="100" w:line="276" w:lineRule="auto"/>
      </w:pPr>
      <w:r>
        <w:rPr>
          <w:rFonts w:ascii="Calibri" w:hAnsi="Calibri"/>
          <w:color w:val="2D3237"/>
          <w:sz w:val="19"/>
        </w:rPr>
        <w:t>Clause 15.2.2 — Retaliation in any form—including termination, demotion, suspension, transfer, salary reduction, adverse performance rating, denial of promotion, microaggressions, or professional isolation—is strictly illegal under G42 policy and UAE Federal Law.</w:t>
      </w:r>
    </w:p>
    <w:p>
      <w:pPr>
        <w:spacing w:before="0" w:after="100" w:line="276" w:lineRule="auto"/>
      </w:pPr>
      <w:r>
        <w:rPr>
          <w:rFonts w:ascii="Calibri" w:hAnsi="Calibri"/>
          <w:color w:val="2D3237"/>
          <w:sz w:val="19"/>
        </w:rPr>
        <w:t>Clause 15.2.3 — Any manager, executive, or employee who engages in direct or indirect retaliation against a whistleblower acting in good faith will face immediate summary dismissal for gross misconduct and potential civil or criminal prosecution.</w:t>
      </w:r>
    </w:p>
    <w:p>
      <w:pPr>
        <w:keepNext/>
        <w:spacing w:before="260" w:after="80"/>
      </w:pPr>
      <w:r>
        <w:rPr>
          <w:rFonts w:ascii="Calibri" w:hAnsi="Calibri"/>
          <w:b/>
          <w:color w:val="136F63"/>
          <w:sz w:val="23"/>
        </w:rPr>
        <w:t>15.3 Good Faith Reporting &amp; Confidentiality Guarantees</w:t>
      </w:r>
    </w:p>
    <w:p>
      <w:pPr>
        <w:spacing w:before="0" w:after="100" w:line="276" w:lineRule="auto"/>
      </w:pPr>
      <w:r>
        <w:rPr>
          <w:rFonts w:ascii="Calibri" w:hAnsi="Calibri"/>
          <w:color w:val="2D3237"/>
          <w:sz w:val="19"/>
        </w:rPr>
        <w:t>Clause 15.3.1 — Reports submitted in 'good faith' mean that the reporter genuinely believes the information provided is true, regardless of whether the subsequent investigation substantiates the allegation. Knowingly filing false, malicious, or fabricated accusations to harm a colleague is a severe ethical violation subject to disciplinary action.</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[SAFE HARBOR GUARANTEE]</w:t>
              <w:br/>
            </w:r>
            <w:r>
              <w:rPr>
                <w:rFonts w:ascii="Calibri" w:hAnsi="Calibri"/>
                <w:color w:val="2D3237"/>
                <w:sz w:val="19"/>
              </w:rPr>
              <w:t>WHISTLEBLOWER SAFE HARBOR: Whistleblowers can report entirely anonymously through EthicsPoint. The identity of any reporting party is protected with maximum cryptographic confidentiality and revealed only on a strict need-to-know legal basis.</w:t>
            </w:r>
          </w:p>
        </w:tc>
      </w:tr>
    </w:tbl>
    <w:p>
      <w:pPr>
        <w:spacing w:before="0" w:after="80"/>
      </w:pPr>
    </w:p>
    <w:p>
      <w:r>
        <w:br w:type="page"/>
      </w:r>
    </w:p>
    <w:p>
      <w:pPr>
        <w:keepNext/>
        <w:spacing w:before="360" w:after="120"/>
      </w:pPr>
      <w:r>
        <w:rPr>
          <w:rFonts w:ascii="Calibri" w:hAnsi="Calibri"/>
          <w:b/>
          <w:color w:val="0B2545"/>
          <w:sz w:val="29"/>
        </w:rPr>
        <w:t>SECTION 16: PROGRESSIVE DISCIPLINARY FRAMEWORK &amp; SEVERITY MATRIX</w:t>
      </w:r>
    </w:p>
    <w:p>
      <w:pPr>
        <w:keepNext/>
        <w:spacing w:before="260" w:after="80"/>
      </w:pPr>
      <w:r>
        <w:rPr>
          <w:rFonts w:ascii="Calibri" w:hAnsi="Calibri"/>
          <w:b/>
          <w:color w:val="136F63"/>
          <w:sz w:val="23"/>
        </w:rPr>
        <w:t>16.1 Progressive Disciplinary Philosophy</w:t>
      </w:r>
    </w:p>
    <w:p>
      <w:pPr>
        <w:spacing w:before="0" w:after="100" w:line="276" w:lineRule="auto"/>
      </w:pPr>
      <w:r>
        <w:rPr>
          <w:rFonts w:ascii="Calibri" w:hAnsi="Calibri"/>
          <w:color w:val="2D3237"/>
          <w:sz w:val="19"/>
        </w:rPr>
        <w:t>Clause 16.1.1 — G42 enforces a fair, transparent, and progressive disciplinary framework designed to hold individuals accountable, correct minor behavioral lapses, and decisively penalize willful misconduct, corruption, or gross negligence.</w:t>
      </w:r>
    </w:p>
    <w:p>
      <w:pPr>
        <w:keepNext/>
        <w:spacing w:before="260" w:after="80"/>
      </w:pPr>
      <w:r>
        <w:rPr>
          <w:rFonts w:ascii="Calibri" w:hAnsi="Calibri"/>
          <w:b/>
          <w:color w:val="136F63"/>
          <w:sz w:val="23"/>
        </w:rPr>
        <w:t>16.2 The 4-Tier Disciplinary Severity Matrix</w:t>
      </w:r>
    </w:p>
    <w:p>
      <w:pPr>
        <w:spacing w:before="0" w:after="100" w:line="276" w:lineRule="auto"/>
      </w:pPr>
      <w:r>
        <w:rPr>
          <w:rFonts w:ascii="Calibri" w:hAnsi="Calibri"/>
          <w:color w:val="2D3237"/>
          <w:sz w:val="19"/>
        </w:rPr>
        <w:t>Clause 16.2.1 — Violations of enterprise policies, Code of Conduct mandates, and statutory laws are classified into four distinct severity tiers:</w:t>
      </w:r>
    </w:p>
    <w:tbl>
      <w:tblPr>
        <w:tblW w:type="auto" w:w="0"/>
        <w:jc w:val="center"/>
        <w:tblLayout w:type="fixed"/>
        <w:tblLook w:firstColumn="1" w:firstRow="1" w:lastColumn="0" w:lastRow="0" w:noHBand="0" w:noVBand="1" w:val="04A0"/>
      </w:tblPr>
      <w:tblGrid>
        <w:gridCol w:w="1872"/>
        <w:gridCol w:w="2880"/>
        <w:gridCol w:w="2592"/>
        <w:gridCol w:w="1685"/>
      </w:tblGrid>
      <w:tr>
        <w:tc>
          <w:tcPr>
            <w:tcW w:type="dxa" w:w="1872"/>
            <w:shd w:fill="0B2545"/>
            <w:tcMar>
              <w:top w:w="100" w:type="dxa"/>
              <w:bottom w:w="100" w:type="dxa"/>
              <w:left w:w="120" w:type="dxa"/>
              <w:right w:w="120" w:type="dxa"/>
            </w:tcMar>
          </w:tcPr>
          <w:p>
            <w:pPr>
              <w:spacing w:before="0" w:after="0"/>
              <w:jc w:val="left"/>
            </w:pPr>
            <w:r>
              <w:rPr>
                <w:rFonts w:ascii="Calibri" w:hAnsi="Calibri"/>
                <w:b/>
                <w:color w:val="FFFFFF"/>
                <w:sz w:val="17"/>
              </w:rPr>
              <w:t>Severity Level</w:t>
            </w:r>
          </w:p>
        </w:tc>
        <w:tc>
          <w:tcPr>
            <w:tcW w:type="dxa" w:w="2880"/>
            <w:shd w:fill="0B2545"/>
            <w:tcMar>
              <w:top w:w="100" w:type="dxa"/>
              <w:bottom w:w="100" w:type="dxa"/>
              <w:left w:w="120" w:type="dxa"/>
              <w:right w:w="120" w:type="dxa"/>
            </w:tcMar>
          </w:tcPr>
          <w:p>
            <w:pPr>
              <w:spacing w:before="0" w:after="0"/>
              <w:jc w:val="left"/>
            </w:pPr>
            <w:r>
              <w:rPr>
                <w:rFonts w:ascii="Calibri" w:hAnsi="Calibri"/>
                <w:b/>
                <w:color w:val="FFFFFF"/>
                <w:sz w:val="17"/>
              </w:rPr>
              <w:t>Violation Profile</w:t>
            </w:r>
          </w:p>
        </w:tc>
        <w:tc>
          <w:tcPr>
            <w:tcW w:type="dxa" w:w="2592"/>
            <w:shd w:fill="0B2545"/>
            <w:tcMar>
              <w:top w:w="100" w:type="dxa"/>
              <w:bottom w:w="100" w:type="dxa"/>
              <w:left w:w="120" w:type="dxa"/>
              <w:right w:w="120" w:type="dxa"/>
            </w:tcMar>
          </w:tcPr>
          <w:p>
            <w:pPr>
              <w:spacing w:before="0" w:after="0"/>
              <w:jc w:val="left"/>
            </w:pPr>
            <w:r>
              <w:rPr>
                <w:rFonts w:ascii="Calibri" w:hAnsi="Calibri"/>
                <w:b/>
                <w:color w:val="FFFFFF"/>
                <w:sz w:val="17"/>
              </w:rPr>
              <w:t>Mandatory Disciplinary Sanction</w:t>
            </w:r>
          </w:p>
        </w:tc>
        <w:tc>
          <w:tcPr>
            <w:tcW w:type="dxa" w:w="1685"/>
            <w:shd w:fill="0B2545"/>
            <w:tcMar>
              <w:top w:w="100" w:type="dxa"/>
              <w:bottom w:w="100" w:type="dxa"/>
              <w:left w:w="120" w:type="dxa"/>
              <w:right w:w="120" w:type="dxa"/>
            </w:tcMar>
          </w:tcPr>
          <w:p>
            <w:pPr>
              <w:spacing w:before="0" w:after="0"/>
              <w:jc w:val="left"/>
            </w:pPr>
            <w:r>
              <w:rPr>
                <w:rFonts w:ascii="Calibri" w:hAnsi="Calibri"/>
                <w:b/>
                <w:color w:val="FFFFFF"/>
                <w:sz w:val="17"/>
              </w:rPr>
              <w:t>Compensation Impact</w:t>
            </w:r>
          </w:p>
        </w:tc>
      </w:tr>
      <w:tr>
        <w:tc>
          <w:tcPr>
            <w:tcW w:type="dxa" w:w="1872"/>
            <w:shd w:fill="FFFFFF"/>
            <w:tcMar>
              <w:top w:w="80" w:type="dxa"/>
              <w:bottom w:w="80" w:type="dxa"/>
              <w:left w:w="120" w:type="dxa"/>
              <w:right w:w="120" w:type="dxa"/>
            </w:tcMar>
          </w:tcPr>
          <w:p>
            <w:pPr>
              <w:spacing w:before="0" w:after="0"/>
            </w:pPr>
            <w:r>
              <w:rPr>
                <w:rFonts w:ascii="Calibri" w:hAnsi="Calibri"/>
                <w:color w:val="2D3237"/>
                <w:sz w:val="16"/>
              </w:rPr>
              <w:t>Severity Level</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Nature of Policy Infraction</w:t>
            </w:r>
          </w:p>
        </w:tc>
        <w:tc>
          <w:tcPr>
            <w:tcW w:type="dxa" w:w="2592"/>
            <w:shd w:fill="FFFFFF"/>
            <w:tcMar>
              <w:top w:w="80" w:type="dxa"/>
              <w:bottom w:w="80" w:type="dxa"/>
              <w:left w:w="120" w:type="dxa"/>
              <w:right w:w="120" w:type="dxa"/>
            </w:tcMar>
          </w:tcPr>
          <w:p>
            <w:pPr>
              <w:spacing w:before="0" w:after="0"/>
            </w:pPr>
            <w:r>
              <w:rPr>
                <w:rFonts w:ascii="Calibri" w:hAnsi="Calibri"/>
                <w:color w:val="2D3237"/>
                <w:sz w:val="16"/>
              </w:rPr>
              <w:t>Prescribed Disciplinary Action</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LTIP / Compensation Impact</w:t>
            </w:r>
          </w:p>
        </w:tc>
      </w:tr>
      <w:tr>
        <w:tc>
          <w:tcPr>
            <w:tcW w:type="dxa" w:w="1872"/>
            <w:shd w:fill="F7F9FB"/>
            <w:tcMar>
              <w:top w:w="80" w:type="dxa"/>
              <w:bottom w:w="80" w:type="dxa"/>
              <w:left w:w="120" w:type="dxa"/>
              <w:right w:w="120" w:type="dxa"/>
            </w:tcMar>
          </w:tcPr>
          <w:p>
            <w:pPr>
              <w:spacing w:before="0" w:after="0"/>
            </w:pPr>
            <w:r>
              <w:rPr>
                <w:rFonts w:ascii="Calibri" w:hAnsi="Calibri"/>
                <w:color w:val="2D3237"/>
                <w:sz w:val="16"/>
              </w:rPr>
              <w:t>Level 1: Minor Administrative</w:t>
            </w:r>
          </w:p>
        </w:tc>
        <w:tc>
          <w:tcPr>
            <w:tcW w:type="dxa" w:w="2880"/>
            <w:shd w:fill="F7F9FB"/>
            <w:tcMar>
              <w:top w:w="80" w:type="dxa"/>
              <w:bottom w:w="80" w:type="dxa"/>
              <w:left w:w="120" w:type="dxa"/>
              <w:right w:w="120" w:type="dxa"/>
            </w:tcMar>
          </w:tcPr>
          <w:p>
            <w:pPr>
              <w:spacing w:before="0" w:after="0"/>
            </w:pPr>
            <w:r>
              <w:rPr>
                <w:rFonts w:ascii="Calibri" w:hAnsi="Calibri"/>
                <w:color w:val="2D3237"/>
                <w:sz w:val="16"/>
              </w:rPr>
              <w:t>Unintentional minor data handling oversight, accidental missing of annual compliance training deadline, minor dress code or timekeeping lapses.</w:t>
            </w:r>
          </w:p>
        </w:tc>
        <w:tc>
          <w:tcPr>
            <w:tcW w:type="dxa" w:w="2592"/>
            <w:shd w:fill="F7F9FB"/>
            <w:tcMar>
              <w:top w:w="80" w:type="dxa"/>
              <w:bottom w:w="80" w:type="dxa"/>
              <w:left w:w="120" w:type="dxa"/>
              <w:right w:w="120" w:type="dxa"/>
            </w:tcMar>
          </w:tcPr>
          <w:p>
            <w:pPr>
              <w:spacing w:before="0" w:after="0"/>
            </w:pPr>
            <w:r>
              <w:rPr>
                <w:rFonts w:ascii="Calibri" w:hAnsi="Calibri"/>
                <w:color w:val="2D3237"/>
                <w:sz w:val="16"/>
              </w:rPr>
              <w:t>Verbal counseling, mandatory policy re-training, written reminder placed in HR file for 6 months.</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No impact on salary or bonus eligibility.</w:t>
            </w:r>
          </w:p>
        </w:tc>
      </w:tr>
      <w:tr>
        <w:tc>
          <w:tcPr>
            <w:tcW w:type="dxa" w:w="1872"/>
            <w:shd w:fill="FFFFFF"/>
            <w:tcMar>
              <w:top w:w="80" w:type="dxa"/>
              <w:bottom w:w="80" w:type="dxa"/>
              <w:left w:w="120" w:type="dxa"/>
              <w:right w:w="120" w:type="dxa"/>
            </w:tcMar>
          </w:tcPr>
          <w:p>
            <w:pPr>
              <w:spacing w:before="0" w:after="0"/>
            </w:pPr>
            <w:r>
              <w:rPr>
                <w:rFonts w:ascii="Calibri" w:hAnsi="Calibri"/>
                <w:color w:val="2D3237"/>
                <w:sz w:val="16"/>
              </w:rPr>
              <w:t>Level 2: Serious Operational</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Failure to log gift between $150-$500; unapproved commercial moonlighting without conflict; negligent failure to lock workstation; mild bullying.</w:t>
            </w:r>
          </w:p>
        </w:tc>
        <w:tc>
          <w:tcPr>
            <w:tcW w:type="dxa" w:w="2592"/>
            <w:shd w:fill="FFFFFF"/>
            <w:tcMar>
              <w:top w:w="80" w:type="dxa"/>
              <w:bottom w:w="80" w:type="dxa"/>
              <w:left w:w="120" w:type="dxa"/>
              <w:right w:w="120" w:type="dxa"/>
            </w:tcMar>
          </w:tcPr>
          <w:p>
            <w:pPr>
              <w:spacing w:before="0" w:after="0"/>
            </w:pPr>
            <w:r>
              <w:rPr>
                <w:rFonts w:ascii="Calibri" w:hAnsi="Calibri"/>
                <w:color w:val="2D3237"/>
                <w:sz w:val="16"/>
              </w:rPr>
              <w:t>Formal written reprimand, mandatory re-certification of credentials, suspension of remote work privileges for 90 days.</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Forfeiture of quarterly performance bonus eligibility.</w:t>
            </w:r>
          </w:p>
        </w:tc>
      </w:tr>
      <w:tr>
        <w:tc>
          <w:tcPr>
            <w:tcW w:type="dxa" w:w="1872"/>
            <w:shd w:fill="F7F9FB"/>
            <w:tcMar>
              <w:top w:w="80" w:type="dxa"/>
              <w:bottom w:w="80" w:type="dxa"/>
              <w:left w:w="120" w:type="dxa"/>
              <w:right w:w="120" w:type="dxa"/>
            </w:tcMar>
          </w:tcPr>
          <w:p>
            <w:pPr>
              <w:spacing w:before="0" w:after="0"/>
            </w:pPr>
            <w:r>
              <w:rPr>
                <w:rFonts w:ascii="Calibri" w:hAnsi="Calibri"/>
                <w:color w:val="2D3237"/>
                <w:sz w:val="16"/>
              </w:rPr>
              <w:t>Level 3: Severe Violation</w:t>
            </w:r>
          </w:p>
        </w:tc>
        <w:tc>
          <w:tcPr>
            <w:tcW w:type="dxa" w:w="2880"/>
            <w:shd w:fill="F7F9FB"/>
            <w:tcMar>
              <w:top w:w="80" w:type="dxa"/>
              <w:bottom w:w="80" w:type="dxa"/>
              <w:left w:w="120" w:type="dxa"/>
              <w:right w:w="120" w:type="dxa"/>
            </w:tcMar>
          </w:tcPr>
          <w:p>
            <w:pPr>
              <w:spacing w:before="0" w:after="0"/>
            </w:pPr>
            <w:r>
              <w:rPr>
                <w:rFonts w:ascii="Calibri" w:hAnsi="Calibri"/>
                <w:color w:val="2D3237"/>
                <w:sz w:val="16"/>
              </w:rPr>
              <w:t>Bypassing AI model safety gateways; disabling EDR security sensors; undisclosed conflict of interest with vendor; severe harassment; discriminatory hiring.</w:t>
            </w:r>
          </w:p>
        </w:tc>
        <w:tc>
          <w:tcPr>
            <w:tcW w:type="dxa" w:w="2592"/>
            <w:shd w:fill="F7F9FB"/>
            <w:tcMar>
              <w:top w:w="80" w:type="dxa"/>
              <w:bottom w:w="80" w:type="dxa"/>
              <w:left w:w="120" w:type="dxa"/>
              <w:right w:w="120" w:type="dxa"/>
            </w:tcMar>
          </w:tcPr>
          <w:p>
            <w:pPr>
              <w:spacing w:before="0" w:after="0"/>
            </w:pPr>
            <w:r>
              <w:rPr>
                <w:rFonts w:ascii="Calibri" w:hAnsi="Calibri"/>
                <w:color w:val="2D3237"/>
                <w:sz w:val="16"/>
              </w:rPr>
              <w:t>Final written warning, immediate demotion, suspension without pay (up to 30 days), removal from management role.</w:t>
            </w:r>
          </w:p>
        </w:tc>
        <w:tc>
          <w:tcPr>
            <w:tcW w:type="dxa" w:w="1685"/>
            <w:shd w:fill="F7F9FB"/>
            <w:tcMar>
              <w:top w:w="80" w:type="dxa"/>
              <w:bottom w:w="80" w:type="dxa"/>
              <w:left w:w="120" w:type="dxa"/>
              <w:right w:w="120" w:type="dxa"/>
            </w:tcMar>
          </w:tcPr>
          <w:p>
            <w:pPr>
              <w:spacing w:before="0" w:after="0"/>
            </w:pPr>
            <w:r>
              <w:rPr>
                <w:rFonts w:ascii="Calibri" w:hAnsi="Calibri"/>
                <w:color w:val="2D3237"/>
                <w:sz w:val="16"/>
              </w:rPr>
              <w:t>Mandatory clawback review of unvested LTIP equity awards.</w:t>
            </w:r>
          </w:p>
        </w:tc>
      </w:tr>
      <w:tr>
        <w:tc>
          <w:tcPr>
            <w:tcW w:type="dxa" w:w="1872"/>
            <w:shd w:fill="FFFFFF"/>
            <w:tcMar>
              <w:top w:w="80" w:type="dxa"/>
              <w:bottom w:w="80" w:type="dxa"/>
              <w:left w:w="120" w:type="dxa"/>
              <w:right w:w="120" w:type="dxa"/>
            </w:tcMar>
          </w:tcPr>
          <w:p>
            <w:pPr>
              <w:spacing w:before="0" w:after="0"/>
            </w:pPr>
            <w:r>
              <w:rPr>
                <w:rFonts w:ascii="Calibri" w:hAnsi="Calibri"/>
                <w:color w:val="2D3237"/>
                <w:sz w:val="16"/>
              </w:rPr>
              <w:t>Level 4: Gross Misconduct</w:t>
            </w:r>
          </w:p>
        </w:tc>
        <w:tc>
          <w:tcPr>
            <w:tcW w:type="dxa" w:w="2880"/>
            <w:shd w:fill="FFFFFF"/>
            <w:tcMar>
              <w:top w:w="80" w:type="dxa"/>
              <w:bottom w:w="80" w:type="dxa"/>
              <w:left w:w="120" w:type="dxa"/>
              <w:right w:w="120" w:type="dxa"/>
            </w:tcMar>
          </w:tcPr>
          <w:p>
            <w:pPr>
              <w:spacing w:before="0" w:after="0"/>
            </w:pPr>
            <w:r>
              <w:rPr>
                <w:rFonts w:ascii="Calibri" w:hAnsi="Calibri"/>
                <w:color w:val="2D3237"/>
                <w:sz w:val="16"/>
              </w:rPr>
              <w:t>Bribery, FCPA violations; willful IP/model weight theft; sovereign data exfiltration; retaliation against whistleblower; physical violence; fraud.</w:t>
            </w:r>
          </w:p>
        </w:tc>
        <w:tc>
          <w:tcPr>
            <w:tcW w:type="dxa" w:w="2592"/>
            <w:shd w:fill="FFFFFF"/>
            <w:tcMar>
              <w:top w:w="80" w:type="dxa"/>
              <w:bottom w:w="80" w:type="dxa"/>
              <w:left w:w="120" w:type="dxa"/>
              <w:right w:w="120" w:type="dxa"/>
            </w:tcMar>
          </w:tcPr>
          <w:p>
            <w:pPr>
              <w:spacing w:before="0" w:after="0"/>
            </w:pPr>
            <w:r>
              <w:rPr>
                <w:rFonts w:ascii="Calibri" w:hAnsi="Calibri"/>
                <w:color w:val="2D3237"/>
                <w:sz w:val="16"/>
              </w:rPr>
              <w:t>Immediate summary dismissal for cause without notice or severance pay, permanent ban on re-hire.</w:t>
            </w:r>
          </w:p>
        </w:tc>
        <w:tc>
          <w:tcPr>
            <w:tcW w:type="dxa" w:w="1685"/>
            <w:shd w:fill="FFFFFF"/>
            <w:tcMar>
              <w:top w:w="80" w:type="dxa"/>
              <w:bottom w:w="80" w:type="dxa"/>
              <w:left w:w="120" w:type="dxa"/>
              <w:right w:w="120" w:type="dxa"/>
            </w:tcMar>
          </w:tcPr>
          <w:p>
            <w:pPr>
              <w:spacing w:before="0" w:after="0"/>
            </w:pPr>
            <w:r>
              <w:rPr>
                <w:rFonts w:ascii="Calibri" w:hAnsi="Calibri"/>
                <w:color w:val="2D3237"/>
                <w:sz w:val="16"/>
              </w:rPr>
              <w:t>Total cancellation of all vested/unvested LTIP; civil litigation &amp; criminal referral.</w:t>
            </w:r>
          </w:p>
        </w:tc>
      </w:tr>
    </w:tbl>
    <w:p>
      <w:pPr>
        <w:spacing w:before="0" w:after="80"/>
      </w:pPr>
    </w:p>
    <w:p>
      <w:r>
        <w:br w:type="page"/>
      </w:r>
    </w:p>
    <w:p>
      <w:pPr>
        <w:keepNext/>
        <w:spacing w:before="260" w:after="80"/>
      </w:pPr>
      <w:r>
        <w:rPr>
          <w:rFonts w:ascii="Calibri" w:hAnsi="Calibri"/>
          <w:b/>
          <w:color w:val="136F63"/>
          <w:sz w:val="23"/>
        </w:rPr>
        <w:t>16.3 Investigation Due Process &amp; Employee Rights</w:t>
      </w:r>
    </w:p>
    <w:p>
      <w:pPr>
        <w:spacing w:before="0" w:after="100" w:line="276" w:lineRule="auto"/>
      </w:pPr>
      <w:r>
        <w:rPr>
          <w:rFonts w:ascii="Calibri" w:hAnsi="Calibri"/>
          <w:color w:val="2D3237"/>
          <w:sz w:val="19"/>
        </w:rPr>
        <w:t>Clause 16.3.1 — Prior to the imposition of Level 3 or Level 4 disciplinary sanctions, the employee is entitled to full investigation due process, including: (a) Written notice of the allegations; (b) Access to relevant non-confidential evidence; (c) Opportunity to respond in writing and attend a formal disciplinary hearing; and (d) Right to be accompanied by a colleague or legal advisor.</w:t>
      </w:r>
    </w:p>
    <w:p>
      <w:pPr>
        <w:keepNext/>
        <w:spacing w:before="260" w:after="80"/>
      </w:pPr>
      <w:r>
        <w:rPr>
          <w:rFonts w:ascii="Calibri" w:hAnsi="Calibri"/>
          <w:b/>
          <w:color w:val="136F63"/>
          <w:sz w:val="23"/>
        </w:rPr>
        <w:t>16.4 Formal Appeals Mechanism</w:t>
      </w:r>
    </w:p>
    <w:p>
      <w:pPr>
        <w:spacing w:before="0" w:after="100" w:line="276" w:lineRule="auto"/>
      </w:pPr>
      <w:r>
        <w:rPr>
          <w:rFonts w:ascii="Calibri" w:hAnsi="Calibri"/>
          <w:color w:val="2D3237"/>
          <w:sz w:val="19"/>
        </w:rPr>
        <w:t>Clause 16.4.1 — An employee subject to formal disciplinary action may appeal the decision to the Group Disciplinary Appeals Committee within ten (10) business days of receiving the final written determination.</w:t>
      </w:r>
    </w:p>
    <w:p>
      <w:pPr>
        <w:spacing w:before="0" w:after="100" w:line="276" w:lineRule="auto"/>
      </w:pPr>
      <w:r>
        <w:rPr>
          <w:rFonts w:ascii="Calibri" w:hAnsi="Calibri"/>
          <w:color w:val="2D3237"/>
          <w:sz w:val="19"/>
        </w:rPr>
        <w:t>Clause 16.4.2 — Appeals are reviewed exclusively on three grounds: (a) Material procedural irregularity during the investigation; (b) Availability of substantial new evidence not previously accessible; or (c) Grossly disproportionate severity of sanction relative to precedent. The decision of the Appeals Committee is final and binding.</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[STATUTORY REFERRAL]</w:t>
              <w:br/>
            </w:r>
            <w:r>
              <w:rPr>
                <w:rFonts w:ascii="Calibri" w:hAnsi="Calibri"/>
                <w:color w:val="2D3237"/>
                <w:sz w:val="19"/>
              </w:rPr>
              <w:t>CRIMINAL REFERRAL POLICY: Where an internal investigation establishes clear evidence of financial fraud, bribery, cyber sabotage, or sovereign data exfiltration, G42 will immediately refer the matter to UAE Federal Prosecutors and international law enforcement agencies for criminal prosecution.</w:t>
            </w:r>
          </w:p>
        </w:tc>
      </w:tr>
    </w:tbl>
    <w:p>
      <w:pPr>
        <w:spacing w:before="0" w:after="80"/>
      </w:pPr>
    </w:p>
    <w:p>
      <w:r>
        <w:br w:type="page"/>
      </w:r>
    </w:p>
    <w:p>
      <w:pPr>
        <w:keepNext/>
        <w:spacing w:before="360" w:after="120"/>
      </w:pPr>
      <w:r>
        <w:rPr>
          <w:rFonts w:ascii="Calibri" w:hAnsi="Calibri"/>
          <w:b/>
          <w:color w:val="0B2545"/>
          <w:sz w:val="29"/>
        </w:rPr>
        <w:t>SECTION 17: HUMAN RESOURCES COMPLIANCE AUDITING &amp; FORENSICS</w:t>
      </w:r>
    </w:p>
    <w:p>
      <w:pPr>
        <w:keepNext/>
        <w:spacing w:before="260" w:after="80"/>
      </w:pPr>
      <w:r>
        <w:rPr>
          <w:rFonts w:ascii="Calibri" w:hAnsi="Calibri"/>
          <w:b/>
          <w:color w:val="136F63"/>
          <w:sz w:val="23"/>
        </w:rPr>
        <w:t>17.1 Continuous HR Compliance Monitoring</w:t>
      </w:r>
    </w:p>
    <w:p>
      <w:pPr>
        <w:spacing w:before="0" w:after="100" w:line="276" w:lineRule="auto"/>
      </w:pPr>
      <w:r>
        <w:rPr>
          <w:rFonts w:ascii="Calibri" w:hAnsi="Calibri"/>
          <w:color w:val="2D3237"/>
          <w:sz w:val="19"/>
        </w:rPr>
        <w:t>Clause 17.1.1 — Compliance with this Code of Conduct is monitored continuously through automated compliance analytics, HRIS audit logs, and periodic forensic reviews conducted by the Group Internal Audit Directorate and Group Legal Affairs.</w:t>
      </w:r>
    </w:p>
    <w:p>
      <w:pPr>
        <w:spacing w:before="0" w:after="100" w:line="276" w:lineRule="auto"/>
      </w:pPr>
      <w:r>
        <w:rPr>
          <w:rFonts w:ascii="Calibri" w:hAnsi="Calibri"/>
          <w:color w:val="2D3237"/>
          <w:sz w:val="19"/>
        </w:rPr>
        <w:t>Clause 17.1.2 — Automated compliance bots continuously cross-reference employee conflict declarations, vendor master records, procurement evaluation matrices, and gift registry entries to identify anomalous relationships or undisclosed commercial interests.</w:t>
      </w:r>
    </w:p>
    <w:p>
      <w:pPr>
        <w:keepNext/>
        <w:spacing w:before="260" w:after="80"/>
      </w:pPr>
      <w:r>
        <w:rPr>
          <w:rFonts w:ascii="Calibri" w:hAnsi="Calibri"/>
          <w:b/>
          <w:color w:val="136F63"/>
          <w:sz w:val="23"/>
        </w:rPr>
        <w:t>17.2 Periodic Background Re-Screening &amp; Integrity Checks</w:t>
      </w:r>
    </w:p>
    <w:p>
      <w:pPr>
        <w:spacing w:before="0" w:after="100" w:line="276" w:lineRule="auto"/>
      </w:pPr>
      <w:r>
        <w:rPr>
          <w:rFonts w:ascii="Calibri" w:hAnsi="Calibri"/>
          <w:color w:val="2D3237"/>
          <w:sz w:val="19"/>
        </w:rPr>
        <w:t>Clause 17.2.1 — All employees holding privileged administrative access, financial signing authority, executive leadership titles, or handling Level 4 Sovereign Technology are subject to periodic background re-screening every twenty-four (24) months, including criminal history checks, global sanctions screening, and credit solvency reviews.</w:t>
      </w:r>
    </w:p>
    <w:p>
      <w:r>
        <w:br w:type="page"/>
      </w:r>
    </w:p>
    <w:p>
      <w:pPr>
        <w:keepNext/>
        <w:spacing w:before="260" w:after="80"/>
      </w:pPr>
      <w:r>
        <w:rPr>
          <w:rFonts w:ascii="Calibri" w:hAnsi="Calibri"/>
          <w:b/>
          <w:color w:val="136F63"/>
          <w:sz w:val="23"/>
        </w:rPr>
        <w:t>17.3 Forensic Investigation Standards &amp; Digital Evidence</w:t>
      </w:r>
    </w:p>
    <w:p>
      <w:pPr>
        <w:spacing w:before="0" w:after="100" w:line="276" w:lineRule="auto"/>
      </w:pPr>
      <w:r>
        <w:rPr>
          <w:rFonts w:ascii="Calibri" w:hAnsi="Calibri"/>
          <w:color w:val="2D3237"/>
          <w:sz w:val="19"/>
        </w:rPr>
        <w:t>Clause 17.3.1 — When investigating allegations of gross misconduct, IP theft, bribery, or retaliation, the Group Forensics &amp; Legal teams are legally authorized to inspect all corporate digital assets—including corporate laptops, Slack/Teams chats, corporate emails, cloud access logs, and code commit histories—in accordance with enterprise security policies and applicable privacy laws.</w:t>
      </w:r>
    </w:p>
    <w:p>
      <w:pPr>
        <w:spacing w:before="0" w:after="100" w:line="276" w:lineRule="auto"/>
      </w:pPr>
      <w:r>
        <w:rPr>
          <w:rFonts w:ascii="Calibri" w:hAnsi="Calibri"/>
          <w:color w:val="2D3237"/>
          <w:sz w:val="19"/>
        </w:rPr>
        <w:t>Clause 17.3.2 — Tampering with Evidence: Any employee who intentionally deletes, alters, conceals, or destroys digital records, emails, or chat logs during an active compliance investigation will face immediate termination for gross misconduct and obstruction.</w:t>
      </w:r>
    </w:p>
    <w:p>
      <w:pPr>
        <w:keepNext/>
        <w:spacing w:before="260" w:after="80"/>
      </w:pPr>
      <w:r>
        <w:rPr>
          <w:rFonts w:ascii="Calibri" w:hAnsi="Calibri"/>
          <w:b/>
          <w:color w:val="136F63"/>
          <w:sz w:val="23"/>
        </w:rPr>
        <w:t>17.4 Compliance Record Retention</w:t>
      </w:r>
    </w:p>
    <w:p>
      <w:pPr>
        <w:spacing w:before="0" w:after="100" w:line="276" w:lineRule="auto"/>
      </w:pPr>
      <w:r>
        <w:rPr>
          <w:rFonts w:ascii="Calibri" w:hAnsi="Calibri"/>
          <w:color w:val="2D3237"/>
          <w:sz w:val="19"/>
        </w:rPr>
        <w:t>Clause 17.4.1 — All conflict of interest declarations, gift registry logs, whistleblowing investigation files, and disciplinary hearing records must be retained in encrypted WORM storage for a minimum period of seven (7) years following employee separation, to support statutory compliance audits.</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[INVESTIGATION MANDATE]</w:t>
              <w:br/>
            </w:r>
            <w:r>
              <w:rPr>
                <w:rFonts w:ascii="Calibri" w:hAnsi="Calibri"/>
                <w:color w:val="2D3237"/>
                <w:sz w:val="19"/>
              </w:rPr>
              <w:t>COOPERATION MANDATE: All employees are legally and contractually obligated to cooperate fully, truthfully, and completely with internal compliance investigations and audits. Refusal to cooperate is an independent disciplinary infraction.</w:t>
            </w:r>
          </w:p>
        </w:tc>
      </w:tr>
    </w:tbl>
    <w:p>
      <w:pPr>
        <w:spacing w:before="0" w:after="80"/>
      </w:pPr>
    </w:p>
    <w:p>
      <w:r>
        <w:br w:type="page"/>
      </w:r>
    </w:p>
    <w:p>
      <w:pPr>
        <w:keepNext/>
        <w:spacing w:before="360" w:after="120"/>
      </w:pPr>
      <w:r>
        <w:rPr>
          <w:rFonts w:ascii="Calibri" w:hAnsi="Calibri"/>
          <w:b/>
          <w:color w:val="0B2545"/>
          <w:sz w:val="29"/>
        </w:rPr>
        <w:t>SECTION 18: APPENDIX A — STATUTORY &amp; REGULATORY CONCORDANCE</w:t>
      </w:r>
    </w:p>
    <w:p>
      <w:pPr>
        <w:spacing w:before="0" w:after="100" w:line="276" w:lineRule="auto"/>
      </w:pPr>
      <w:r>
        <w:rPr>
          <w:rFonts w:ascii="Calibri" w:hAnsi="Calibri"/>
          <w:color w:val="2D3237"/>
          <w:sz w:val="19"/>
        </w:rPr>
        <w:t>Clause 18.1.1 — The G42 Group Global Code of Business Conduct, Ethics &amp; Workplace Standards is harmonized against national and international labor laws, anti-corruption conventions, and corporate governance frameworks:</w:t>
      </w:r>
    </w:p>
    <w:tbl>
      <w:tblPr>
        <w:tblW w:type="auto" w:w="0"/>
        <w:jc w:val="center"/>
        <w:tblLayout w:type="fixed"/>
        <w:tblLook w:firstColumn="1" w:firstRow="1" w:lastColumn="0" w:lastRow="0" w:noHBand="0" w:noVBand="1" w:val="04A0"/>
      </w:tblPr>
      <w:tblGrid>
        <w:gridCol w:w="2304"/>
        <w:gridCol w:w="2016"/>
        <w:gridCol w:w="1872"/>
        <w:gridCol w:w="2837"/>
      </w:tblGrid>
      <w:tr>
        <w:tc>
          <w:tcPr>
            <w:tcW w:type="dxa" w:w="2304"/>
            <w:shd w:fill="0B2545"/>
            <w:tcMar>
              <w:top w:w="100" w:type="dxa"/>
              <w:bottom w:w="100" w:type="dxa"/>
              <w:left w:w="120" w:type="dxa"/>
              <w:right w:w="120" w:type="dxa"/>
            </w:tcMar>
          </w:tcPr>
          <w:p>
            <w:pPr>
              <w:spacing w:before="0" w:after="0"/>
              <w:jc w:val="left"/>
            </w:pPr>
            <w:r>
              <w:rPr>
                <w:rFonts w:ascii="Calibri" w:hAnsi="Calibri"/>
                <w:b/>
                <w:color w:val="FFFFFF"/>
                <w:sz w:val="17"/>
              </w:rPr>
              <w:t>Statutory Framework</w:t>
            </w:r>
          </w:p>
        </w:tc>
        <w:tc>
          <w:tcPr>
            <w:tcW w:type="dxa" w:w="2016"/>
            <w:shd w:fill="0B2545"/>
            <w:tcMar>
              <w:top w:w="100" w:type="dxa"/>
              <w:bottom w:w="100" w:type="dxa"/>
              <w:left w:w="120" w:type="dxa"/>
              <w:right w:w="120" w:type="dxa"/>
            </w:tcMar>
          </w:tcPr>
          <w:p>
            <w:pPr>
              <w:spacing w:before="0" w:after="0"/>
              <w:jc w:val="left"/>
            </w:pPr>
            <w:r>
              <w:rPr>
                <w:rFonts w:ascii="Calibri" w:hAnsi="Calibri"/>
                <w:b/>
                <w:color w:val="FFFFFF"/>
                <w:sz w:val="17"/>
              </w:rPr>
              <w:t>Issuing Authority</w:t>
            </w:r>
          </w:p>
        </w:tc>
        <w:tc>
          <w:tcPr>
            <w:tcW w:type="dxa" w:w="1872"/>
            <w:shd w:fill="0B2545"/>
            <w:tcMar>
              <w:top w:w="100" w:type="dxa"/>
              <w:bottom w:w="100" w:type="dxa"/>
              <w:left w:w="120" w:type="dxa"/>
              <w:right w:w="120" w:type="dxa"/>
            </w:tcMar>
          </w:tcPr>
          <w:p>
            <w:pPr>
              <w:spacing w:before="0" w:after="0"/>
              <w:jc w:val="left"/>
            </w:pPr>
            <w:r>
              <w:rPr>
                <w:rFonts w:ascii="Calibri" w:hAnsi="Calibri"/>
                <w:b/>
                <w:color w:val="FFFFFF"/>
                <w:sz w:val="17"/>
              </w:rPr>
              <w:t>Aligned Sections</w:t>
            </w:r>
          </w:p>
        </w:tc>
        <w:tc>
          <w:tcPr>
            <w:tcW w:type="dxa" w:w="2837"/>
            <w:shd w:fill="0B2545"/>
            <w:tcMar>
              <w:top w:w="100" w:type="dxa"/>
              <w:bottom w:w="100" w:type="dxa"/>
              <w:left w:w="120" w:type="dxa"/>
              <w:right w:w="120" w:type="dxa"/>
            </w:tcMar>
          </w:tcPr>
          <w:p>
            <w:pPr>
              <w:spacing w:before="0" w:after="0"/>
              <w:jc w:val="left"/>
            </w:pPr>
            <w:r>
              <w:rPr>
                <w:rFonts w:ascii="Calibri" w:hAnsi="Calibri"/>
                <w:b/>
                <w:color w:val="FFFFFF"/>
                <w:sz w:val="17"/>
              </w:rPr>
              <w:t>Core Compliance Mandate</w:t>
            </w:r>
          </w:p>
        </w:tc>
      </w:tr>
      <w:tr>
        <w:tc>
          <w:tcPr>
            <w:tcW w:type="dxa" w:w="2304"/>
            <w:shd w:fill="FFFFFF"/>
            <w:tcMar>
              <w:top w:w="80" w:type="dxa"/>
              <w:bottom w:w="80" w:type="dxa"/>
              <w:left w:w="120" w:type="dxa"/>
              <w:right w:w="120" w:type="dxa"/>
            </w:tcMar>
          </w:tcPr>
          <w:p>
            <w:pPr>
              <w:spacing w:before="0" w:after="0"/>
            </w:pPr>
            <w:r>
              <w:rPr>
                <w:rFonts w:ascii="Calibri" w:hAnsi="Calibri"/>
                <w:color w:val="2D3237"/>
                <w:sz w:val="16"/>
              </w:rPr>
              <w:t>Statutory / International Standard</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Governing Regulatory Authority</w:t>
            </w:r>
          </w:p>
        </w:tc>
        <w:tc>
          <w:tcPr>
            <w:tcW w:type="dxa" w:w="1872"/>
            <w:shd w:fill="FFFFFF"/>
            <w:tcMar>
              <w:top w:w="80" w:type="dxa"/>
              <w:bottom w:w="80" w:type="dxa"/>
              <w:left w:w="120" w:type="dxa"/>
              <w:right w:w="120" w:type="dxa"/>
            </w:tcMar>
          </w:tcPr>
          <w:p>
            <w:pPr>
              <w:spacing w:before="0" w:after="0"/>
            </w:pPr>
            <w:r>
              <w:rPr>
                <w:rFonts w:ascii="Calibri" w:hAnsi="Calibri"/>
                <w:color w:val="2D3237"/>
                <w:sz w:val="16"/>
              </w:rPr>
              <w:t>G42 Policy Section Alignment</w:t>
            </w:r>
          </w:p>
        </w:tc>
        <w:tc>
          <w:tcPr>
            <w:tcW w:type="dxa" w:w="2837"/>
            <w:shd w:fill="FFFFFF"/>
            <w:tcMar>
              <w:top w:w="80" w:type="dxa"/>
              <w:bottom w:w="80" w:type="dxa"/>
              <w:left w:w="120" w:type="dxa"/>
              <w:right w:w="120" w:type="dxa"/>
            </w:tcMar>
          </w:tcPr>
          <w:p>
            <w:pPr>
              <w:spacing w:before="0" w:after="0"/>
            </w:pPr>
            <w:r>
              <w:rPr>
                <w:rFonts w:ascii="Calibri" w:hAnsi="Calibri"/>
                <w:color w:val="2D3237"/>
                <w:sz w:val="16"/>
              </w:rPr>
              <w:t>Core Compliance Mechanism</w:t>
            </w:r>
          </w:p>
        </w:tc>
      </w:tr>
      <w:tr>
        <w:tc>
          <w:tcPr>
            <w:tcW w:type="dxa" w:w="2304"/>
            <w:shd w:fill="F7F9FB"/>
            <w:tcMar>
              <w:top w:w="80" w:type="dxa"/>
              <w:bottom w:w="80" w:type="dxa"/>
              <w:left w:w="120" w:type="dxa"/>
              <w:right w:w="120" w:type="dxa"/>
            </w:tcMar>
          </w:tcPr>
          <w:p>
            <w:pPr>
              <w:spacing w:before="0" w:after="0"/>
            </w:pPr>
            <w:r>
              <w:rPr>
                <w:rFonts w:ascii="Calibri" w:hAnsi="Calibri"/>
                <w:color w:val="2D3237"/>
                <w:sz w:val="16"/>
              </w:rPr>
              <w:t>UAE Federal Decree-Law No. 33/2021 (Labor Relations)</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UAE Ministry of Human Resources &amp; Emiratisation (MOHRE)</w:t>
            </w:r>
          </w:p>
        </w:tc>
        <w:tc>
          <w:tcPr>
            <w:tcW w:type="dxa" w:w="1872"/>
            <w:shd w:fill="F7F9FB"/>
            <w:tcMar>
              <w:top w:w="80" w:type="dxa"/>
              <w:bottom w:w="80" w:type="dxa"/>
              <w:left w:w="120" w:type="dxa"/>
              <w:right w:w="120" w:type="dxa"/>
            </w:tcMar>
          </w:tcPr>
          <w:p>
            <w:pPr>
              <w:spacing w:before="0" w:after="0"/>
            </w:pPr>
            <w:r>
              <w:rPr>
                <w:rFonts w:ascii="Calibri" w:hAnsi="Calibri"/>
                <w:color w:val="2D3237"/>
                <w:sz w:val="16"/>
              </w:rPr>
              <w:t>Section 7.2, Section 8.1, Section 10.1, Section 16.1</w:t>
            </w:r>
          </w:p>
        </w:tc>
        <w:tc>
          <w:tcPr>
            <w:tcW w:type="dxa" w:w="2837"/>
            <w:shd w:fill="F7F9FB"/>
            <w:tcMar>
              <w:top w:w="80" w:type="dxa"/>
              <w:bottom w:w="80" w:type="dxa"/>
              <w:left w:w="120" w:type="dxa"/>
              <w:right w:w="120" w:type="dxa"/>
            </w:tcMar>
          </w:tcPr>
          <w:p>
            <w:pPr>
              <w:spacing w:before="0" w:after="0"/>
            </w:pPr>
            <w:r>
              <w:rPr>
                <w:rFonts w:ascii="Calibri" w:hAnsi="Calibri"/>
                <w:color w:val="2D3237"/>
                <w:sz w:val="16"/>
              </w:rPr>
              <w:t>Standard employment contracts, workplace safety, equal pay, and statutory severance.</w:t>
            </w:r>
          </w:p>
        </w:tc>
      </w:tr>
      <w:tr>
        <w:tc>
          <w:tcPr>
            <w:tcW w:type="dxa" w:w="2304"/>
            <w:shd w:fill="FFFFFF"/>
            <w:tcMar>
              <w:top w:w="80" w:type="dxa"/>
              <w:bottom w:w="80" w:type="dxa"/>
              <w:left w:w="120" w:type="dxa"/>
              <w:right w:w="120" w:type="dxa"/>
            </w:tcMar>
          </w:tcPr>
          <w:p>
            <w:pPr>
              <w:spacing w:before="0" w:after="0"/>
            </w:pPr>
            <w:r>
              <w:rPr>
                <w:rFonts w:ascii="Calibri" w:hAnsi="Calibri"/>
                <w:color w:val="2D3237"/>
                <w:sz w:val="16"/>
              </w:rPr>
              <w:t>UAE Penal Code (Federal Law No. 31/2021)</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UAE Ministry of Justice / Federal Public Prosecution</w:t>
            </w:r>
          </w:p>
        </w:tc>
        <w:tc>
          <w:tcPr>
            <w:tcW w:type="dxa" w:w="1872"/>
            <w:shd w:fill="FFFFFF"/>
            <w:tcMar>
              <w:top w:w="80" w:type="dxa"/>
              <w:bottom w:w="80" w:type="dxa"/>
              <w:left w:w="120" w:type="dxa"/>
              <w:right w:w="120" w:type="dxa"/>
            </w:tcMar>
          </w:tcPr>
          <w:p>
            <w:pPr>
              <w:spacing w:before="0" w:after="0"/>
            </w:pPr>
            <w:r>
              <w:rPr>
                <w:rFonts w:ascii="Calibri" w:hAnsi="Calibri"/>
                <w:color w:val="2D3237"/>
                <w:sz w:val="16"/>
              </w:rPr>
              <w:t>Section 3.1, Section 3.2, Section 16.2</w:t>
            </w:r>
          </w:p>
        </w:tc>
        <w:tc>
          <w:tcPr>
            <w:tcW w:type="dxa" w:w="2837"/>
            <w:shd w:fill="FFFFFF"/>
            <w:tcMar>
              <w:top w:w="80" w:type="dxa"/>
              <w:bottom w:w="80" w:type="dxa"/>
              <w:left w:w="120" w:type="dxa"/>
              <w:right w:w="120" w:type="dxa"/>
            </w:tcMar>
          </w:tcPr>
          <w:p>
            <w:pPr>
              <w:spacing w:before="0" w:after="0"/>
            </w:pPr>
            <w:r>
              <w:rPr>
                <w:rFonts w:ascii="Calibri" w:hAnsi="Calibri"/>
                <w:color w:val="2D3237"/>
                <w:sz w:val="16"/>
              </w:rPr>
              <w:t>Criminal prohibition on public and commercial bribery, extortion, and breach of trust.</w:t>
            </w:r>
          </w:p>
        </w:tc>
      </w:tr>
      <w:tr>
        <w:tc>
          <w:tcPr>
            <w:tcW w:type="dxa" w:w="2304"/>
            <w:shd w:fill="F7F9FB"/>
            <w:tcMar>
              <w:top w:w="80" w:type="dxa"/>
              <w:bottom w:w="80" w:type="dxa"/>
              <w:left w:w="120" w:type="dxa"/>
              <w:right w:w="120" w:type="dxa"/>
            </w:tcMar>
          </w:tcPr>
          <w:p>
            <w:pPr>
              <w:spacing w:before="0" w:after="0"/>
            </w:pPr>
            <w:r>
              <w:rPr>
                <w:rFonts w:ascii="Calibri" w:hAnsi="Calibri"/>
                <w:color w:val="2D3237"/>
                <w:sz w:val="16"/>
              </w:rPr>
              <w:t>US Foreign Corrupt Practices Act (FCPA 1977)</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US Department of Justice (DOJ) / SEC</w:t>
            </w:r>
          </w:p>
        </w:tc>
        <w:tc>
          <w:tcPr>
            <w:tcW w:type="dxa" w:w="1872"/>
            <w:shd w:fill="F7F9FB"/>
            <w:tcMar>
              <w:top w:w="80" w:type="dxa"/>
              <w:bottom w:w="80" w:type="dxa"/>
              <w:left w:w="120" w:type="dxa"/>
              <w:right w:w="120" w:type="dxa"/>
            </w:tcMar>
          </w:tcPr>
          <w:p>
            <w:pPr>
              <w:spacing w:before="0" w:after="0"/>
            </w:pPr>
            <w:r>
              <w:rPr>
                <w:rFonts w:ascii="Calibri" w:hAnsi="Calibri"/>
                <w:color w:val="2D3237"/>
                <w:sz w:val="16"/>
              </w:rPr>
              <w:t>Section 3.1, Section 3.4, Section 4.2, Section 6.3</w:t>
            </w:r>
          </w:p>
        </w:tc>
        <w:tc>
          <w:tcPr>
            <w:tcW w:type="dxa" w:w="2837"/>
            <w:shd w:fill="F7F9FB"/>
            <w:tcMar>
              <w:top w:w="80" w:type="dxa"/>
              <w:bottom w:w="80" w:type="dxa"/>
              <w:left w:w="120" w:type="dxa"/>
              <w:right w:w="120" w:type="dxa"/>
            </w:tcMar>
          </w:tcPr>
          <w:p>
            <w:pPr>
              <w:spacing w:before="0" w:after="0"/>
            </w:pPr>
            <w:r>
              <w:rPr>
                <w:rFonts w:ascii="Calibri" w:hAnsi="Calibri"/>
                <w:color w:val="2D3237"/>
                <w:sz w:val="16"/>
              </w:rPr>
              <w:t>Anti-bribery provisions, books and records requirements, internal accounting controls.</w:t>
            </w:r>
          </w:p>
        </w:tc>
      </w:tr>
      <w:tr>
        <w:tc>
          <w:tcPr>
            <w:tcW w:type="dxa" w:w="2304"/>
            <w:shd w:fill="FFFFFF"/>
            <w:tcMar>
              <w:top w:w="80" w:type="dxa"/>
              <w:bottom w:w="80" w:type="dxa"/>
              <w:left w:w="120" w:type="dxa"/>
              <w:right w:w="120" w:type="dxa"/>
            </w:tcMar>
          </w:tcPr>
          <w:p>
            <w:pPr>
              <w:spacing w:before="0" w:after="0"/>
            </w:pPr>
            <w:r>
              <w:rPr>
                <w:rFonts w:ascii="Calibri" w:hAnsi="Calibri"/>
                <w:color w:val="2D3237"/>
                <w:sz w:val="16"/>
              </w:rPr>
              <w:t>United Kingdom Bribery Act 2010 (UKBA)</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UK Serious Fraud Office (SFO)</w:t>
            </w:r>
          </w:p>
        </w:tc>
        <w:tc>
          <w:tcPr>
            <w:tcW w:type="dxa" w:w="1872"/>
            <w:shd w:fill="FFFFFF"/>
            <w:tcMar>
              <w:top w:w="80" w:type="dxa"/>
              <w:bottom w:w="80" w:type="dxa"/>
              <w:left w:w="120" w:type="dxa"/>
              <w:right w:w="120" w:type="dxa"/>
            </w:tcMar>
          </w:tcPr>
          <w:p>
            <w:pPr>
              <w:spacing w:before="0" w:after="0"/>
            </w:pPr>
            <w:r>
              <w:rPr>
                <w:rFonts w:ascii="Calibri" w:hAnsi="Calibri"/>
                <w:color w:val="2D3237"/>
                <w:sz w:val="16"/>
              </w:rPr>
              <w:t>Section 3.1, Section 3.3, Section 4.2, Section 14.2</w:t>
            </w:r>
          </w:p>
        </w:tc>
        <w:tc>
          <w:tcPr>
            <w:tcW w:type="dxa" w:w="2837"/>
            <w:shd w:fill="FFFFFF"/>
            <w:tcMar>
              <w:top w:w="80" w:type="dxa"/>
              <w:bottom w:w="80" w:type="dxa"/>
              <w:left w:w="120" w:type="dxa"/>
              <w:right w:w="120" w:type="dxa"/>
            </w:tcMar>
          </w:tcPr>
          <w:p>
            <w:pPr>
              <w:spacing w:before="0" w:after="0"/>
            </w:pPr>
            <w:r>
              <w:rPr>
                <w:rFonts w:ascii="Calibri" w:hAnsi="Calibri"/>
                <w:color w:val="2D3237"/>
                <w:sz w:val="16"/>
              </w:rPr>
              <w:t>Strict liability for commercial organizations failing to prevent bribery, facilitation payment ban.</w:t>
            </w:r>
          </w:p>
        </w:tc>
      </w:tr>
      <w:tr>
        <w:tc>
          <w:tcPr>
            <w:tcW w:type="dxa" w:w="2304"/>
            <w:shd w:fill="F7F9FB"/>
            <w:tcMar>
              <w:top w:w="80" w:type="dxa"/>
              <w:bottom w:w="80" w:type="dxa"/>
              <w:left w:w="120" w:type="dxa"/>
              <w:right w:w="120" w:type="dxa"/>
            </w:tcMar>
          </w:tcPr>
          <w:p>
            <w:pPr>
              <w:spacing w:before="0" w:after="0"/>
            </w:pPr>
            <w:r>
              <w:rPr>
                <w:rFonts w:ascii="Calibri" w:hAnsi="Calibri"/>
                <w:color w:val="2D3237"/>
                <w:sz w:val="16"/>
              </w:rPr>
              <w:t>UAE Federal Decree-Law No. 45/2021 (Data Protection)</w:t>
            </w:r>
          </w:p>
        </w:tc>
        <w:tc>
          <w:tcPr>
            <w:tcW w:type="dxa" w:w="2016"/>
            <w:shd w:fill="F7F9FB"/>
            <w:tcMar>
              <w:top w:w="80" w:type="dxa"/>
              <w:bottom w:w="80" w:type="dxa"/>
              <w:left w:w="120" w:type="dxa"/>
              <w:right w:w="120" w:type="dxa"/>
            </w:tcMar>
          </w:tcPr>
          <w:p>
            <w:pPr>
              <w:spacing w:before="0" w:after="0"/>
            </w:pPr>
            <w:r>
              <w:rPr>
                <w:rFonts w:ascii="Calibri" w:hAnsi="Calibri"/>
                <w:color w:val="2D3237"/>
                <w:sz w:val="16"/>
              </w:rPr>
              <w:t>UAE Data Office</w:t>
            </w:r>
          </w:p>
        </w:tc>
        <w:tc>
          <w:tcPr>
            <w:tcW w:type="dxa" w:w="1872"/>
            <w:shd w:fill="F7F9FB"/>
            <w:tcMar>
              <w:top w:w="80" w:type="dxa"/>
              <w:bottom w:w="80" w:type="dxa"/>
              <w:left w:w="120" w:type="dxa"/>
              <w:right w:w="120" w:type="dxa"/>
            </w:tcMar>
          </w:tcPr>
          <w:p>
            <w:pPr>
              <w:spacing w:before="0" w:after="0"/>
            </w:pPr>
            <w:r>
              <w:rPr>
                <w:rFonts w:ascii="Calibri" w:hAnsi="Calibri"/>
                <w:color w:val="2D3237"/>
                <w:sz w:val="16"/>
              </w:rPr>
              <w:t>Section 8.3, Section 15.3, Section 17.4</w:t>
            </w:r>
          </w:p>
        </w:tc>
        <w:tc>
          <w:tcPr>
            <w:tcW w:type="dxa" w:w="2837"/>
            <w:shd w:fill="F7F9FB"/>
            <w:tcMar>
              <w:top w:w="80" w:type="dxa"/>
              <w:bottom w:w="80" w:type="dxa"/>
              <w:left w:w="120" w:type="dxa"/>
              <w:right w:w="120" w:type="dxa"/>
            </w:tcMar>
          </w:tcPr>
          <w:p>
            <w:pPr>
              <w:spacing w:before="0" w:after="0"/>
            </w:pPr>
            <w:r>
              <w:rPr>
                <w:rFonts w:ascii="Calibri" w:hAnsi="Calibri"/>
                <w:color w:val="2D3237"/>
                <w:sz w:val="16"/>
              </w:rPr>
              <w:t>Employee personal data protection, cross-border remote work safeguards, and audit storage.</w:t>
            </w:r>
          </w:p>
        </w:tc>
      </w:tr>
      <w:tr>
        <w:tc>
          <w:tcPr>
            <w:tcW w:type="dxa" w:w="2304"/>
            <w:shd w:fill="FFFFFF"/>
            <w:tcMar>
              <w:top w:w="80" w:type="dxa"/>
              <w:bottom w:w="80" w:type="dxa"/>
              <w:left w:w="120" w:type="dxa"/>
              <w:right w:w="120" w:type="dxa"/>
            </w:tcMar>
          </w:tcPr>
          <w:p>
            <w:pPr>
              <w:spacing w:before="0" w:after="0"/>
            </w:pPr>
            <w:r>
              <w:rPr>
                <w:rFonts w:ascii="Calibri" w:hAnsi="Calibri"/>
                <w:color w:val="2D3237"/>
                <w:sz w:val="16"/>
              </w:rPr>
              <w:t>United Nations Global Compact (UNGC) Ten Principles</w:t>
            </w:r>
          </w:p>
        </w:tc>
        <w:tc>
          <w:tcPr>
            <w:tcW w:type="dxa" w:w="2016"/>
            <w:shd w:fill="FFFFFF"/>
            <w:tcMar>
              <w:top w:w="80" w:type="dxa"/>
              <w:bottom w:w="80" w:type="dxa"/>
              <w:left w:w="120" w:type="dxa"/>
              <w:right w:w="120" w:type="dxa"/>
            </w:tcMar>
          </w:tcPr>
          <w:p>
            <w:pPr>
              <w:spacing w:before="0" w:after="0"/>
            </w:pPr>
            <w:r>
              <w:rPr>
                <w:rFonts w:ascii="Calibri" w:hAnsi="Calibri"/>
                <w:color w:val="2D3237"/>
                <w:sz w:val="16"/>
              </w:rPr>
              <w:t>United Nations Global Compact</w:t>
            </w:r>
          </w:p>
        </w:tc>
        <w:tc>
          <w:tcPr>
            <w:tcW w:type="dxa" w:w="1872"/>
            <w:shd w:fill="FFFFFF"/>
            <w:tcMar>
              <w:top w:w="80" w:type="dxa"/>
              <w:bottom w:w="80" w:type="dxa"/>
              <w:left w:w="120" w:type="dxa"/>
              <w:right w:w="120" w:type="dxa"/>
            </w:tcMar>
          </w:tcPr>
          <w:p>
            <w:pPr>
              <w:spacing w:before="0" w:after="0"/>
            </w:pPr>
            <w:r>
              <w:rPr>
                <w:rFonts w:ascii="Calibri" w:hAnsi="Calibri"/>
                <w:color w:val="2D3237"/>
                <w:sz w:val="16"/>
              </w:rPr>
              <w:t>Section 1.2, Section 7.1, Section 9.1, Section 11.1</w:t>
            </w:r>
          </w:p>
        </w:tc>
        <w:tc>
          <w:tcPr>
            <w:tcW w:type="dxa" w:w="2837"/>
            <w:shd w:fill="FFFFFF"/>
            <w:tcMar>
              <w:top w:w="80" w:type="dxa"/>
              <w:bottom w:w="80" w:type="dxa"/>
              <w:left w:w="120" w:type="dxa"/>
              <w:right w:w="120" w:type="dxa"/>
            </w:tcMar>
          </w:tcPr>
          <w:p>
            <w:pPr>
              <w:spacing w:before="0" w:after="0"/>
            </w:pPr>
            <w:r>
              <w:rPr>
                <w:rFonts w:ascii="Calibri" w:hAnsi="Calibri"/>
                <w:color w:val="2D3237"/>
                <w:sz w:val="16"/>
              </w:rPr>
              <w:t>Human rights, fair labor standards, environmental protection, and anti-corruption principles.</w:t>
            </w:r>
          </w:p>
        </w:tc>
      </w:tr>
    </w:tbl>
    <w:p>
      <w:pPr>
        <w:spacing w:before="0" w:after="80"/>
      </w:pPr>
    </w:p>
    <w:p>
      <w:r>
        <w:br w:type="page"/>
      </w:r>
    </w:p>
    <w:p>
      <w:pPr>
        <w:keepNext/>
        <w:spacing w:before="260" w:after="80"/>
      </w:pPr>
      <w:r>
        <w:rPr>
          <w:rFonts w:ascii="Calibri" w:hAnsi="Calibri"/>
          <w:b/>
          <w:color w:val="136F63"/>
          <w:sz w:val="23"/>
        </w:rPr>
        <w:t>18.2 International Labor &amp; Trade Concordance (Cont.)</w:t>
      </w:r>
    </w:p>
    <w:p>
      <w:pPr>
        <w:spacing w:before="0" w:after="100" w:line="276" w:lineRule="auto"/>
      </w:pPr>
      <w:r>
        <w:rPr>
          <w:rFonts w:ascii="Calibri" w:hAnsi="Calibri"/>
          <w:color w:val="2D3237"/>
          <w:sz w:val="19"/>
        </w:rPr>
        <w:t>Clause 18.2.1 — International Labor Organization (ILO) Conventions: G42 adheres to the core labor principles established by the ILO, including the elimination of all forms of forced or compulsory labor, the effective abolition of child labor, and the elimination of discrimination in respect of employment and occupation.</w:t>
      </w:r>
    </w:p>
    <w:p>
      <w:pPr>
        <w:spacing w:before="0" w:after="100" w:line="276" w:lineRule="auto"/>
      </w:pPr>
      <w:r>
        <w:rPr>
          <w:rFonts w:ascii="Calibri" w:hAnsi="Calibri"/>
          <w:color w:val="2D3237"/>
          <w:sz w:val="19"/>
        </w:rPr>
        <w:t>Clause 18.2.2 — US Export Administration Regulations (EAR) &amp; OFAC Sanctions: The trade compliance mandates set forth in Section 6 are harmonized with Title 15 of the US Code of Federal Regulations (CFR) and executive orders governing foundational AI model weights, supercomputing infrastructure, and semiconductor integrations.</w:t>
      </w:r>
    </w:p>
    <w:p>
      <w:pPr>
        <w:spacing w:before="0" w:after="100" w:line="276" w:lineRule="auto"/>
      </w:pPr>
      <w:r>
        <w:rPr>
          <w:rFonts w:ascii="Calibri" w:hAnsi="Calibri"/>
          <w:color w:val="2D3237"/>
          <w:sz w:val="19"/>
        </w:rPr>
        <w:t>Clause 18.2.3 — ISO 37001:2016 Anti-Bribery Management Systems: The internal accounting controls, gift thresholds, compliance registry logging, and whistleblower safe harbor mechanisms codified in Sections 3, 4, and 15 meet and exceed ISO 37001 standards for anti-bribery management.</w:t>
      </w:r>
    </w:p>
    <w:tbl>
      <w:tblPr>
        <w:tblW w:type="auto" w:w="0"/>
        <w:jc w:val="center"/>
        <w:tblLayout w:type="fixed"/>
        <w:tblLook w:firstColumn="1" w:firstRow="1" w:lastColumn="0" w:lastRow="0" w:noHBand="0" w:noVBand="1" w:val="04A0"/>
      </w:tblPr>
      <w:tblGrid>
        <w:gridCol w:w="9029"/>
      </w:tblGrid>
      <w:tr>
        <w:tc>
          <w:tcPr>
            <w:tcW w:type="dxa" w:w="9029"/>
            <w:shd w:fill="F2F6FA"/>
            <w:tcMar>
              <w:top w:w="120" w:type="dxa"/>
              <w:bottom w:w="120" w:type="dxa"/>
              <w:left w:w="150" w:type="dxa"/>
              <w:right w:w="150" w:type="dxa"/>
            </w:tcMar>
            <w:tcBorders>
              <w:top w:val="none"/>
              <w:left w:val="single" w:sz="24" w:space="0" w:color="0B2545"/>
              <w:bottom w:val="none"/>
              <w:right w:val="none"/>
            </w:tcBorders>
          </w:tcPr>
          <w:p>
            <w:pPr>
              <w:spacing w:before="0" w:after="60"/>
            </w:pPr>
            <w:r>
              <w:rPr>
                <w:rFonts w:ascii="Calibri" w:hAnsi="Calibri"/>
                <w:b/>
                <w:color w:val="0B2545"/>
                <w:sz w:val="19"/>
              </w:rPr>
              <w:t>[REGULATORY CONCORDANCE]</w:t>
              <w:br/>
            </w:r>
            <w:r>
              <w:rPr>
                <w:rFonts w:ascii="Calibri" w:hAnsi="Calibri"/>
                <w:color w:val="2D3237"/>
                <w:sz w:val="19"/>
              </w:rPr>
              <w:t>STATUTORY SUPREMACY CLAUSE: This policy reinforces and operationalizes all applicable statutory laws. In any instance where local statutory law establishes higher ethical or labor protections, local law takes precedence.</w:t>
            </w:r>
          </w:p>
        </w:tc>
      </w:tr>
    </w:tbl>
    <w:p>
      <w:pPr>
        <w:spacing w:before="0" w:after="80"/>
      </w:pPr>
    </w:p>
    <w:p>
      <w:r>
        <w:br w:type="page"/>
      </w:r>
    </w:p>
    <w:p>
      <w:pPr>
        <w:keepNext/>
        <w:spacing w:before="360" w:after="120"/>
      </w:pPr>
      <w:r>
        <w:rPr>
          <w:rFonts w:ascii="Calibri" w:hAnsi="Calibri"/>
          <w:b/>
          <w:color w:val="0B2545"/>
          <w:sz w:val="29"/>
        </w:rPr>
        <w:t>SECTION 19: APPENDIX B — MANDATORY POLICY ATTESTATION REGISTRY</w:t>
      </w:r>
    </w:p>
    <w:p>
      <w:pPr>
        <w:spacing w:before="0" w:after="100" w:line="276" w:lineRule="auto"/>
      </w:pPr>
      <w:r>
        <w:rPr>
          <w:rFonts w:ascii="Calibri" w:hAnsi="Calibri"/>
          <w:color w:val="2D3237"/>
          <w:sz w:val="19"/>
        </w:rPr>
        <w:t>Clause 19.1.1 — All newly appointed employees, executive officers, board directors, seconded staff, specialized consultants, and autonomous agent system owners must digitally execute this formal attestation within fourteen (14) calendar days of appointment or credential provisioning. Failure to execute initiates automated credential suspension under Enterprise Security Directive ISD-402.</w:t>
      </w:r>
    </w:p>
    <w:tbl>
      <w:tblPr>
        <w:tblW w:type="auto" w:w="0"/>
        <w:jc w:val="center"/>
        <w:tblLayout w:type="fixed"/>
        <w:tblLook w:firstColumn="1" w:firstRow="1" w:lastColumn="0" w:lastRow="0" w:noHBand="0" w:noVBand="1" w:val="04A0"/>
      </w:tblPr>
      <w:tblGrid>
        <w:gridCol w:w="4507"/>
        <w:gridCol w:w="4522"/>
      </w:tblGrid>
      <w:tr>
        <w:tc>
          <w:tcPr>
            <w:tcW w:type="dxa" w:w="4507"/>
            <w:shd w:fill="F7F9FB"/>
            <w:tcMar>
              <w:top w:w="90" w:type="dxa"/>
              <w:bottom w:w="90" w:type="dxa"/>
              <w:left w:w="110" w:type="dxa"/>
              <w:right w:w="110" w:type="dxa"/>
            </w:tcMar>
          </w:tcPr>
          <w:p>
            <w:pPr>
              <w:spacing w:before="0" w:after="0"/>
            </w:pPr>
            <w:r>
              <w:rPr>
                <w:rFonts w:ascii="Calibri" w:hAnsi="Calibri"/>
                <w:color w:val="2D3237"/>
                <w:sz w:val="17"/>
              </w:rPr>
              <w:t>Full Legal Employee Name:</w:t>
              <w:br/>
              <w:br/>
              <w:t>____________________________________________</w:t>
            </w:r>
          </w:p>
        </w:tc>
        <w:tc>
          <w:tcPr>
            <w:tcW w:type="dxa" w:w="4522"/>
            <w:shd w:fill="F7F9FB"/>
            <w:tcMar>
              <w:top w:w="90" w:type="dxa"/>
              <w:bottom w:w="90" w:type="dxa"/>
              <w:left w:w="110" w:type="dxa"/>
              <w:right w:w="110" w:type="dxa"/>
            </w:tcMar>
          </w:tcPr>
          <w:p>
            <w:pPr>
              <w:spacing w:before="0" w:after="0"/>
            </w:pPr>
            <w:r>
              <w:rPr>
                <w:rFonts w:ascii="Calibri" w:hAnsi="Calibri"/>
                <w:color w:val="2D3237"/>
                <w:sz w:val="17"/>
              </w:rPr>
              <w:t>Operating Company / Subsidiary Entity:</w:t>
              <w:br/>
              <w:br/>
              <w:t>____________________________________________</w:t>
            </w:r>
          </w:p>
        </w:tc>
      </w:tr>
      <w:tr>
        <w:tc>
          <w:tcPr>
            <w:tcW w:type="dxa" w:w="4507"/>
            <w:shd w:fill="FFFFFF"/>
            <w:tcMar>
              <w:top w:w="90" w:type="dxa"/>
              <w:bottom w:w="90" w:type="dxa"/>
              <w:left w:w="110" w:type="dxa"/>
              <w:right w:w="110" w:type="dxa"/>
            </w:tcMar>
          </w:tcPr>
          <w:p>
            <w:pPr>
              <w:spacing w:before="0" w:after="0"/>
            </w:pPr>
            <w:r>
              <w:rPr>
                <w:rFonts w:ascii="Calibri" w:hAnsi="Calibri"/>
                <w:color w:val="2D3237"/>
                <w:sz w:val="17"/>
              </w:rPr>
              <w:t>Enterprise ID / Global Employee UID:</w:t>
              <w:br/>
              <w:br/>
              <w:t>____________________________________________</w:t>
            </w:r>
          </w:p>
        </w:tc>
        <w:tc>
          <w:tcPr>
            <w:tcW w:type="dxa" w:w="4522"/>
            <w:shd w:fill="FFFFFF"/>
            <w:tcMar>
              <w:top w:w="90" w:type="dxa"/>
              <w:bottom w:w="90" w:type="dxa"/>
              <w:left w:w="110" w:type="dxa"/>
              <w:right w:w="110" w:type="dxa"/>
            </w:tcMar>
          </w:tcPr>
          <w:p>
            <w:pPr>
              <w:spacing w:before="0" w:after="0"/>
            </w:pPr>
            <w:r>
              <w:rPr>
                <w:rFonts w:ascii="Calibri" w:hAnsi="Calibri"/>
                <w:color w:val="2D3237"/>
                <w:sz w:val="17"/>
              </w:rPr>
              <w:t>Job Title / Corporate Function:</w:t>
              <w:br/>
              <w:br/>
              <w:t>____________________________________________</w:t>
            </w:r>
          </w:p>
        </w:tc>
      </w:tr>
      <w:tr>
        <w:tc>
          <w:tcPr>
            <w:tcW w:type="dxa" w:w="4507"/>
            <w:shd w:fill="F7F9FB"/>
            <w:tcMar>
              <w:top w:w="90" w:type="dxa"/>
              <w:bottom w:w="90" w:type="dxa"/>
              <w:left w:w="110" w:type="dxa"/>
              <w:right w:w="110" w:type="dxa"/>
            </w:tcMar>
          </w:tcPr>
          <w:p>
            <w:pPr>
              <w:spacing w:before="0" w:after="0"/>
            </w:pPr>
            <w:r>
              <w:rPr>
                <w:rFonts w:ascii="Calibri" w:hAnsi="Calibri"/>
                <w:color w:val="2D3237"/>
                <w:sz w:val="17"/>
              </w:rPr>
              <w:t>Assigned Business Unit / Department:</w:t>
              <w:br/>
              <w:br/>
              <w:t>____________________________________________</w:t>
            </w:r>
          </w:p>
        </w:tc>
        <w:tc>
          <w:tcPr>
            <w:tcW w:type="dxa" w:w="4522"/>
            <w:shd w:fill="F7F9FB"/>
            <w:tcMar>
              <w:top w:w="90" w:type="dxa"/>
              <w:bottom w:w="90" w:type="dxa"/>
              <w:left w:w="110" w:type="dxa"/>
              <w:right w:w="110" w:type="dxa"/>
            </w:tcMar>
          </w:tcPr>
          <w:p>
            <w:pPr>
              <w:spacing w:before="0" w:after="0"/>
            </w:pPr>
            <w:r>
              <w:rPr>
                <w:rFonts w:ascii="Calibri" w:hAnsi="Calibri"/>
                <w:color w:val="2D3237"/>
                <w:sz w:val="17"/>
              </w:rPr>
              <w:t>Work Location / Base Corporate Office:</w:t>
              <w:br/>
              <w:br/>
              <w:t>____________________________________________</w:t>
            </w:r>
          </w:p>
        </w:tc>
      </w:tr>
      <w:tr>
        <w:tc>
          <w:tcPr>
            <w:tcW w:type="dxa" w:w="4507"/>
            <w:shd w:fill="FFFFFF"/>
            <w:tcMar>
              <w:top w:w="90" w:type="dxa"/>
              <w:bottom w:w="90" w:type="dxa"/>
              <w:left w:w="110" w:type="dxa"/>
              <w:right w:w="110" w:type="dxa"/>
            </w:tcMar>
          </w:tcPr>
          <w:p>
            <w:pPr>
              <w:spacing w:before="0" w:after="0"/>
            </w:pPr>
            <w:r>
              <w:rPr>
                <w:rFonts w:ascii="Calibri" w:hAnsi="Calibri"/>
                <w:color w:val="2D3237"/>
                <w:sz w:val="17"/>
              </w:rPr>
              <w:t>Primary Work Model (Hybrid / On-Site / Remote):</w:t>
              <w:br/>
              <w:br/>
              <w:t>____________________________________________</w:t>
            </w:r>
          </w:p>
        </w:tc>
        <w:tc>
          <w:tcPr>
            <w:tcW w:type="dxa" w:w="4522"/>
            <w:shd w:fill="FFFFFF"/>
            <w:tcMar>
              <w:top w:w="90" w:type="dxa"/>
              <w:bottom w:w="90" w:type="dxa"/>
              <w:left w:w="110" w:type="dxa"/>
              <w:right w:w="110" w:type="dxa"/>
            </w:tcMar>
          </w:tcPr>
          <w:p>
            <w:pPr>
              <w:spacing w:before="0" w:after="0"/>
            </w:pPr>
            <w:r>
              <w:rPr>
                <w:rFonts w:ascii="Calibri" w:hAnsi="Calibri"/>
                <w:color w:val="2D3237"/>
                <w:sz w:val="17"/>
              </w:rPr>
              <w:t>Assigned Workstation Hostname / Serial No:</w:t>
              <w:br/>
              <w:br/>
              <w:t>____________________________________________</w:t>
            </w:r>
          </w:p>
        </w:tc>
      </w:tr>
      <w:tr>
        <w:tc>
          <w:tcPr>
            <w:tcW w:type="dxa" w:w="4507"/>
            <w:shd w:fill="F7F9FB"/>
            <w:tcMar>
              <w:top w:w="90" w:type="dxa"/>
              <w:bottom w:w="90" w:type="dxa"/>
              <w:left w:w="110" w:type="dxa"/>
              <w:right w:w="110" w:type="dxa"/>
            </w:tcMar>
          </w:tcPr>
          <w:p>
            <w:pPr>
              <w:spacing w:before="0" w:after="0"/>
            </w:pPr>
            <w:r>
              <w:rPr>
                <w:rFonts w:ascii="Calibri" w:hAnsi="Calibri"/>
                <w:color w:val="2D3237"/>
                <w:sz w:val="17"/>
              </w:rPr>
              <w:t>Conflict of Interest Declared (Yes / No):</w:t>
              <w:br/>
              <w:br/>
              <w:t>____________________________________________</w:t>
            </w:r>
          </w:p>
        </w:tc>
        <w:tc>
          <w:tcPr>
            <w:tcW w:type="dxa" w:w="4522"/>
            <w:shd w:fill="F7F9FB"/>
            <w:tcMar>
              <w:top w:w="90" w:type="dxa"/>
              <w:bottom w:w="90" w:type="dxa"/>
              <w:left w:w="110" w:type="dxa"/>
              <w:right w:w="110" w:type="dxa"/>
            </w:tcMar>
          </w:tcPr>
          <w:p>
            <w:pPr>
              <w:spacing w:before="0" w:after="0"/>
            </w:pPr>
            <w:r>
              <w:rPr>
                <w:rFonts w:ascii="Calibri" w:hAnsi="Calibri"/>
                <w:color w:val="2D3237"/>
                <w:sz w:val="17"/>
              </w:rPr>
              <w:t>Conflict Reference ID (if applicable):</w:t>
              <w:br/>
              <w:br/>
              <w:t>____________________________________________</w:t>
            </w:r>
          </w:p>
        </w:tc>
      </w:tr>
    </w:tbl>
    <w:p>
      <w:r>
        <w:br w:type="page"/>
      </w:r>
    </w:p>
    <w:p>
      <w:pPr>
        <w:keepNext/>
        <w:spacing w:before="260" w:after="80"/>
      </w:pPr>
      <w:r>
        <w:rPr>
          <w:rFonts w:ascii="Calibri" w:hAnsi="Calibri"/>
          <w:b/>
          <w:color w:val="136F63"/>
          <w:sz w:val="23"/>
        </w:rPr>
        <w:t>19.2 Formal Employee Acknowledgment &amp; Digital Sign-off</w:t>
      </w:r>
    </w:p>
    <w:p>
      <w:pPr>
        <w:spacing w:before="0" w:after="100" w:line="276" w:lineRule="auto"/>
      </w:pPr>
      <w:r>
        <w:rPr>
          <w:rFonts w:ascii="Calibri" w:hAnsi="Calibri"/>
          <w:color w:val="2D3237"/>
          <w:sz w:val="19"/>
        </w:rPr>
        <w:t>Clause 19.2.1 — Digital Execution Statement: By signing below, I certify that I have received, read, understood, and agree to abide by the G42 Global Code of Business Conduct, Ethics &amp; Workplace Standards (G42-POL-HR-004). I understand that compliance is a mandatory condition of my employment or engagement, and that violations will result in disciplinary action up to termination and legal prosecution.</w:t>
      </w:r>
    </w:p>
    <w:tbl>
      <w:tblPr>
        <w:tblW w:type="auto" w:w="0"/>
        <w:jc w:val="center"/>
        <w:tblLayout w:type="fixed"/>
        <w:tblLook w:firstColumn="1" w:firstRow="1" w:lastColumn="0" w:lastRow="0" w:noHBand="0" w:noVBand="1" w:val="04A0"/>
      </w:tblPr>
      <w:tblGrid>
        <w:gridCol w:w="4507"/>
        <w:gridCol w:w="4522"/>
      </w:tblGrid>
      <w:tr>
        <w:tc>
          <w:tcPr>
            <w:tcW w:type="dxa" w:w="4507"/>
            <w:shd w:fill="F7F9FB"/>
            <w:tcMar>
              <w:top w:w="90" w:type="dxa"/>
              <w:bottom w:w="90" w:type="dxa"/>
              <w:left w:w="110" w:type="dxa"/>
              <w:right w:w="110" w:type="dxa"/>
            </w:tcMar>
          </w:tcPr>
          <w:p>
            <w:pPr>
              <w:spacing w:before="0" w:after="0"/>
            </w:pPr>
            <w:r>
              <w:rPr>
                <w:rFonts w:ascii="Calibri" w:hAnsi="Calibri"/>
                <w:color w:val="2D3237"/>
                <w:sz w:val="17"/>
              </w:rPr>
              <w:t>Employee Digital Cryptographic Signature:</w:t>
              <w:br/>
              <w:br/>
              <w:t>____________________________________________</w:t>
            </w:r>
          </w:p>
        </w:tc>
        <w:tc>
          <w:tcPr>
            <w:tcW w:type="dxa" w:w="4522"/>
            <w:shd w:fill="F7F9FB"/>
            <w:tcMar>
              <w:top w:w="90" w:type="dxa"/>
              <w:bottom w:w="90" w:type="dxa"/>
              <w:left w:w="110" w:type="dxa"/>
              <w:right w:w="110" w:type="dxa"/>
            </w:tcMar>
          </w:tcPr>
          <w:p>
            <w:pPr>
              <w:spacing w:before="0" w:after="0"/>
            </w:pPr>
            <w:r>
              <w:rPr>
                <w:rFonts w:ascii="Calibri" w:hAnsi="Calibri"/>
                <w:color w:val="2D3237"/>
                <w:sz w:val="17"/>
              </w:rPr>
              <w:t>Date of Execution (DD/MM/YYYY):</w:t>
              <w:br/>
              <w:br/>
              <w:t>____________________________________________</w:t>
            </w:r>
          </w:p>
        </w:tc>
      </w:tr>
      <w:tr>
        <w:tc>
          <w:tcPr>
            <w:tcW w:type="dxa" w:w="4507"/>
            <w:shd w:fill="FFFFFF"/>
            <w:tcMar>
              <w:top w:w="90" w:type="dxa"/>
              <w:bottom w:w="90" w:type="dxa"/>
              <w:left w:w="110" w:type="dxa"/>
              <w:right w:w="110" w:type="dxa"/>
            </w:tcMar>
          </w:tcPr>
          <w:p>
            <w:pPr>
              <w:spacing w:before="0" w:after="0"/>
            </w:pPr>
            <w:r>
              <w:rPr>
                <w:rFonts w:ascii="Calibri" w:hAnsi="Calibri"/>
                <w:color w:val="2D3237"/>
                <w:sz w:val="17"/>
              </w:rPr>
              <w:t>Line Manager / Authorizing Lead Name:</w:t>
              <w:br/>
              <w:br/>
              <w:t>____________________________________________</w:t>
            </w:r>
          </w:p>
        </w:tc>
        <w:tc>
          <w:tcPr>
            <w:tcW w:type="dxa" w:w="4522"/>
            <w:shd w:fill="FFFFFF"/>
            <w:tcMar>
              <w:top w:w="90" w:type="dxa"/>
              <w:bottom w:w="90" w:type="dxa"/>
              <w:left w:w="110" w:type="dxa"/>
              <w:right w:w="110" w:type="dxa"/>
            </w:tcMar>
          </w:tcPr>
          <w:p>
            <w:pPr>
              <w:spacing w:before="0" w:after="0"/>
            </w:pPr>
            <w:r>
              <w:rPr>
                <w:rFonts w:ascii="Calibri" w:hAnsi="Calibri"/>
                <w:color w:val="2D3237"/>
                <w:sz w:val="17"/>
              </w:rPr>
              <w:t>Manager Approval Signature &amp; Date:</w:t>
              <w:br/>
              <w:br/>
              <w:t>____________________________________________</w:t>
            </w:r>
          </w:p>
        </w:tc>
      </w:tr>
      <w:tr>
        <w:tc>
          <w:tcPr>
            <w:tcW w:type="dxa" w:w="4507"/>
            <w:shd w:fill="F7F9FB"/>
            <w:tcMar>
              <w:top w:w="90" w:type="dxa"/>
              <w:bottom w:w="90" w:type="dxa"/>
              <w:left w:w="110" w:type="dxa"/>
              <w:right w:w="110" w:type="dxa"/>
            </w:tcMar>
          </w:tcPr>
          <w:p>
            <w:pPr>
              <w:spacing w:before="0" w:after="0"/>
            </w:pPr>
            <w:r>
              <w:rPr>
                <w:rFonts w:ascii="Calibri" w:hAnsi="Calibri"/>
                <w:color w:val="2D3237"/>
                <w:sz w:val="17"/>
              </w:rPr>
              <w:t>OpCo Head of People &amp; Culture (HR) Name:</w:t>
              <w:br/>
              <w:br/>
              <w:t>____________________________________________</w:t>
            </w:r>
          </w:p>
        </w:tc>
        <w:tc>
          <w:tcPr>
            <w:tcW w:type="dxa" w:w="4522"/>
            <w:shd w:fill="F7F9FB"/>
            <w:tcMar>
              <w:top w:w="90" w:type="dxa"/>
              <w:bottom w:w="90" w:type="dxa"/>
              <w:left w:w="110" w:type="dxa"/>
              <w:right w:w="110" w:type="dxa"/>
            </w:tcMar>
          </w:tcPr>
          <w:p>
            <w:pPr>
              <w:spacing w:before="0" w:after="0"/>
            </w:pPr>
            <w:r>
              <w:rPr>
                <w:rFonts w:ascii="Calibri" w:hAnsi="Calibri"/>
                <w:color w:val="2D3237"/>
                <w:sz w:val="17"/>
              </w:rPr>
              <w:t>HR Counter-Signature &amp; Date:</w:t>
              <w:br/>
              <w:br/>
              <w:t>____________________________________________</w:t>
            </w:r>
          </w:p>
        </w:tc>
      </w:tr>
      <w:tr>
        <w:tc>
          <w:tcPr>
            <w:tcW w:type="dxa" w:w="4507"/>
            <w:shd w:fill="FFFFFF"/>
            <w:tcMar>
              <w:top w:w="90" w:type="dxa"/>
              <w:bottom w:w="90" w:type="dxa"/>
              <w:left w:w="110" w:type="dxa"/>
              <w:right w:w="110" w:type="dxa"/>
            </w:tcMar>
          </w:tcPr>
          <w:p>
            <w:pPr>
              <w:spacing w:before="0" w:after="0"/>
            </w:pPr>
            <w:r>
              <w:rPr>
                <w:rFonts w:ascii="Calibri" w:hAnsi="Calibri"/>
                <w:color w:val="2D3237"/>
                <w:sz w:val="17"/>
              </w:rPr>
              <w:t>Group Chief Compliance Officer (CCO) Delegate:</w:t>
              <w:br/>
              <w:br/>
              <w:t>____________________________________________</w:t>
            </w:r>
          </w:p>
        </w:tc>
        <w:tc>
          <w:tcPr>
            <w:tcW w:type="dxa" w:w="4522"/>
            <w:shd w:fill="FFFFFF"/>
            <w:tcMar>
              <w:top w:w="90" w:type="dxa"/>
              <w:bottom w:w="90" w:type="dxa"/>
              <w:left w:w="110" w:type="dxa"/>
              <w:right w:w="110" w:type="dxa"/>
            </w:tcMar>
          </w:tcPr>
          <w:p>
            <w:pPr>
              <w:spacing w:before="0" w:after="0"/>
            </w:pPr>
            <w:r>
              <w:rPr>
                <w:rFonts w:ascii="Calibri" w:hAnsi="Calibri"/>
                <w:color w:val="2D3237"/>
                <w:sz w:val="17"/>
              </w:rPr>
              <w:t>Compliance Counter-Signature &amp; Date:</w:t>
              <w:br/>
              <w:br/>
              <w:t>____________________________________________</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8C"/>
        <w:sz w:val="17"/>
      </w:rPr>
      <w:t xml:space="preserve">CLASSIFICATION: CONFIDENTIAL (LEVEL 3)  |  TAXONOMY: [GROUP-LEVEL]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G42 GROUP POLICY  |  G42-POL-HR-004  |  GLOBAL CODE OF CONDUCT &amp; ETHICS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