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136F63"/>
          <w:sz w:val="22"/>
        </w:rPr>
        <w:t>G42 HOLDING LLC  |  GROUP CORPORATE GOVERNANCE</w:t>
      </w:r>
    </w:p>
    <w:p>
      <w:pPr>
        <w:spacing w:before="80" w:after="160"/>
      </w:pPr>
      <w:r>
        <w:rPr>
          <w:rFonts w:ascii="Calibri" w:hAnsi="Calibri"/>
          <w:b/>
          <w:color w:val="0B2545"/>
          <w:sz w:val="44"/>
        </w:rPr>
        <w:t>GROUP RESPONSIBLE ARTIFICIAL INTELLIGENCE &amp; FRONTIER MODEL GOVERNANCE POLICY</w:t>
      </w:r>
    </w:p>
    <w:p>
      <w:pPr>
        <w:spacing w:before="0" w:after="400"/>
      </w:pPr>
      <w:r>
        <w:rPr>
          <w:rFonts w:ascii="Calibri" w:hAnsi="Calibri"/>
          <w:color w:val="465A6E"/>
          <w:sz w:val="21"/>
        </w:rPr>
        <w:t>A binding enterprise-wide governance standard setting the foundational ethical, safety, risk-classification, validation, alignment, and operational requirements for artificial intelligence systems, foundation models, generative pipelines, and autonomous agents developed, trained, fine-tuned, hosted, or procured across G42 and its subsidiaries.</w:t>
      </w:r>
    </w:p>
    <w:tbl>
      <w:tblPr>
        <w:tblW w:type="auto" w:w="0"/>
        <w:jc w:val="center"/>
        <w:tblLayout w:type="fixed"/>
        <w:tblLook w:firstColumn="1" w:firstRow="1" w:lastColumn="0" w:lastRow="0" w:noHBand="0" w:noVBand="1" w:val="04A0"/>
      </w:tblPr>
      <w:tblGrid>
        <w:gridCol w:w="3024"/>
        <w:gridCol w:w="6005"/>
      </w:tblGrid>
      <w:tr>
        <w:tc>
          <w:tcPr>
            <w:tcW w:type="dxa" w:w="3024"/>
            <w:shd w:fill="0B2545"/>
            <w:tcMar>
              <w:top w:w="120" w:type="dxa"/>
              <w:bottom w:w="120" w:type="dxa"/>
              <w:left w:w="130" w:type="dxa"/>
              <w:right w:w="130" w:type="dxa"/>
            </w:tcMar>
          </w:tcPr>
          <w:p>
            <w:pPr>
              <w:spacing w:before="0" w:after="0"/>
              <w:jc w:val="left"/>
            </w:pPr>
            <w:r>
              <w:rPr>
                <w:rFonts w:ascii="Calibri" w:hAnsi="Calibri"/>
                <w:b/>
                <w:color w:val="FFFFFF"/>
                <w:sz w:val="18"/>
              </w:rPr>
              <w:t>Metadata Schema Attribute</w:t>
            </w:r>
          </w:p>
        </w:tc>
        <w:tc>
          <w:tcPr>
            <w:tcW w:type="dxa" w:w="6005"/>
            <w:shd w:fill="0B2545"/>
            <w:tcMar>
              <w:top w:w="120" w:type="dxa"/>
              <w:bottom w:w="120" w:type="dxa"/>
              <w:left w:w="130" w:type="dxa"/>
              <w:right w:w="130" w:type="dxa"/>
            </w:tcMar>
          </w:tcPr>
          <w:p>
            <w:pPr>
              <w:spacing w:before="0" w:after="0"/>
              <w:jc w:val="left"/>
            </w:pPr>
            <w:r>
              <w:rPr>
                <w:rFonts w:ascii="Calibri" w:hAnsi="Calibri"/>
                <w:b/>
                <w:color w:val="FFFFFF"/>
                <w:sz w:val="18"/>
              </w:rPr>
              <w:t>Enterprise Policy Specification Value</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Document Identifier</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G42-POL-RAI-001</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Document Title</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Group Responsible Artificial Intelligence &amp; Frontier Model Governance Policy</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Document Type</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Group Enterprise Policy (Mandatory Tier-1 Standard)</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Taxonomy Classification</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GROUP-LEVEL (Universally Applicable Across Group &amp; All OpCos)</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Document Owner</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Group AI Ethics &amp; Safety Board / Group Chief AI Officer (CAIO)</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Issuing Body</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G42 Group Corporate Governance Committee &amp; Board Risk Council</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Approval Status</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Approved &amp; Formally Ratified</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Effective Date</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January 15, 2026</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Last Review Date</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January 10, 2026</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Next Mandatory Review</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January 15, 2027 (Annual Cycle or upon Triggering Regulatory Event)</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Target Entities / Scope</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G42 Holding LLC, Core42, Inception (IIAI), Presight AI, AIQ, Khazna, Space42, Joint Ventures &amp; Autonomous Agents</w:t>
            </w:r>
          </w:p>
        </w:tc>
      </w:tr>
      <w:tr>
        <w:tc>
          <w:tcPr>
            <w:tcW w:type="dxa" w:w="3024"/>
            <w:shd w:fill="F7F9FB"/>
            <w:tcMar>
              <w:top w:w="95" w:type="dxa"/>
              <w:bottom w:w="95" w:type="dxa"/>
              <w:left w:w="130" w:type="dxa"/>
              <w:right w:w="130" w:type="dxa"/>
            </w:tcMar>
          </w:tcPr>
          <w:p>
            <w:pPr>
              <w:spacing w:before="0" w:after="0"/>
            </w:pPr>
            <w:r>
              <w:rPr>
                <w:rFonts w:ascii="Calibri" w:hAnsi="Calibri"/>
                <w:color w:val="2D3237"/>
                <w:sz w:val="17"/>
              </w:rPr>
              <w:t>Security Classification</w:t>
            </w:r>
          </w:p>
        </w:tc>
        <w:tc>
          <w:tcPr>
            <w:tcW w:type="dxa" w:w="6005"/>
            <w:shd w:fill="F7F9FB"/>
            <w:tcMar>
              <w:top w:w="95" w:type="dxa"/>
              <w:bottom w:w="95" w:type="dxa"/>
              <w:left w:w="130" w:type="dxa"/>
              <w:right w:w="130" w:type="dxa"/>
            </w:tcMar>
          </w:tcPr>
          <w:p>
            <w:pPr>
              <w:spacing w:before="0" w:after="0"/>
            </w:pPr>
            <w:r>
              <w:rPr>
                <w:rFonts w:ascii="Calibri" w:hAnsi="Calibri"/>
                <w:color w:val="2D3237"/>
                <w:sz w:val="17"/>
              </w:rPr>
              <w:t>CONFIDENTIAL / INTERNAL ENTERPRISE STANDARD - LEVEL 3 RESTRICTED</w:t>
            </w:r>
          </w:p>
        </w:tc>
      </w:tr>
      <w:tr>
        <w:tc>
          <w:tcPr>
            <w:tcW w:type="dxa" w:w="3024"/>
            <w:shd w:fill="FFFFFF"/>
            <w:tcMar>
              <w:top w:w="95" w:type="dxa"/>
              <w:bottom w:w="95" w:type="dxa"/>
              <w:left w:w="130" w:type="dxa"/>
              <w:right w:w="130" w:type="dxa"/>
            </w:tcMar>
          </w:tcPr>
          <w:p>
            <w:pPr>
              <w:spacing w:before="0" w:after="0"/>
            </w:pPr>
            <w:r>
              <w:rPr>
                <w:rFonts w:ascii="Calibri" w:hAnsi="Calibri"/>
                <w:color w:val="2D3237"/>
                <w:sz w:val="17"/>
              </w:rPr>
              <w:t>Version &amp; Build</w:t>
            </w:r>
          </w:p>
        </w:tc>
        <w:tc>
          <w:tcPr>
            <w:tcW w:type="dxa" w:w="6005"/>
            <w:shd w:fill="FFFFFF"/>
            <w:tcMar>
              <w:top w:w="95" w:type="dxa"/>
              <w:bottom w:w="95" w:type="dxa"/>
              <w:left w:w="130" w:type="dxa"/>
              <w:right w:w="130" w:type="dxa"/>
            </w:tcMar>
          </w:tcPr>
          <w:p>
            <w:pPr>
              <w:spacing w:before="0" w:after="0"/>
            </w:pPr>
            <w:r>
              <w:rPr>
                <w:rFonts w:ascii="Calibri" w:hAnsi="Calibri"/>
                <w:color w:val="2D3237"/>
                <w:sz w:val="17"/>
              </w:rPr>
              <w:t>Version 4.2.0 (Post-Consolidation Release)</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[GOVERNANCE MANDATE]</w:t>
              <w:br/>
            </w:r>
            <w:r>
              <w:rPr>
                <w:rFonts w:ascii="Calibri" w:hAnsi="Calibri"/>
                <w:color w:val="2D3237"/>
                <w:sz w:val="19"/>
              </w:rPr>
              <w:t>MANDATORY GROUP-WIDE COMPLIANCE DIRECTIVE: This document constitutes a Tier-1 Group Policy under G42 Corporate Charter Article 9. All business unit heads, chief technology officers, research scientists, machine learning engineers, external contractors, and autonomous agent instances (including Sage Agent) must strictly comply with the controls, verification protocols, and ethical mandates specified herein. Compliance is audited quarterly by the Group Internal Audit Directorate and the Group AI Safety Board.</w:t>
            </w:r>
          </w:p>
        </w:tc>
      </w:tr>
    </w:tbl>
    <w:p>
      <w:pPr>
        <w:spacing w:before="0" w:after="80"/>
      </w:pPr>
    </w:p>
    <w:p>
      <w:r>
        <w:br w:type="page"/>
      </w:r>
    </w:p>
    <w:p>
      <w:pPr>
        <w:keepNext/>
        <w:spacing w:before="400" w:after="120"/>
      </w:pPr>
      <w:r>
        <w:rPr>
          <w:rFonts w:ascii="Calibri" w:hAnsi="Calibri"/>
          <w:b/>
          <w:color w:val="0B2545"/>
          <w:sz w:val="30"/>
        </w:rPr>
        <w:t>TABLE OF CONTENTS &amp; DOCUMENT ROADMAP</w:t>
      </w:r>
    </w:p>
    <w:p>
      <w:pPr>
        <w:spacing w:before="0" w:after="120" w:line="276" w:lineRule="auto"/>
      </w:pPr>
      <w:r>
        <w:rPr>
          <w:rFonts w:ascii="Calibri" w:hAnsi="Calibri"/>
          <w:color w:val="2D3237"/>
          <w:sz w:val="20"/>
        </w:rPr>
        <w:t>This policy document is structured into twelve discrete, clause-governed sections designed to facilitate automated ingestion, hierarchical parsing, semantic chunking, and verifiable knowledge graph traversal in downstream governance engines and autonomous retrieval architectures (such as Sage Agent).</w:t>
      </w:r>
    </w:p>
    <w:tbl>
      <w:tblPr>
        <w:tblW w:type="auto" w:w="0"/>
        <w:jc w:val="center"/>
        <w:tblLayout w:type="fixed"/>
        <w:tblLook w:firstColumn="1" w:firstRow="1" w:lastColumn="0" w:lastRow="0" w:noHBand="0" w:noVBand="1" w:val="04A0"/>
      </w:tblPr>
      <w:tblGrid>
        <w:gridCol w:w="1440"/>
        <w:gridCol w:w="3168"/>
        <w:gridCol w:w="1152"/>
        <w:gridCol w:w="3269"/>
      </w:tblGrid>
      <w:tr>
        <w:tc>
          <w:tcPr>
            <w:tcW w:type="dxa" w:w="1440"/>
            <w:shd w:fill="0B2545"/>
            <w:tcMar>
              <w:top w:w="120" w:type="dxa"/>
              <w:bottom w:w="120" w:type="dxa"/>
              <w:left w:w="130" w:type="dxa"/>
              <w:right w:w="130" w:type="dxa"/>
            </w:tcMar>
          </w:tcPr>
          <w:p>
            <w:pPr>
              <w:spacing w:before="0" w:after="0"/>
              <w:jc w:val="left"/>
            </w:pPr>
            <w:r>
              <w:rPr>
                <w:rFonts w:ascii="Calibri" w:hAnsi="Calibri"/>
                <w:b/>
                <w:color w:val="FFFFFF"/>
                <w:sz w:val="18"/>
              </w:rPr>
              <w:t>Section Ref</w:t>
            </w:r>
          </w:p>
        </w:tc>
        <w:tc>
          <w:tcPr>
            <w:tcW w:type="dxa" w:w="3168"/>
            <w:shd w:fill="0B2545"/>
            <w:tcMar>
              <w:top w:w="120" w:type="dxa"/>
              <w:bottom w:w="120" w:type="dxa"/>
              <w:left w:w="130" w:type="dxa"/>
              <w:right w:w="130" w:type="dxa"/>
            </w:tcMar>
          </w:tcPr>
          <w:p>
            <w:pPr>
              <w:spacing w:before="0" w:after="0"/>
              <w:jc w:val="left"/>
            </w:pPr>
            <w:r>
              <w:rPr>
                <w:rFonts w:ascii="Calibri" w:hAnsi="Calibri"/>
                <w:b/>
                <w:color w:val="FFFFFF"/>
                <w:sz w:val="18"/>
              </w:rPr>
              <w:t>Section Title &amp; Domain</w:t>
            </w:r>
          </w:p>
        </w:tc>
        <w:tc>
          <w:tcPr>
            <w:tcW w:type="dxa" w:w="1152"/>
            <w:shd w:fill="0B2545"/>
            <w:tcMar>
              <w:top w:w="120" w:type="dxa"/>
              <w:bottom w:w="120" w:type="dxa"/>
              <w:left w:w="130" w:type="dxa"/>
              <w:right w:w="130" w:type="dxa"/>
            </w:tcMar>
          </w:tcPr>
          <w:p>
            <w:pPr>
              <w:spacing w:before="0" w:after="0"/>
              <w:jc w:val="left"/>
            </w:pPr>
            <w:r>
              <w:rPr>
                <w:rFonts w:ascii="Calibri" w:hAnsi="Calibri"/>
                <w:b/>
                <w:color w:val="FFFFFF"/>
                <w:sz w:val="18"/>
              </w:rPr>
              <w:t>Pagination</w:t>
            </w:r>
          </w:p>
        </w:tc>
        <w:tc>
          <w:tcPr>
            <w:tcW w:type="dxa" w:w="3269"/>
            <w:shd w:fill="0B2545"/>
            <w:tcMar>
              <w:top w:w="120" w:type="dxa"/>
              <w:bottom w:w="120" w:type="dxa"/>
              <w:left w:w="130" w:type="dxa"/>
              <w:right w:w="130" w:type="dxa"/>
            </w:tcMar>
          </w:tcPr>
          <w:p>
            <w:pPr>
              <w:spacing w:before="0" w:after="0"/>
              <w:jc w:val="left"/>
            </w:pPr>
            <w:r>
              <w:rPr>
                <w:rFonts w:ascii="Calibri" w:hAnsi="Calibri"/>
                <w:b/>
                <w:color w:val="FFFFFF"/>
                <w:sz w:val="18"/>
              </w:rPr>
              <w:t>Structural Scope &amp; Clause Overview</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Purpose, Vision &amp; Foundational Ethical Pillars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3</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Defines the core ethical mandate, corporate vision, and non-negotiable principles.</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2</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Scope, Applicability &amp; Subsidiary Governance Hierarchy</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5</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Establishes entity-level applicability across Core42, Presight, Inception, AIQ, Khazna, Space42.</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3</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AI Risk Tiering &amp; Classification Framework (EAI-RTF)</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7</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4-tier risk classification matrix (Tier 1 Critical to Tier 4 Low Risk) and conformity gateways.</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4</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Prohibited &amp; Unacceptable AI Use Cases</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10</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Explicit, zero-tolerance prohibitions under UAE law, EU AI Act, and G42 Ethical Charter.</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5</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Responsible AI Engineering Lifecycle (MLOps &amp; LLMOps)</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12</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Data ingestion, provenance, synthetic training, pre-training hygiene, and checkpoint controls.</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6</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Model Alignment, Evaluation &amp; Red-Teaming Mandates</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15</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Benchmarking standards, adversarial jailbreak testing, toxicity scanning, and bias mitigation.</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7</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Autonomous Agent Governance &amp; Sandboxing (Sage Agent Framework)</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18</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Machine identity, least-privilege tool calling, recursion caps, and hardware kill-switch protocols.</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8</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Human-in-the-Loop (HITL) &amp; Meaningful Oversight Controls</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21</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Mandatory human escalation thresholds, dual-key authorizations, and operational overrides.</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9</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Transparency, Model Cards &amp; Algorithmic Explainability</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23</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Standardized Model Cards, System Cards, consumer disclosures, and decision explainability.</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10</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Continuous Monitoring, Telemetry, Drift &amp; Incident Response</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25</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Production telemetry, drift triggers, 5% deviation rule, and AI incident escalation tiers.</w:t>
            </w:r>
          </w:p>
        </w:tc>
      </w:tr>
      <w:tr>
        <w:tc>
          <w:tcPr>
            <w:tcW w:type="dxa" w:w="1440"/>
            <w:shd w:fill="FFFFFF"/>
            <w:tcMar>
              <w:top w:w="95" w:type="dxa"/>
              <w:bottom w:w="95" w:type="dxa"/>
              <w:left w:w="130" w:type="dxa"/>
              <w:right w:w="130" w:type="dxa"/>
            </w:tcMar>
          </w:tcPr>
          <w:p>
            <w:pPr>
              <w:spacing w:before="0" w:after="0"/>
            </w:pPr>
            <w:r>
              <w:rPr>
                <w:rFonts w:ascii="Calibri" w:hAnsi="Calibri"/>
                <w:color w:val="2D3237"/>
                <w:sz w:val="17"/>
              </w:rPr>
              <w:t>Section 11</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Enforcement, Disciplinary Actions &amp; Whistleblower Safe Harbor</w:t>
            </w:r>
          </w:p>
        </w:tc>
        <w:tc>
          <w:tcPr>
            <w:tcW w:type="dxa" w:w="1152"/>
            <w:shd w:fill="FFFFFF"/>
            <w:tcMar>
              <w:top w:w="95" w:type="dxa"/>
              <w:bottom w:w="95" w:type="dxa"/>
              <w:left w:w="130" w:type="dxa"/>
              <w:right w:w="130" w:type="dxa"/>
            </w:tcMar>
          </w:tcPr>
          <w:p>
            <w:pPr>
              <w:spacing w:before="0" w:after="0"/>
            </w:pPr>
            <w:r>
              <w:rPr>
                <w:rFonts w:ascii="Calibri" w:hAnsi="Calibri"/>
                <w:color w:val="2D3237"/>
                <w:sz w:val="17"/>
              </w:rPr>
              <w:t>Page 27</w:t>
            </w:r>
          </w:p>
        </w:tc>
        <w:tc>
          <w:tcPr>
            <w:tcW w:type="dxa" w:w="3269"/>
            <w:shd w:fill="FFFFFF"/>
            <w:tcMar>
              <w:top w:w="95" w:type="dxa"/>
              <w:bottom w:w="95" w:type="dxa"/>
              <w:left w:w="130" w:type="dxa"/>
              <w:right w:w="130" w:type="dxa"/>
            </w:tcMar>
          </w:tcPr>
          <w:p>
            <w:pPr>
              <w:spacing w:before="0" w:after="0"/>
            </w:pPr>
            <w:r>
              <w:rPr>
                <w:rFonts w:ascii="Calibri" w:hAnsi="Calibri"/>
                <w:color w:val="2D3237"/>
                <w:sz w:val="17"/>
              </w:rPr>
              <w:t>Compliance audit trails, severity violation matrix, non-retaliation, and EthicsPoint hotline.</w:t>
            </w:r>
          </w:p>
        </w:tc>
      </w:tr>
      <w:tr>
        <w:tc>
          <w:tcPr>
            <w:tcW w:type="dxa" w:w="1440"/>
            <w:shd w:fill="F7F9FB"/>
            <w:tcMar>
              <w:top w:w="95" w:type="dxa"/>
              <w:bottom w:w="95" w:type="dxa"/>
              <w:left w:w="130" w:type="dxa"/>
              <w:right w:w="130" w:type="dxa"/>
            </w:tcMar>
          </w:tcPr>
          <w:p>
            <w:pPr>
              <w:spacing w:before="0" w:after="0"/>
            </w:pPr>
            <w:r>
              <w:rPr>
                <w:rFonts w:ascii="Calibri" w:hAnsi="Calibri"/>
                <w:color w:val="2D3237"/>
                <w:sz w:val="17"/>
              </w:rPr>
              <w:t>Section 12</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Appendix: Regulatory Concordance, Definitions &amp; Attestation Registry</w:t>
            </w:r>
          </w:p>
        </w:tc>
        <w:tc>
          <w:tcPr>
            <w:tcW w:type="dxa" w:w="1152"/>
            <w:shd w:fill="F7F9FB"/>
            <w:tcMar>
              <w:top w:w="95" w:type="dxa"/>
              <w:bottom w:w="95" w:type="dxa"/>
              <w:left w:w="130" w:type="dxa"/>
              <w:right w:w="130" w:type="dxa"/>
            </w:tcMar>
          </w:tcPr>
          <w:p>
            <w:pPr>
              <w:spacing w:before="0" w:after="0"/>
            </w:pPr>
            <w:r>
              <w:rPr>
                <w:rFonts w:ascii="Calibri" w:hAnsi="Calibri"/>
                <w:color w:val="2D3237"/>
                <w:sz w:val="17"/>
              </w:rPr>
              <w:t>Page 29</w:t>
            </w:r>
          </w:p>
        </w:tc>
        <w:tc>
          <w:tcPr>
            <w:tcW w:type="dxa" w:w="3269"/>
            <w:shd w:fill="F7F9FB"/>
            <w:tcMar>
              <w:top w:w="95" w:type="dxa"/>
              <w:bottom w:w="95" w:type="dxa"/>
              <w:left w:w="130" w:type="dxa"/>
              <w:right w:w="130" w:type="dxa"/>
            </w:tcMar>
          </w:tcPr>
          <w:p>
            <w:pPr>
              <w:spacing w:before="0" w:after="0"/>
            </w:pPr>
            <w:r>
              <w:rPr>
                <w:rFonts w:ascii="Calibri" w:hAnsi="Calibri"/>
                <w:color w:val="2D3237"/>
                <w:sz w:val="17"/>
              </w:rPr>
              <w:t>Statutory mapping (UAE AI Strategy, ISO 42001, EU AI Act, NIST AI RMF) and execution block.</w:t>
            </w:r>
          </w:p>
        </w:tc>
      </w:tr>
    </w:tbl>
    <w:p>
      <w:pPr>
        <w:spacing w:before="0" w:after="80"/>
      </w:pPr>
    </w:p>
    <w:p>
      <w:r>
        <w:br w:type="page"/>
      </w:r>
    </w:p>
    <w:p>
      <w:pPr>
        <w:keepNext/>
        <w:spacing w:before="400" w:after="120"/>
      </w:pPr>
      <w:r>
        <w:rPr>
          <w:rFonts w:ascii="Calibri" w:hAnsi="Calibri"/>
          <w:b/>
          <w:color w:val="0B2545"/>
          <w:sz w:val="30"/>
        </w:rPr>
        <w:t>SECTION 1: PURPOSE, VISION &amp; FOUNDATIONAL ETHICAL PILLARS</w:t>
      </w:r>
    </w:p>
    <w:p>
      <w:pPr>
        <w:keepNext/>
        <w:spacing w:before="280" w:after="80"/>
      </w:pPr>
      <w:r>
        <w:rPr>
          <w:rFonts w:ascii="Calibri" w:hAnsi="Calibri"/>
          <w:b/>
          <w:color w:val="136F63"/>
          <w:sz w:val="24"/>
        </w:rPr>
        <w:t>1.1 Executive Statement &amp; Corporate Purpose</w:t>
      </w:r>
    </w:p>
    <w:p>
      <w:pPr>
        <w:spacing w:before="0" w:after="120" w:line="276" w:lineRule="auto"/>
      </w:pPr>
      <w:r>
        <w:rPr>
          <w:rFonts w:ascii="Calibri" w:hAnsi="Calibri"/>
          <w:color w:val="2D3237"/>
          <w:sz w:val="20"/>
        </w:rPr>
        <w:t>Clause 1.1.1 — G42 Holding LLC ('G42' or the 'Group') operates at the absolute vanguard of artificial intelligence, cloud supercomputing, sovereign digital infrastructure, and cognitive technologies. Headquartered in Abu Dhabi, United Arab Emirates, G42 builds hyperscale technological ecosystems intended to accelerate human progress, transform public services, pioneer planetary-scale healthcare discoveries, optimize sustainable energy transitions, and unlock new frontiers in space exploration. With this expansive technological capability comes profound institutional, ethical, and societal responsibility.</w:t>
      </w:r>
    </w:p>
    <w:p>
      <w:pPr>
        <w:spacing w:before="0" w:after="120" w:line="276" w:lineRule="auto"/>
      </w:pPr>
      <w:r>
        <w:rPr>
          <w:rFonts w:ascii="Calibri" w:hAnsi="Calibri"/>
          <w:color w:val="2D3237"/>
          <w:sz w:val="20"/>
        </w:rPr>
        <w:t>Clause 1.1.2 — The purpose of this Group Responsible Artificial Intelligence &amp; Frontier Model Governance Policy (G42-POL-RAI-001) is to establish an unyielding governance baseline across all foundational model development, pre-training, fine-tuning, domain adaptation, infrastructure orchestration, commercial deployment, and autonomous agent operations. This policy guarantees that every algorithmic output, synthetic data pipeline, and cognitive workflow bearing the G42 name adheres uncompromisingly to the highest standards of safety, human alignment, robust security, fairness, explainability, and sovereign compliance.</w:t>
      </w:r>
    </w:p>
    <w:p>
      <w:pPr>
        <w:keepNext/>
        <w:spacing w:before="280" w:after="80"/>
      </w:pPr>
      <w:r>
        <w:rPr>
          <w:rFonts w:ascii="Calibri" w:hAnsi="Calibri"/>
          <w:b/>
          <w:color w:val="136F63"/>
          <w:sz w:val="24"/>
        </w:rPr>
        <w:t>1.2 The Five Non-Negotiable Core Ethical Pillars</w:t>
      </w:r>
    </w:p>
    <w:p>
      <w:pPr>
        <w:spacing w:before="0" w:after="120" w:line="276" w:lineRule="auto"/>
      </w:pPr>
      <w:r>
        <w:rPr>
          <w:rFonts w:ascii="Calibri" w:hAnsi="Calibri"/>
          <w:color w:val="2D3237"/>
          <w:sz w:val="20"/>
        </w:rPr>
        <w:t>Clause 1.2.1 — All engineering teams, research institutes, product managers, executive directors, and automated orchestration systems across the Group must govern their AI development through five non-negotiable ethical pillars. These pillars constitute absolute design constraints that cannot be waived or compromised for commercial expediency:</w:t>
      </w:r>
    </w:p>
    <w:p>
      <w:pPr>
        <w:pStyle w:val="ListBullet"/>
        <w:spacing w:before="0" w:after="60" w:line="276" w:lineRule="auto"/>
      </w:pPr>
      <w:r>
        <w:rPr>
          <w:rFonts w:ascii="Calibri" w:hAnsi="Calibri"/>
          <w:b/>
          <w:color w:val="2D3237"/>
          <w:sz w:val="20"/>
        </w:rPr>
        <w:t xml:space="preserve">Pillar 1: Transparency &amp; Algorithmic Explainability (TAE): </w:t>
      </w:r>
      <w:r>
        <w:rPr>
          <w:rFonts w:ascii="Calibri" w:hAnsi="Calibri"/>
          <w:color w:val="2D3237"/>
          <w:sz w:val="20"/>
        </w:rPr>
        <w:t>All AI systems must provide mathematical or semantic interpretability, verifiable decision trees, and auditable reasoning paths for consequential enterprise decisions. Generative AI systems must explicitly disclose their synthetic nature to end-users and provide complete provenance regarding training corpora and retrieval sources.</w:t>
      </w:r>
    </w:p>
    <w:p>
      <w:pPr>
        <w:pStyle w:val="ListBullet"/>
        <w:spacing w:before="0" w:after="60" w:line="276" w:lineRule="auto"/>
      </w:pPr>
      <w:r>
        <w:rPr>
          <w:rFonts w:ascii="Calibri" w:hAnsi="Calibri"/>
          <w:b/>
          <w:color w:val="2D3237"/>
          <w:sz w:val="20"/>
        </w:rPr>
        <w:t xml:space="preserve">Pillar 2: Fairness, Cultural Representation &amp; Demographic Inclusivity (FCDI): </w:t>
      </w:r>
      <w:r>
        <w:rPr>
          <w:rFonts w:ascii="Calibri" w:hAnsi="Calibri"/>
          <w:color w:val="2D3237"/>
          <w:sz w:val="20"/>
        </w:rPr>
        <w:t>Models must be actively engineered and continuously tested to prevent unlawful discrimination, systemic bias, or disparate impact across diverse demographic, cultural, ethnic, and linguistic groups. Foundational models (such as the Jais bilingual LLM family) must embody rich cultural nuance while adhering to universal fairness baselines.</w:t>
      </w:r>
    </w:p>
    <w:p>
      <w:pPr>
        <w:pStyle w:val="ListBullet"/>
        <w:spacing w:before="0" w:after="60" w:line="276" w:lineRule="auto"/>
      </w:pPr>
      <w:r>
        <w:rPr>
          <w:rFonts w:ascii="Calibri" w:hAnsi="Calibri"/>
          <w:b/>
          <w:color w:val="2D3237"/>
          <w:sz w:val="20"/>
        </w:rPr>
        <w:t xml:space="preserve">Pillar 3: Data Privacy, Sovereignty &amp; Cryptographic Custody (DPSCC): </w:t>
      </w:r>
      <w:r>
        <w:rPr>
          <w:rFonts w:ascii="Calibri" w:hAnsi="Calibri"/>
          <w:color w:val="2D3237"/>
          <w:sz w:val="20"/>
        </w:rPr>
        <w:t>Data used for pre-training, instruction fine-tuning, and RAG retrieval must maintain verified provenance, intellectual property clearance, and sovereign residency compliance. User interactions, prompt histories, and inference tokens must be protected under zero-data-retention guarantees, hardware-level memory encryption, and sovereign boundary isolations.</w:t>
      </w:r>
    </w:p>
    <w:p>
      <w:pPr>
        <w:pStyle w:val="ListBullet"/>
        <w:spacing w:before="0" w:after="60" w:line="276" w:lineRule="auto"/>
      </w:pPr>
      <w:r>
        <w:rPr>
          <w:rFonts w:ascii="Calibri" w:hAnsi="Calibri"/>
          <w:b/>
          <w:color w:val="2D3237"/>
          <w:sz w:val="20"/>
        </w:rPr>
        <w:t xml:space="preserve">Pillar 4: Safety, Robustness, Alignment &amp; Resilience (SRAR): </w:t>
      </w:r>
      <w:r>
        <w:rPr>
          <w:rFonts w:ascii="Calibri" w:hAnsi="Calibri"/>
          <w:color w:val="2D3237"/>
          <w:sz w:val="20"/>
        </w:rPr>
        <w:t>Frontier models and autonomous agent networks must undergo rigorous adversarial red-teaming, prompt injection resilience testing, and formal alignment verification. All systems must operate within bounded execution sandboxes equipped with deterministic safety filters, output guardrails, semantic firewalls, and hardware-enforced emergency circuit breakers.</w:t>
      </w:r>
    </w:p>
    <w:p>
      <w:pPr>
        <w:pStyle w:val="ListBullet"/>
        <w:spacing w:before="0" w:after="60" w:line="276" w:lineRule="auto"/>
      </w:pPr>
      <w:r>
        <w:rPr>
          <w:rFonts w:ascii="Calibri" w:hAnsi="Calibri"/>
          <w:b/>
          <w:color w:val="2D3237"/>
          <w:sz w:val="20"/>
        </w:rPr>
        <w:t xml:space="preserve">Pillar 5: Human Agency, Dignity &amp; Human-in-the-Loop Accountability (HAD-HITL): </w:t>
      </w:r>
      <w:r>
        <w:rPr>
          <w:rFonts w:ascii="Calibri" w:hAnsi="Calibri"/>
          <w:color w:val="2D3237"/>
          <w:sz w:val="20"/>
        </w:rPr>
        <w:t>AI systems must never operate as unconstrained sovereign decision-makers in domains impacting fundamental human rights, criminal justice, lethal operations, critical national infrastructure dispatch, or material financial commitments. Clear human accountability, override capability, and dual-person escalation gateways must remain active at all operational stages.</w:t>
      </w: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[ETHICAL OVERRIDE DIRECTIVE]</w:t>
              <w:br/>
            </w:r>
            <w:r>
              <w:rPr>
                <w:rFonts w:ascii="Calibri" w:hAnsi="Calibri"/>
                <w:color w:val="2D3237"/>
                <w:sz w:val="19"/>
              </w:rPr>
              <w:t>CORE ETHICAL MANDATE (CLAUSE 1.2.2): In any instance where an engineering optimization, computational efficiency target, or commercial deadline conflicts with the Five Non-Negotiable Core Ethical Pillars, the ethical safety mandate shall supersede operational considerations without exception. Personnel are empowered and obligated under Clause 11.3 to halt deployment pipelines that fail ethical safety verification.</w:t>
            </w:r>
          </w:p>
        </w:tc>
      </w:tr>
    </w:tbl>
    <w:p>
      <w:pPr>
        <w:spacing w:before="0" w:after="80"/>
      </w:pPr>
    </w:p>
    <w:p>
      <w:r>
        <w:br w:type="page"/>
      </w:r>
    </w:p>
    <w:p>
      <w:pPr>
        <w:keepNext/>
        <w:spacing w:before="400" w:after="120"/>
      </w:pPr>
      <w:r>
        <w:rPr>
          <w:rFonts w:ascii="Calibri" w:hAnsi="Calibri"/>
          <w:b/>
          <w:color w:val="0B2545"/>
          <w:sz w:val="30"/>
        </w:rPr>
        <w:t>SECTION 2: SCOPE, APPLICABILITY &amp; SUBSIDIARY GOVERNANCE HIERARCHY</w:t>
      </w:r>
    </w:p>
    <w:p>
      <w:pPr>
        <w:keepNext/>
        <w:spacing w:before="280" w:after="80"/>
      </w:pPr>
      <w:r>
        <w:rPr>
          <w:rFonts w:ascii="Calibri" w:hAnsi="Calibri"/>
          <w:b/>
          <w:color w:val="136F63"/>
          <w:sz w:val="24"/>
        </w:rPr>
        <w:t>2.1 Universal Enterprise Scope &amp; Boundaries</w:t>
      </w:r>
    </w:p>
    <w:p>
      <w:pPr>
        <w:spacing w:before="0" w:after="120" w:line="276" w:lineRule="auto"/>
      </w:pPr>
      <w:r>
        <w:rPr>
          <w:rFonts w:ascii="Calibri" w:hAnsi="Calibri"/>
          <w:color w:val="2D3237"/>
          <w:sz w:val="20"/>
        </w:rPr>
        <w:t>Clause 2.1.1 — This policy applies universally and unconditionally to all internal business divisions, shared services units, specialized research labs, operating companies (OpCos), wholly owned subsidiaries, majority-owned joint ventures, and international operating hubs of G42 Holding LLC. Its mandates bind all personnel, including full-time executive officers, permanent employees, seconded staff, specialized research fellows, external consultants, third-party system integrators, and synthetic cognitive entities (autonomous agents) operating within G42 compute fabrics.</w:t>
      </w:r>
    </w:p>
    <w:p>
      <w:pPr>
        <w:spacing w:before="0" w:after="120" w:line="276" w:lineRule="auto"/>
      </w:pPr>
      <w:r>
        <w:rPr>
          <w:rFonts w:ascii="Calibri" w:hAnsi="Calibri"/>
          <w:color w:val="2D3237"/>
          <w:sz w:val="20"/>
        </w:rPr>
        <w:t>Clause 2.1.2 — Technical boundaries encompassed by this policy include: (a) foundational large language models (LLMs) and small language models (SLMs); (b) multimodal vision, audio, spatial, and bio-informatics models; (c) reinforcement learning pipelines; (d) agentic workflows and multi-agent coordination frameworks (specifically including Sage Agent); (e) retrieval-augmented generation (RAG) vector stores and knowledge graphs; and (f) sovereign AI supercomputing clusters (Condor Galaxy series) hosted across Khazna and Core42 data centers.</w:t>
      </w:r>
    </w:p>
    <w:p>
      <w:pPr>
        <w:keepNext/>
        <w:spacing w:before="280" w:after="80"/>
      </w:pPr>
      <w:r>
        <w:rPr>
          <w:rFonts w:ascii="Calibri" w:hAnsi="Calibri"/>
          <w:b/>
          <w:color w:val="136F63"/>
          <w:sz w:val="24"/>
        </w:rPr>
        <w:t>2.2 Operating Company (OpCo) Specific Governance Mapping</w:t>
      </w:r>
    </w:p>
    <w:p>
      <w:pPr>
        <w:spacing w:before="0" w:after="120" w:line="276" w:lineRule="auto"/>
      </w:pPr>
      <w:r>
        <w:rPr>
          <w:rFonts w:ascii="Calibri" w:hAnsi="Calibri"/>
          <w:color w:val="2D3237"/>
          <w:sz w:val="20"/>
        </w:rPr>
        <w:t>Clause 2.2.1 — While this Group Policy establishes the universal baseline, individual Operating Companies maintain specialized domain responsibilities and may implement supplemental operating procedures (SOPs) that enforce stricter, but never less restrictive, standards:</w:t>
      </w:r>
    </w:p>
    <w:p>
      <w:pPr>
        <w:pStyle w:val="ListBullet"/>
        <w:spacing w:before="0" w:after="60" w:line="276" w:lineRule="auto"/>
      </w:pPr>
      <w:r>
        <w:rPr>
          <w:rFonts w:ascii="Calibri" w:hAnsi="Calibri"/>
          <w:b/>
          <w:color w:val="2D3237"/>
          <w:sz w:val="20"/>
        </w:rPr>
        <w:t xml:space="preserve">Core42 (Infrastructure &amp; Cloud Fabric): </w:t>
      </w:r>
      <w:r>
        <w:rPr>
          <w:rFonts w:ascii="Calibri" w:hAnsi="Calibri"/>
          <w:color w:val="2D3237"/>
          <w:sz w:val="20"/>
        </w:rPr>
        <w:t>Governs sovereign cloud platforms, supercomputing hardware allocations, high-performance computing (HPC) virtualization security, and enterprise infrastructure compliance.</w:t>
      </w:r>
    </w:p>
    <w:p>
      <w:pPr>
        <w:pStyle w:val="ListBullet"/>
        <w:spacing w:before="0" w:after="60" w:line="276" w:lineRule="auto"/>
      </w:pPr>
      <w:r>
        <w:rPr>
          <w:rFonts w:ascii="Calibri" w:hAnsi="Calibri"/>
          <w:b/>
          <w:color w:val="2D3237"/>
          <w:sz w:val="20"/>
        </w:rPr>
        <w:t xml:space="preserve">Inception Institute of Artificial Intelligence (IIAI): </w:t>
      </w:r>
      <w:r>
        <w:rPr>
          <w:rFonts w:ascii="Calibri" w:hAnsi="Calibri"/>
          <w:color w:val="2D3237"/>
          <w:sz w:val="20"/>
        </w:rPr>
        <w:t>Governs foundational frontier model architectures, Arabic/English bilingual foundational LLMs (Jais series), multimodal foundation research, bio-computational modeling, and mathematical alignment theory.</w:t>
      </w:r>
    </w:p>
    <w:p>
      <w:pPr>
        <w:pStyle w:val="ListBullet"/>
        <w:spacing w:before="0" w:after="60" w:line="276" w:lineRule="auto"/>
      </w:pPr>
      <w:r>
        <w:rPr>
          <w:rFonts w:ascii="Calibri" w:hAnsi="Calibri"/>
          <w:b/>
          <w:color w:val="2D3237"/>
          <w:sz w:val="20"/>
        </w:rPr>
        <w:t xml:space="preserve">Presight AI (Public Sector &amp; Analytics): </w:t>
      </w:r>
      <w:r>
        <w:rPr>
          <w:rFonts w:ascii="Calibri" w:hAnsi="Calibri"/>
          <w:color w:val="2D3237"/>
          <w:sz w:val="20"/>
        </w:rPr>
        <w:t>Governs big data analytics, sovereign safety platforms, smart city sensory intelligence, public sector decision-support systems, and cross-enterprise visual analytics.</w:t>
      </w:r>
    </w:p>
    <w:p>
      <w:pPr>
        <w:pStyle w:val="ListBullet"/>
        <w:spacing w:before="0" w:after="60" w:line="276" w:lineRule="auto"/>
      </w:pPr>
      <w:r>
        <w:rPr>
          <w:rFonts w:ascii="Calibri" w:hAnsi="Calibri"/>
          <w:b/>
          <w:color w:val="2D3237"/>
          <w:sz w:val="20"/>
        </w:rPr>
        <w:t xml:space="preserve">AIQ (Energy &amp; Industrial AI): </w:t>
      </w:r>
      <w:r>
        <w:rPr>
          <w:rFonts w:ascii="Calibri" w:hAnsi="Calibri"/>
          <w:color w:val="2D3237"/>
          <w:sz w:val="20"/>
        </w:rPr>
        <w:t>Governs energy-sector machine learning, autonomous upstream/downstream optimization algorithms, carbon abatement telemetry, and industrial IoT predictive infrastructure.</w:t>
      </w:r>
    </w:p>
    <w:p>
      <w:pPr>
        <w:pStyle w:val="ListBullet"/>
        <w:spacing w:before="0" w:after="60" w:line="276" w:lineRule="auto"/>
      </w:pPr>
      <w:r>
        <w:rPr>
          <w:rFonts w:ascii="Calibri" w:hAnsi="Calibri"/>
          <w:b/>
          <w:color w:val="2D3237"/>
          <w:sz w:val="20"/>
        </w:rPr>
        <w:t xml:space="preserve">Khazna Data Centers (Physical Infrastructure): </w:t>
      </w:r>
      <w:r>
        <w:rPr>
          <w:rFonts w:ascii="Calibri" w:hAnsi="Calibri"/>
          <w:color w:val="2D3237"/>
          <w:sz w:val="20"/>
        </w:rPr>
        <w:t>Governs zero-carbon hyperscale data center infrastructure, physical facility security, hardware-level encryption modules (HSM), liquid-cooled AI cluster sustainability, and data sovereignty perimeters.</w:t>
      </w:r>
    </w:p>
    <w:p>
      <w:pPr>
        <w:pStyle w:val="ListBullet"/>
        <w:spacing w:before="0" w:after="60" w:line="276" w:lineRule="auto"/>
      </w:pPr>
      <w:r>
        <w:rPr>
          <w:rFonts w:ascii="Calibri" w:hAnsi="Calibri"/>
          <w:b/>
          <w:color w:val="2D3237"/>
          <w:sz w:val="20"/>
        </w:rPr>
        <w:t xml:space="preserve">Space42 (Geospatial &amp; Space AI): </w:t>
      </w:r>
      <w:r>
        <w:rPr>
          <w:rFonts w:ascii="Calibri" w:hAnsi="Calibri"/>
          <w:color w:val="2D3237"/>
          <w:sz w:val="20"/>
        </w:rPr>
        <w:t>Governs satellite communications, Earth observation AI, low-earth orbit (LEO) data processing, and geospatial telemetry models.</w:t>
      </w:r>
    </w:p>
    <w:p>
      <w:pPr>
        <w:keepNext/>
        <w:spacing w:before="200" w:after="40"/>
      </w:pPr>
      <w:r>
        <w:rPr>
          <w:rFonts w:ascii="Calibri" w:hAnsi="Calibri"/>
          <w:b/>
          <w:color w:val="0B2545"/>
          <w:sz w:val="21"/>
        </w:rPr>
        <w:t>2.3 Three-Lines-of-Defense Governance Structure</w:t>
      </w:r>
    </w:p>
    <w:p>
      <w:pPr>
        <w:spacing w:before="0" w:after="120" w:line="276" w:lineRule="auto"/>
      </w:pPr>
      <w:r>
        <w:rPr>
          <w:rFonts w:ascii="Calibri" w:hAnsi="Calibri"/>
          <w:color w:val="2D3237"/>
          <w:sz w:val="20"/>
        </w:rPr>
        <w:t>Clause 2.3.1 — G42 enforces a rigorous Three-Lines-of-Defense governance model across the entire artificial intelligence lifecycle to ensure separation of duties, operational accountability, and independent validation:</w:t>
      </w:r>
    </w:p>
    <w:tbl>
      <w:tblPr>
        <w:tblW w:type="auto" w:w="0"/>
        <w:jc w:val="center"/>
        <w:tblLayout w:type="fixed"/>
        <w:tblLook w:firstColumn="1" w:firstRow="1" w:lastColumn="0" w:lastRow="0" w:noHBand="0" w:noVBand="1" w:val="04A0"/>
      </w:tblPr>
      <w:tblGrid>
        <w:gridCol w:w="2016"/>
        <w:gridCol w:w="2016"/>
        <w:gridCol w:w="3168"/>
        <w:gridCol w:w="1829"/>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Defense Tier</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Key Functions</w:t>
            </w:r>
          </w:p>
        </w:tc>
        <w:tc>
          <w:tcPr>
            <w:tcW w:type="dxa" w:w="3168"/>
            <w:shd w:fill="0B2545"/>
            <w:tcMar>
              <w:top w:w="120" w:type="dxa"/>
              <w:bottom w:w="120" w:type="dxa"/>
              <w:left w:w="130" w:type="dxa"/>
              <w:right w:w="130" w:type="dxa"/>
            </w:tcMar>
          </w:tcPr>
          <w:p>
            <w:pPr>
              <w:spacing w:before="0" w:after="0"/>
              <w:jc w:val="left"/>
            </w:pPr>
            <w:r>
              <w:rPr>
                <w:rFonts w:ascii="Calibri" w:hAnsi="Calibri"/>
                <w:b/>
                <w:color w:val="FFFFFF"/>
                <w:sz w:val="18"/>
              </w:rPr>
              <w:t>Core Responsibilities</w:t>
            </w:r>
          </w:p>
        </w:tc>
        <w:tc>
          <w:tcPr>
            <w:tcW w:type="dxa" w:w="1829"/>
            <w:shd w:fill="0B2545"/>
            <w:tcMar>
              <w:top w:w="120" w:type="dxa"/>
              <w:bottom w:w="120" w:type="dxa"/>
              <w:left w:w="130" w:type="dxa"/>
              <w:right w:w="130" w:type="dxa"/>
            </w:tcMar>
          </w:tcPr>
          <w:p>
            <w:pPr>
              <w:spacing w:before="0" w:after="0"/>
              <w:jc w:val="left"/>
            </w:pPr>
            <w:r>
              <w:rPr>
                <w:rFonts w:ascii="Calibri" w:hAnsi="Calibri"/>
                <w:b/>
                <w:color w:val="FFFFFF"/>
                <w:sz w:val="18"/>
              </w:rPr>
              <w:t>Authority &amp; Escalation</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Line of Defense</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Organizational Bodies</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Primary Governance Responsibilities</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Escalation Gateways</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First Line: Operational Engineering</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AI Research Scientists, MLOps Engineers, Product Managers, BU Tech Leads.</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Day-to-day model development, dataset hygiene, prompt engineering, automated unit testing, model card documentation, bias scanning.</w:t>
            </w:r>
          </w:p>
        </w:tc>
        <w:tc>
          <w:tcPr>
            <w:tcW w:type="dxa" w:w="1829"/>
            <w:shd w:fill="F7F9FB"/>
            <w:tcMar>
              <w:top w:w="95" w:type="dxa"/>
              <w:bottom w:w="95" w:type="dxa"/>
              <w:left w:w="130" w:type="dxa"/>
              <w:right w:w="130" w:type="dxa"/>
            </w:tcMar>
          </w:tcPr>
          <w:p>
            <w:pPr>
              <w:spacing w:before="0" w:after="0"/>
            </w:pPr>
            <w:r>
              <w:rPr>
                <w:rFonts w:ascii="Calibri" w:hAnsi="Calibri"/>
                <w:color w:val="2D3237"/>
                <w:sz w:val="17"/>
              </w:rPr>
              <w:t>Escalates anomalous red-team findings or high-risk classification requests to Second Line.</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Second Line: Oversight &amp; Compliance</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Group AI Ethics &amp; Safety Board, Group CISO, Group Chief Compliance Officer, RAI Unit.</w:t>
            </w:r>
          </w:p>
        </w:tc>
        <w:tc>
          <w:tcPr>
            <w:tcW w:type="dxa" w:w="3168"/>
            <w:shd w:fill="FFFFFF"/>
            <w:tcMar>
              <w:top w:w="95" w:type="dxa"/>
              <w:bottom w:w="95" w:type="dxa"/>
              <w:left w:w="130" w:type="dxa"/>
              <w:right w:w="130" w:type="dxa"/>
            </w:tcMar>
          </w:tcPr>
          <w:p>
            <w:pPr>
              <w:spacing w:before="0" w:after="0"/>
            </w:pPr>
            <w:r>
              <w:rPr>
                <w:rFonts w:ascii="Calibri" w:hAnsi="Calibri"/>
                <w:color w:val="2D3237"/>
                <w:sz w:val="17"/>
              </w:rPr>
              <w:t>Independent model validation, adversarial red-teaming sign-off, dual-use risk evaluation, regulatory conformity mapping, policy enforcement.</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Reports directly to Group Executive Committee; possesses unilateral veto authority on production releases.</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Third Line: Independent Audit</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Group Internal Audit Directorate, External Independent AI Safety Auditors, Statutory Certifiers.</w:t>
            </w:r>
          </w:p>
        </w:tc>
        <w:tc>
          <w:tcPr>
            <w:tcW w:type="dxa" w:w="3168"/>
            <w:shd w:fill="F7F9FB"/>
            <w:tcMar>
              <w:top w:w="95" w:type="dxa"/>
              <w:bottom w:w="95" w:type="dxa"/>
              <w:left w:w="130" w:type="dxa"/>
              <w:right w:w="130" w:type="dxa"/>
            </w:tcMar>
          </w:tcPr>
          <w:p>
            <w:pPr>
              <w:spacing w:before="0" w:after="0"/>
            </w:pPr>
            <w:r>
              <w:rPr>
                <w:rFonts w:ascii="Calibri" w:hAnsi="Calibri"/>
                <w:color w:val="2D3237"/>
                <w:sz w:val="17"/>
              </w:rPr>
              <w:t>Periodic objective audits of AI governance effectiveness, algorithmic registry integrity, ethical control adherence, and ISO 42001 certification.</w:t>
            </w:r>
          </w:p>
        </w:tc>
        <w:tc>
          <w:tcPr>
            <w:tcW w:type="dxa" w:w="1829"/>
            <w:shd w:fill="F7F9FB"/>
            <w:tcMar>
              <w:top w:w="95" w:type="dxa"/>
              <w:bottom w:w="95" w:type="dxa"/>
              <w:left w:w="130" w:type="dxa"/>
              <w:right w:w="130" w:type="dxa"/>
            </w:tcMar>
          </w:tcPr>
          <w:p>
            <w:pPr>
              <w:spacing w:before="0" w:after="0"/>
            </w:pPr>
            <w:r>
              <w:rPr>
                <w:rFonts w:ascii="Calibri" w:hAnsi="Calibri"/>
                <w:color w:val="2D3237"/>
                <w:sz w:val="17"/>
              </w:rPr>
              <w:t>Direct reporting line to Board Audit &amp; Risk Committee; annual independent assurance reporting.</w:t>
            </w:r>
          </w:p>
        </w:tc>
      </w:tr>
    </w:tbl>
    <w:p>
      <w:pPr>
        <w:spacing w:before="0" w:after="80"/>
      </w:pPr>
    </w:p>
    <w:p>
      <w:r>
        <w:br w:type="page"/>
      </w:r>
    </w:p>
    <w:p>
      <w:pPr>
        <w:keepNext/>
        <w:spacing w:before="400" w:after="120"/>
      </w:pPr>
      <w:r>
        <w:rPr>
          <w:rFonts w:ascii="Calibri" w:hAnsi="Calibri"/>
          <w:b/>
          <w:color w:val="0B2545"/>
          <w:sz w:val="30"/>
        </w:rPr>
        <w:t>SECTION 3: AI RISK TIERING &amp; CLASSIFICATION FRAMEWORK (EAI-RTF)</w:t>
      </w:r>
    </w:p>
    <w:p>
      <w:pPr>
        <w:keepNext/>
        <w:spacing w:before="280" w:after="80"/>
      </w:pPr>
      <w:r>
        <w:rPr>
          <w:rFonts w:ascii="Calibri" w:hAnsi="Calibri"/>
          <w:b/>
          <w:color w:val="136F63"/>
          <w:sz w:val="24"/>
        </w:rPr>
        <w:t>3.1 Classification Methodology &amp; Risk Assessment</w:t>
      </w:r>
    </w:p>
    <w:p>
      <w:pPr>
        <w:spacing w:before="0" w:after="120" w:line="276" w:lineRule="auto"/>
      </w:pPr>
      <w:r>
        <w:rPr>
          <w:rFonts w:ascii="Calibri" w:hAnsi="Calibri"/>
          <w:color w:val="2D3237"/>
          <w:sz w:val="20"/>
        </w:rPr>
        <w:t>Clause 3.1.1 — Every artificial intelligence model, machine learning algorithm, autonomous agent script, or generative fine-tuning checkpoint conceived, developed, or procured across G42 must be formally evaluated and assigned an Enterprise AI Risk Tier prior to computational resource allocation. The classification process must be executed using the G42 AI Risk Intake Protocol (AIRIP) and registered within the centralized Enterprise AI Model Inventory (EAIMI).</w:t>
      </w:r>
    </w:p>
    <w:p>
      <w:pPr>
        <w:spacing w:before="0" w:after="120" w:line="276" w:lineRule="auto"/>
      </w:pPr>
      <w:r>
        <w:rPr>
          <w:rFonts w:ascii="Calibri" w:hAnsi="Calibri"/>
          <w:color w:val="2D3237"/>
          <w:sz w:val="20"/>
        </w:rPr>
        <w:t>Clause 3.1.2 — Risk tiering is determined across four multidimensional axes: (a) Severity and reversibility of potential societal or physical harm; (b) Autonomy of execution and degree of human oversight; (c) Sensitivity of underlying data corpora (e.g., sovereign secrets, biometric data, critical infrastructure telemetry); and (d) Operational domain criticality (e.g., healthcare, energy grid, finance, legal decisions).</w:t>
      </w:r>
    </w:p>
    <w:p>
      <w:pPr>
        <w:keepNext/>
        <w:spacing w:before="280" w:after="80"/>
      </w:pPr>
      <w:r>
        <w:rPr>
          <w:rFonts w:ascii="Calibri" w:hAnsi="Calibri"/>
          <w:b/>
          <w:color w:val="136F63"/>
          <w:sz w:val="24"/>
        </w:rPr>
        <w:t>3.2 The Four-Tier AI Classification Standard</w:t>
      </w:r>
    </w:p>
    <w:p>
      <w:pPr>
        <w:spacing w:before="0" w:after="120" w:line="276" w:lineRule="auto"/>
      </w:pPr>
      <w:r>
        <w:rPr>
          <w:rFonts w:ascii="Calibri" w:hAnsi="Calibri"/>
          <w:color w:val="2D3237"/>
          <w:sz w:val="20"/>
        </w:rPr>
        <w:t>Clause 3.2.1 — The Enterprise AI Risk Tiering Framework establishes four distinct operational categories:</w:t>
      </w:r>
    </w:p>
    <w:tbl>
      <w:tblPr>
        <w:tblW w:type="auto" w:w="0"/>
        <w:jc w:val="center"/>
        <w:tblLayout w:type="fixed"/>
        <w:tblLook w:firstColumn="1" w:firstRow="1" w:lastColumn="0" w:lastRow="0" w:noHBand="0" w:noVBand="1" w:val="04A0"/>
      </w:tblPr>
      <w:tblGrid>
        <w:gridCol w:w="1872"/>
        <w:gridCol w:w="2592"/>
        <w:gridCol w:w="2592"/>
        <w:gridCol w:w="1973"/>
      </w:tblGrid>
      <w:tr>
        <w:tc>
          <w:tcPr>
            <w:tcW w:type="dxa" w:w="1872"/>
            <w:shd w:fill="0B2545"/>
            <w:tcMar>
              <w:top w:w="120" w:type="dxa"/>
              <w:bottom w:w="120" w:type="dxa"/>
              <w:left w:w="130" w:type="dxa"/>
              <w:right w:w="130" w:type="dxa"/>
            </w:tcMar>
          </w:tcPr>
          <w:p>
            <w:pPr>
              <w:spacing w:before="0" w:after="0"/>
              <w:jc w:val="left"/>
            </w:pPr>
            <w:r>
              <w:rPr>
                <w:rFonts w:ascii="Calibri" w:hAnsi="Calibri"/>
                <w:b/>
                <w:color w:val="FFFFFF"/>
                <w:sz w:val="18"/>
              </w:rPr>
              <w:t>Risk Tier</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Operational Profile</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Mandatory Safeguards</w:t>
            </w:r>
          </w:p>
        </w:tc>
        <w:tc>
          <w:tcPr>
            <w:tcW w:type="dxa" w:w="1973"/>
            <w:shd w:fill="0B2545"/>
            <w:tcMar>
              <w:top w:w="120" w:type="dxa"/>
              <w:bottom w:w="120" w:type="dxa"/>
              <w:left w:w="130" w:type="dxa"/>
              <w:right w:w="130" w:type="dxa"/>
            </w:tcMar>
          </w:tcPr>
          <w:p>
            <w:pPr>
              <w:spacing w:before="0" w:after="0"/>
              <w:jc w:val="left"/>
            </w:pPr>
            <w:r>
              <w:rPr>
                <w:rFonts w:ascii="Calibri" w:hAnsi="Calibri"/>
                <w:b/>
                <w:color w:val="FFFFFF"/>
                <w:sz w:val="18"/>
              </w:rPr>
              <w:t>Authorization Gateway</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Tier Designation</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Domain Definition &amp; Impact Profile</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Mandatory Governance Controls</w:t>
            </w:r>
          </w:p>
        </w:tc>
        <w:tc>
          <w:tcPr>
            <w:tcW w:type="dxa" w:w="1973"/>
            <w:shd w:fill="FFFFFF"/>
            <w:tcMar>
              <w:top w:w="95" w:type="dxa"/>
              <w:bottom w:w="95" w:type="dxa"/>
              <w:left w:w="130" w:type="dxa"/>
              <w:right w:w="130" w:type="dxa"/>
            </w:tcMar>
          </w:tcPr>
          <w:p>
            <w:pPr>
              <w:spacing w:before="0" w:after="0"/>
            </w:pPr>
            <w:r>
              <w:rPr>
                <w:rFonts w:ascii="Calibri" w:hAnsi="Calibri"/>
                <w:color w:val="2D3237"/>
                <w:sz w:val="17"/>
              </w:rPr>
              <w:t>Pre-Deployment Gateways</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Tier 1: Critical / High-Impact AI</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Systems controlling physical infrastructure (power grids, water systems), clinical diagnostic AI, autonomous aerospace telemetry, sovereign identity, or criminal justice analytics.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Formal mathematical verification, full adversarial red-teaming by independent external auditors, continuous Human-in-the-Loop (HITL), cryptographic weight signing, air-gapped sovereign deployment.</w:t>
            </w:r>
          </w:p>
        </w:tc>
        <w:tc>
          <w:tcPr>
            <w:tcW w:type="dxa" w:w="1973"/>
            <w:shd w:fill="F7F9FB"/>
            <w:tcMar>
              <w:top w:w="95" w:type="dxa"/>
              <w:bottom w:w="95" w:type="dxa"/>
              <w:left w:w="130" w:type="dxa"/>
              <w:right w:w="130" w:type="dxa"/>
            </w:tcMar>
          </w:tcPr>
          <w:p>
            <w:pPr>
              <w:spacing w:before="0" w:after="0"/>
            </w:pPr>
            <w:r>
              <w:rPr>
                <w:rFonts w:ascii="Calibri" w:hAnsi="Calibri"/>
                <w:color w:val="2D3237"/>
                <w:sz w:val="17"/>
              </w:rPr>
              <w:t>Unanimous approval of Group AI Ethics &amp; Safety Board AND ratification by Board Risk Council.</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Tier 2: Enterprise Autonomous AI</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Autonomous multi-step agents (e.g., Sage Agent), autonomous financial reconciliations, automated code deployment pipelines, direct citizen-facing public chatbots, and dynamic RAG engines.</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Automated demographic bias scanning, ephemeral API tokenization (&lt;3600s), payload DLP inspection, execution recursion caps, monthly semantic drift auditing, hardware kill-switch integration.</w:t>
            </w:r>
          </w:p>
        </w:tc>
        <w:tc>
          <w:tcPr>
            <w:tcW w:type="dxa" w:w="1973"/>
            <w:shd w:fill="FFFFFF"/>
            <w:tcMar>
              <w:top w:w="95" w:type="dxa"/>
              <w:bottom w:w="95" w:type="dxa"/>
              <w:left w:w="130" w:type="dxa"/>
              <w:right w:w="130" w:type="dxa"/>
            </w:tcMar>
          </w:tcPr>
          <w:p>
            <w:pPr>
              <w:spacing w:before="0" w:after="0"/>
            </w:pPr>
            <w:r>
              <w:rPr>
                <w:rFonts w:ascii="Calibri" w:hAnsi="Calibri"/>
                <w:color w:val="2D3237"/>
                <w:sz w:val="17"/>
              </w:rPr>
              <w:t>Formal sign-off by Operating Company Head of AI, BU Chief Information Security Officer, and Group RAI Lead.</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Tier 3: Internal Productivity AI</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Internal developer copilot assistants, enterprise document summarization tools, semantic knowledge base search engines, synthetic test dataset generators, automated IT service desk assistants.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Role-Based Access Control (RBAC), prompt logging, outbound PII sanitization filters, standard toxicity screening, model card registration in EAIMI.</w:t>
            </w:r>
          </w:p>
        </w:tc>
        <w:tc>
          <w:tcPr>
            <w:tcW w:type="dxa" w:w="1973"/>
            <w:shd w:fill="F7F9FB"/>
            <w:tcMar>
              <w:top w:w="95" w:type="dxa"/>
              <w:bottom w:w="95" w:type="dxa"/>
              <w:left w:w="130" w:type="dxa"/>
              <w:right w:w="130" w:type="dxa"/>
            </w:tcMar>
          </w:tcPr>
          <w:p>
            <w:pPr>
              <w:spacing w:before="0" w:after="0"/>
            </w:pPr>
            <w:r>
              <w:rPr>
                <w:rFonts w:ascii="Calibri" w:hAnsi="Calibri"/>
                <w:color w:val="2D3237"/>
                <w:sz w:val="17"/>
              </w:rPr>
              <w:t>Approval by Operational Engineering Lead and BU Information Security Manager.</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Tier 4: Low Risk / Experimental AI</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Offline exploratory research, algorithmic benchmarking on public academic datasets, UI prototyping, synthetic gaming environments devoid of real-world telemetry.</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Standard code repository logging, compute quota enforcement, strict isolation from production databases and confidential corporate corpora.</w:t>
            </w:r>
          </w:p>
        </w:tc>
        <w:tc>
          <w:tcPr>
            <w:tcW w:type="dxa" w:w="1973"/>
            <w:shd w:fill="FFFFFF"/>
            <w:tcMar>
              <w:top w:w="95" w:type="dxa"/>
              <w:bottom w:w="95" w:type="dxa"/>
              <w:left w:w="130" w:type="dxa"/>
              <w:right w:w="130" w:type="dxa"/>
            </w:tcMar>
          </w:tcPr>
          <w:p>
            <w:pPr>
              <w:spacing w:before="0" w:after="0"/>
            </w:pPr>
            <w:r>
              <w:rPr>
                <w:rFonts w:ascii="Calibri" w:hAnsi="Calibri"/>
                <w:color w:val="2D3237"/>
                <w:sz w:val="17"/>
              </w:rPr>
              <w:t>Peer review by Senior Research Scientist; automated repository registration.</w:t>
            </w:r>
          </w:p>
        </w:tc>
      </w:tr>
    </w:tbl>
    <w:p>
      <w:pPr>
        <w:spacing w:before="0" w:after="80"/>
      </w:pPr>
    </w:p>
    <w:p>
      <w:pPr>
        <w:keepNext/>
        <w:spacing w:before="200" w:after="40"/>
      </w:pPr>
      <w:r>
        <w:rPr>
          <w:rFonts w:ascii="Calibri" w:hAnsi="Calibri"/>
          <w:b/>
          <w:color w:val="0B2545"/>
          <w:sz w:val="21"/>
        </w:rPr>
        <w:t>3.3 Dynamic Reclassification &amp; Triggering Events</w:t>
      </w:r>
    </w:p>
    <w:p>
      <w:pPr>
        <w:spacing w:before="0" w:after="120" w:line="276" w:lineRule="auto"/>
      </w:pPr>
      <w:r>
        <w:rPr>
          <w:rFonts w:ascii="Calibri" w:hAnsi="Calibri"/>
          <w:color w:val="2D3237"/>
          <w:sz w:val="20"/>
        </w:rPr>
        <w:t>Clause 3.3.1 — An AI model's risk tier is not static. An automated reclassification review is triggered immediately upon the occurrence of any of the following events:</w:t>
      </w:r>
    </w:p>
    <w:p>
      <w:pPr>
        <w:pStyle w:val="ListBullet"/>
        <w:spacing w:before="0" w:after="60" w:line="276" w:lineRule="auto"/>
      </w:pPr>
      <w:r>
        <w:rPr>
          <w:rFonts w:ascii="Calibri" w:hAnsi="Calibri"/>
          <w:b/>
          <w:color w:val="2D3237"/>
          <w:sz w:val="20"/>
        </w:rPr>
        <w:t xml:space="preserve">Scope Expansion: </w:t>
      </w:r>
      <w:r>
        <w:rPr>
          <w:rFonts w:ascii="Calibri" w:hAnsi="Calibri"/>
          <w:color w:val="2D3237"/>
          <w:sz w:val="20"/>
        </w:rPr>
        <w:t>Expanding model deployment from internal research sandboxes (Tier 4/3) to external public or client-facing environments (Tier 2/1).</w:t>
      </w:r>
    </w:p>
    <w:p>
      <w:pPr>
        <w:pStyle w:val="ListBullet"/>
        <w:spacing w:before="0" w:after="60" w:line="276" w:lineRule="auto"/>
      </w:pPr>
      <w:r>
        <w:rPr>
          <w:rFonts w:ascii="Calibri" w:hAnsi="Calibri"/>
          <w:b/>
          <w:color w:val="2D3237"/>
          <w:sz w:val="20"/>
        </w:rPr>
        <w:t xml:space="preserve">Agentic Elevation: </w:t>
      </w:r>
      <w:r>
        <w:rPr>
          <w:rFonts w:ascii="Calibri" w:hAnsi="Calibri"/>
          <w:color w:val="2D3237"/>
          <w:sz w:val="20"/>
        </w:rPr>
        <w:t>Integrating autonomous tool calling, terminal execution privileges, or unconstrained API write access.</w:t>
      </w:r>
    </w:p>
    <w:p>
      <w:pPr>
        <w:pStyle w:val="ListBullet"/>
        <w:spacing w:before="0" w:after="60" w:line="276" w:lineRule="auto"/>
      </w:pPr>
      <w:r>
        <w:rPr>
          <w:rFonts w:ascii="Calibri" w:hAnsi="Calibri"/>
          <w:b/>
          <w:color w:val="2D3237"/>
          <w:sz w:val="20"/>
        </w:rPr>
        <w:t xml:space="preserve">Data Ingestion Shift: </w:t>
      </w:r>
      <w:r>
        <w:rPr>
          <w:rFonts w:ascii="Calibri" w:hAnsi="Calibri"/>
          <w:color w:val="2D3237"/>
          <w:sz w:val="20"/>
        </w:rPr>
        <w:t>Training or fine-tuning models on Level 3 (Confidential) or Level 4 (Sovereign) data corpora.</w:t>
      </w:r>
    </w:p>
    <w:p>
      <w:pPr>
        <w:pStyle w:val="ListBullet"/>
        <w:spacing w:before="0" w:after="60" w:line="276" w:lineRule="auto"/>
      </w:pPr>
      <w:r>
        <w:rPr>
          <w:rFonts w:ascii="Calibri" w:hAnsi="Calibri"/>
          <w:b/>
          <w:color w:val="2D3237"/>
          <w:sz w:val="20"/>
        </w:rPr>
        <w:t xml:space="preserve">Adversarial Vulnerability: </w:t>
      </w:r>
      <w:r>
        <w:rPr>
          <w:rFonts w:ascii="Calibri" w:hAnsi="Calibri"/>
          <w:color w:val="2D3237"/>
          <w:sz w:val="20"/>
        </w:rPr>
        <w:t>Emergence of novel zero-day prompt injection vectors or safety alignment jailbreaks discovered post-release.</w:t>
      </w:r>
    </w:p>
    <w:p>
      <w:r>
        <w:br w:type="page"/>
      </w:r>
    </w:p>
    <w:p>
      <w:pPr>
        <w:keepNext/>
        <w:spacing w:before="400" w:after="120"/>
      </w:pPr>
      <w:r>
        <w:rPr>
          <w:rFonts w:ascii="Calibri" w:hAnsi="Calibri"/>
          <w:b/>
          <w:color w:val="0B2545"/>
          <w:sz w:val="30"/>
        </w:rPr>
        <w:t>SECTION 4: PROHIBITED &amp; UNACCEPTABLE AI USE CASES</w:t>
      </w:r>
    </w:p>
    <w:p>
      <w:pPr>
        <w:keepNext/>
        <w:spacing w:before="280" w:after="80"/>
      </w:pPr>
      <w:r>
        <w:rPr>
          <w:rFonts w:ascii="Calibri" w:hAnsi="Calibri"/>
          <w:b/>
          <w:color w:val="136F63"/>
          <w:sz w:val="24"/>
        </w:rPr>
        <w:t>4.1 Absolute Prohibitions &amp; Red Lines</w:t>
      </w:r>
    </w:p>
    <w:p>
      <w:pPr>
        <w:spacing w:before="0" w:after="120" w:line="276" w:lineRule="auto"/>
      </w:pPr>
      <w:r>
        <w:rPr>
          <w:rFonts w:ascii="Calibri" w:hAnsi="Calibri"/>
          <w:color w:val="2D3237"/>
          <w:sz w:val="20"/>
        </w:rPr>
        <w:t>Clause 4.1.1 — G42 strictly prohibits the research, development, training, fine-tuning, procurement, hosting, distribution, or commercialization of artificial intelligence technologies designed for or capable of being utilized in unacceptable use cases. These prohibitions reflect absolute ethical red lines grounded in UAE Federal Law, the Universal Declaration of Human Rights, the EU AI Act Prohibited Practices (Article 5), and the G42 Ethical Charter.</w:t>
      </w:r>
    </w:p>
    <w:p>
      <w:pPr>
        <w:spacing w:before="0" w:after="120" w:line="276" w:lineRule="auto"/>
      </w:pPr>
      <w:r>
        <w:rPr>
          <w:rFonts w:ascii="Calibri" w:hAnsi="Calibri"/>
          <w:color w:val="2D3237"/>
          <w:sz w:val="20"/>
        </w:rPr>
        <w:t>Clause 4.1.2 — Any employee, researcher, executive, or contractor found to be engaging in the development of prohibited AI systems shall face immediate summary dismissal for gross misconduct, total forfeiture of long-term incentives, and immediate referral to national and international regulatory authorities for criminal prosecution.</w:t>
      </w:r>
    </w:p>
    <w:p>
      <w:pPr>
        <w:keepNext/>
        <w:spacing w:before="280" w:after="80"/>
      </w:pPr>
      <w:r>
        <w:rPr>
          <w:rFonts w:ascii="Calibri" w:hAnsi="Calibri"/>
          <w:b/>
          <w:color w:val="136F63"/>
          <w:sz w:val="24"/>
        </w:rPr>
        <w:t>4.2 Categorization of Prohibited Practices</w:t>
      </w:r>
    </w:p>
    <w:p>
      <w:pPr>
        <w:spacing w:before="0" w:after="120" w:line="276" w:lineRule="auto"/>
      </w:pPr>
      <w:r>
        <w:rPr>
          <w:rFonts w:ascii="Calibri" w:hAnsi="Calibri"/>
          <w:color w:val="2D3237"/>
          <w:sz w:val="20"/>
        </w:rPr>
        <w:t>Clause 4.2.1 — The following use cases are categorically prohibited across all G42 compute clusters, software repositories, and subsidiary entities without exception:</w:t>
      </w:r>
    </w:p>
    <w:tbl>
      <w:tblPr>
        <w:tblW w:type="auto" w:w="0"/>
        <w:jc w:val="center"/>
        <w:tblLayout w:type="fixed"/>
        <w:tblLook w:firstColumn="1" w:firstRow="1" w:lastColumn="0" w:lastRow="0" w:noHBand="0" w:noVBand="1" w:val="04A0"/>
      </w:tblPr>
      <w:tblGrid>
        <w:gridCol w:w="2160"/>
        <w:gridCol w:w="4608"/>
        <w:gridCol w:w="2261"/>
      </w:tblGrid>
      <w:tr>
        <w:tc>
          <w:tcPr>
            <w:tcW w:type="dxa" w:w="2160"/>
            <w:shd w:fill="0B2545"/>
            <w:tcMar>
              <w:top w:w="120" w:type="dxa"/>
              <w:bottom w:w="120" w:type="dxa"/>
              <w:left w:w="130" w:type="dxa"/>
              <w:right w:w="130" w:type="dxa"/>
            </w:tcMar>
          </w:tcPr>
          <w:p>
            <w:pPr>
              <w:spacing w:before="0" w:after="0"/>
              <w:jc w:val="left"/>
            </w:pPr>
            <w:r>
              <w:rPr>
                <w:rFonts w:ascii="Calibri" w:hAnsi="Calibri"/>
                <w:b/>
                <w:color w:val="FFFFFF"/>
                <w:sz w:val="18"/>
              </w:rPr>
              <w:t>Prohibition Category</w:t>
            </w:r>
          </w:p>
        </w:tc>
        <w:tc>
          <w:tcPr>
            <w:tcW w:type="dxa" w:w="4608"/>
            <w:shd w:fill="0B2545"/>
            <w:tcMar>
              <w:top w:w="120" w:type="dxa"/>
              <w:bottom w:w="120" w:type="dxa"/>
              <w:left w:w="130" w:type="dxa"/>
              <w:right w:w="130" w:type="dxa"/>
            </w:tcMar>
          </w:tcPr>
          <w:p>
            <w:pPr>
              <w:spacing w:before="0" w:after="0"/>
              <w:jc w:val="left"/>
            </w:pPr>
            <w:r>
              <w:rPr>
                <w:rFonts w:ascii="Calibri" w:hAnsi="Calibri"/>
                <w:b/>
                <w:color w:val="FFFFFF"/>
                <w:sz w:val="18"/>
              </w:rPr>
              <w:t>Technical Description &amp; Bounded Scope</w:t>
            </w:r>
          </w:p>
        </w:tc>
        <w:tc>
          <w:tcPr>
            <w:tcW w:type="dxa" w:w="2261"/>
            <w:shd w:fill="0B2545"/>
            <w:tcMar>
              <w:top w:w="120" w:type="dxa"/>
              <w:bottom w:w="120" w:type="dxa"/>
              <w:left w:w="130" w:type="dxa"/>
              <w:right w:w="130" w:type="dxa"/>
            </w:tcMar>
          </w:tcPr>
          <w:p>
            <w:pPr>
              <w:spacing w:before="0" w:after="0"/>
              <w:jc w:val="left"/>
            </w:pPr>
            <w:r>
              <w:rPr>
                <w:rFonts w:ascii="Calibri" w:hAnsi="Calibri"/>
                <w:b/>
                <w:color w:val="FFFFFF"/>
                <w:sz w:val="18"/>
              </w:rPr>
              <w:t>Statutory Baseline</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Prohibited Category</w:t>
            </w:r>
          </w:p>
        </w:tc>
        <w:tc>
          <w:tcPr>
            <w:tcW w:type="dxa" w:w="4608"/>
            <w:shd w:fill="FFFFFF"/>
            <w:tcMar>
              <w:top w:w="95" w:type="dxa"/>
              <w:bottom w:w="95" w:type="dxa"/>
              <w:left w:w="130" w:type="dxa"/>
              <w:right w:w="130" w:type="dxa"/>
            </w:tcMar>
          </w:tcPr>
          <w:p>
            <w:pPr>
              <w:spacing w:before="0" w:after="0"/>
            </w:pPr>
            <w:r>
              <w:rPr>
                <w:rFonts w:ascii="Calibri" w:hAnsi="Calibri"/>
                <w:color w:val="2D3237"/>
                <w:sz w:val="17"/>
              </w:rPr>
              <w:t>Detailed Technical Description &amp; Scope</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Statutory Concordance</w:t>
            </w:r>
          </w:p>
        </w:tc>
      </w:tr>
      <w:tr>
        <w:tc>
          <w:tcPr>
            <w:tcW w:type="dxa" w:w="2160"/>
            <w:shd w:fill="F7F9FB"/>
            <w:tcMar>
              <w:top w:w="95" w:type="dxa"/>
              <w:bottom w:w="95" w:type="dxa"/>
              <w:left w:w="130" w:type="dxa"/>
              <w:right w:w="130" w:type="dxa"/>
            </w:tcMar>
          </w:tcPr>
          <w:p>
            <w:pPr>
              <w:spacing w:before="0" w:after="0"/>
            </w:pPr>
            <w:r>
              <w:rPr>
                <w:rFonts w:ascii="Calibri" w:hAnsi="Calibri"/>
                <w:color w:val="2D3237"/>
                <w:sz w:val="17"/>
              </w:rPr>
              <w:t>Subliminal &amp; Cognitive Manipulation</w:t>
            </w:r>
          </w:p>
        </w:tc>
        <w:tc>
          <w:tcPr>
            <w:tcW w:type="dxa" w:w="4608"/>
            <w:shd w:fill="F7F9FB"/>
            <w:tcMar>
              <w:top w:w="95" w:type="dxa"/>
              <w:bottom w:w="95" w:type="dxa"/>
              <w:left w:w="130" w:type="dxa"/>
              <w:right w:w="130" w:type="dxa"/>
            </w:tcMar>
          </w:tcPr>
          <w:p>
            <w:pPr>
              <w:spacing w:before="0" w:after="0"/>
            </w:pPr>
            <w:r>
              <w:rPr>
                <w:rFonts w:ascii="Calibri" w:hAnsi="Calibri"/>
                <w:color w:val="2D3237"/>
                <w:sz w:val="17"/>
              </w:rPr>
              <w:t>Deploying subliminal, acoustic, visual, or psychological manipulation techniques beyond human consciousness to materially distort an individual's behavior, leading to physical or psychological harm.</w:t>
            </w:r>
          </w:p>
        </w:tc>
        <w:tc>
          <w:tcPr>
            <w:tcW w:type="dxa" w:w="2261"/>
            <w:shd w:fill="F7F9FB"/>
            <w:tcMar>
              <w:top w:w="95" w:type="dxa"/>
              <w:bottom w:w="95" w:type="dxa"/>
              <w:left w:w="130" w:type="dxa"/>
              <w:right w:w="130" w:type="dxa"/>
            </w:tcMar>
          </w:tcPr>
          <w:p>
            <w:pPr>
              <w:spacing w:before="0" w:after="0"/>
            </w:pPr>
            <w:r>
              <w:rPr>
                <w:rFonts w:ascii="Calibri" w:hAnsi="Calibri"/>
                <w:color w:val="2D3237"/>
                <w:sz w:val="17"/>
              </w:rPr>
              <w:t>EU AI Act Art. 5(1)(a); UAE Consumer Protection Law.</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Vulnerability Exploitation</w:t>
            </w:r>
          </w:p>
        </w:tc>
        <w:tc>
          <w:tcPr>
            <w:tcW w:type="dxa" w:w="4608"/>
            <w:shd w:fill="FFFFFF"/>
            <w:tcMar>
              <w:top w:w="95" w:type="dxa"/>
              <w:bottom w:w="95" w:type="dxa"/>
              <w:left w:w="130" w:type="dxa"/>
              <w:right w:w="130" w:type="dxa"/>
            </w:tcMar>
          </w:tcPr>
          <w:p>
            <w:pPr>
              <w:spacing w:before="0" w:after="0"/>
            </w:pPr>
            <w:r>
              <w:rPr>
                <w:rFonts w:ascii="Calibri" w:hAnsi="Calibri"/>
                <w:color w:val="2D3237"/>
                <w:sz w:val="17"/>
              </w:rPr>
              <w:t>Exploiting the vulnerabilities of specific persons or groups due to their age, physical disability, mental illness, or socio-economic distress to distort their decision-making to their detriment.</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EU AI Act Art. 5(1)(b); UAE Child Rights Law.</w:t>
            </w:r>
          </w:p>
        </w:tc>
      </w:tr>
      <w:tr>
        <w:tc>
          <w:tcPr>
            <w:tcW w:type="dxa" w:w="2160"/>
            <w:shd w:fill="F7F9FB"/>
            <w:tcMar>
              <w:top w:w="95" w:type="dxa"/>
              <w:bottom w:w="95" w:type="dxa"/>
              <w:left w:w="130" w:type="dxa"/>
              <w:right w:w="130" w:type="dxa"/>
            </w:tcMar>
          </w:tcPr>
          <w:p>
            <w:pPr>
              <w:spacing w:before="0" w:after="0"/>
            </w:pPr>
            <w:r>
              <w:rPr>
                <w:rFonts w:ascii="Calibri" w:hAnsi="Calibri"/>
                <w:color w:val="2D3237"/>
                <w:sz w:val="17"/>
              </w:rPr>
              <w:t>Social Credit Scoring</w:t>
            </w:r>
          </w:p>
        </w:tc>
        <w:tc>
          <w:tcPr>
            <w:tcW w:type="dxa" w:w="4608"/>
            <w:shd w:fill="F7F9FB"/>
            <w:tcMar>
              <w:top w:w="95" w:type="dxa"/>
              <w:bottom w:w="95" w:type="dxa"/>
              <w:left w:w="130" w:type="dxa"/>
              <w:right w:w="130" w:type="dxa"/>
            </w:tcMar>
          </w:tcPr>
          <w:p>
            <w:pPr>
              <w:spacing w:before="0" w:after="0"/>
            </w:pPr>
            <w:r>
              <w:rPr>
                <w:rFonts w:ascii="Calibri" w:hAnsi="Calibri"/>
                <w:color w:val="2D3237"/>
                <w:sz w:val="17"/>
              </w:rPr>
              <w:t>Developing, hosting, or maintaining social scoring algorithms evaluated on general personal behavior, leading to detrimental or unfavorable social classification across unrelated contexts.</w:t>
            </w:r>
          </w:p>
        </w:tc>
        <w:tc>
          <w:tcPr>
            <w:tcW w:type="dxa" w:w="2261"/>
            <w:shd w:fill="F7F9FB"/>
            <w:tcMar>
              <w:top w:w="95" w:type="dxa"/>
              <w:bottom w:w="95" w:type="dxa"/>
              <w:left w:w="130" w:type="dxa"/>
              <w:right w:w="130" w:type="dxa"/>
            </w:tcMar>
          </w:tcPr>
          <w:p>
            <w:pPr>
              <w:spacing w:before="0" w:after="0"/>
            </w:pPr>
            <w:r>
              <w:rPr>
                <w:rFonts w:ascii="Calibri" w:hAnsi="Calibri"/>
                <w:color w:val="2D3237"/>
                <w:sz w:val="17"/>
              </w:rPr>
              <w:t>EU AI Act Art. 5(1)(c); ISO/IEC 42001 Cl. 8.4.</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Untargeted Biometric Mass Scraping</w:t>
            </w:r>
          </w:p>
        </w:tc>
        <w:tc>
          <w:tcPr>
            <w:tcW w:type="dxa" w:w="4608"/>
            <w:shd w:fill="FFFFFF"/>
            <w:tcMar>
              <w:top w:w="95" w:type="dxa"/>
              <w:bottom w:w="95" w:type="dxa"/>
              <w:left w:w="130" w:type="dxa"/>
              <w:right w:w="130" w:type="dxa"/>
            </w:tcMar>
          </w:tcPr>
          <w:p>
            <w:pPr>
              <w:spacing w:before="0" w:after="0"/>
            </w:pPr>
            <w:r>
              <w:rPr>
                <w:rFonts w:ascii="Calibri" w:hAnsi="Calibri"/>
                <w:color w:val="2D3237"/>
                <w:sz w:val="17"/>
              </w:rPr>
              <w:t>Scraping facial images, CCTV streams, or biometric data from the internet or social media to build or expand unconsented facial recognition databases.</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EU AI Act Art. 5(1)(e); UAE Data Protection Law (Decree 45).</w:t>
            </w:r>
          </w:p>
        </w:tc>
      </w:tr>
      <w:tr>
        <w:tc>
          <w:tcPr>
            <w:tcW w:type="dxa" w:w="2160"/>
            <w:shd w:fill="F7F9FB"/>
            <w:tcMar>
              <w:top w:w="95" w:type="dxa"/>
              <w:bottom w:w="95" w:type="dxa"/>
              <w:left w:w="130" w:type="dxa"/>
              <w:right w:w="130" w:type="dxa"/>
            </w:tcMar>
          </w:tcPr>
          <w:p>
            <w:pPr>
              <w:spacing w:before="0" w:after="0"/>
            </w:pPr>
            <w:r>
              <w:rPr>
                <w:rFonts w:ascii="Calibri" w:hAnsi="Calibri"/>
                <w:color w:val="2D3237"/>
                <w:sz w:val="17"/>
              </w:rPr>
              <w:t>Real-Time Remote Biometrics in Public Spaces</w:t>
            </w:r>
          </w:p>
        </w:tc>
        <w:tc>
          <w:tcPr>
            <w:tcW w:type="dxa" w:w="4608"/>
            <w:shd w:fill="F7F9FB"/>
            <w:tcMar>
              <w:top w:w="95" w:type="dxa"/>
              <w:bottom w:w="95" w:type="dxa"/>
              <w:left w:w="130" w:type="dxa"/>
              <w:right w:w="130" w:type="dxa"/>
            </w:tcMar>
          </w:tcPr>
          <w:p>
            <w:pPr>
              <w:spacing w:before="0" w:after="0"/>
            </w:pPr>
            <w:r>
              <w:rPr>
                <w:rFonts w:ascii="Calibri" w:hAnsi="Calibri"/>
                <w:color w:val="2D3237"/>
                <w:sz w:val="17"/>
              </w:rPr>
              <w:t>Deploying real-time remote biometric identification systems in publicly accessible spaces for law enforcement, except under explicit, prior judicial warrant.</w:t>
            </w:r>
          </w:p>
        </w:tc>
        <w:tc>
          <w:tcPr>
            <w:tcW w:type="dxa" w:w="2261"/>
            <w:shd w:fill="F7F9FB"/>
            <w:tcMar>
              <w:top w:w="95" w:type="dxa"/>
              <w:bottom w:w="95" w:type="dxa"/>
              <w:left w:w="130" w:type="dxa"/>
              <w:right w:w="130" w:type="dxa"/>
            </w:tcMar>
          </w:tcPr>
          <w:p>
            <w:pPr>
              <w:spacing w:before="0" w:after="0"/>
            </w:pPr>
            <w:r>
              <w:rPr>
                <w:rFonts w:ascii="Calibri" w:hAnsi="Calibri"/>
                <w:color w:val="2D3237"/>
                <w:sz w:val="17"/>
              </w:rPr>
              <w:t>EU AI Act Art. 5(1)(h); International Human Rights Treaties.</w:t>
            </w:r>
          </w:p>
        </w:tc>
      </w:tr>
      <w:tr>
        <w:tc>
          <w:tcPr>
            <w:tcW w:type="dxa" w:w="2160"/>
            <w:shd w:fill="FFFFFF"/>
            <w:tcMar>
              <w:top w:w="95" w:type="dxa"/>
              <w:bottom w:w="95" w:type="dxa"/>
              <w:left w:w="130" w:type="dxa"/>
              <w:right w:w="130" w:type="dxa"/>
            </w:tcMar>
          </w:tcPr>
          <w:p>
            <w:pPr>
              <w:spacing w:before="0" w:after="0"/>
            </w:pPr>
            <w:r>
              <w:rPr>
                <w:rFonts w:ascii="Calibri" w:hAnsi="Calibri"/>
                <w:color w:val="2D3237"/>
                <w:sz w:val="17"/>
              </w:rPr>
              <w:t>Autonomous Lethal Targeting</w:t>
            </w:r>
          </w:p>
        </w:tc>
        <w:tc>
          <w:tcPr>
            <w:tcW w:type="dxa" w:w="4608"/>
            <w:shd w:fill="FFFFFF"/>
            <w:tcMar>
              <w:top w:w="95" w:type="dxa"/>
              <w:bottom w:w="95" w:type="dxa"/>
              <w:left w:w="130" w:type="dxa"/>
              <w:right w:w="130" w:type="dxa"/>
            </w:tcMar>
          </w:tcPr>
          <w:p>
            <w:pPr>
              <w:spacing w:before="0" w:after="0"/>
            </w:pPr>
            <w:r>
              <w:rPr>
                <w:rFonts w:ascii="Calibri" w:hAnsi="Calibri"/>
                <w:color w:val="2D3237"/>
                <w:sz w:val="17"/>
              </w:rPr>
              <w:t>Developing unconstrained autonomous weapon systems capable of selecting and engaging human targets without meaningful, real-time human command and intervention.</w:t>
            </w:r>
          </w:p>
        </w:tc>
        <w:tc>
          <w:tcPr>
            <w:tcW w:type="dxa" w:w="2261"/>
            <w:shd w:fill="FFFFFF"/>
            <w:tcMar>
              <w:top w:w="95" w:type="dxa"/>
              <w:bottom w:w="95" w:type="dxa"/>
              <w:left w:w="130" w:type="dxa"/>
              <w:right w:w="130" w:type="dxa"/>
            </w:tcMar>
          </w:tcPr>
          <w:p>
            <w:pPr>
              <w:spacing w:before="0" w:after="0"/>
            </w:pPr>
            <w:r>
              <w:rPr>
                <w:rFonts w:ascii="Calibri" w:hAnsi="Calibri"/>
                <w:color w:val="2D3237"/>
                <w:sz w:val="17"/>
              </w:rPr>
              <w:t>UN Convention on Certain Conventional Weapons (CCW).</w:t>
            </w:r>
          </w:p>
        </w:tc>
      </w:tr>
      <w:tr>
        <w:tc>
          <w:tcPr>
            <w:tcW w:type="dxa" w:w="2160"/>
            <w:shd w:fill="F7F9FB"/>
            <w:tcMar>
              <w:top w:w="95" w:type="dxa"/>
              <w:bottom w:w="95" w:type="dxa"/>
              <w:left w:w="130" w:type="dxa"/>
              <w:right w:w="130" w:type="dxa"/>
            </w:tcMar>
          </w:tcPr>
          <w:p>
            <w:pPr>
              <w:spacing w:before="0" w:after="0"/>
            </w:pPr>
            <w:r>
              <w:rPr>
                <w:rFonts w:ascii="Calibri" w:hAnsi="Calibri"/>
                <w:color w:val="2D3237"/>
                <w:sz w:val="17"/>
              </w:rPr>
              <w:t>Synthetic CSAM &amp; Malicious Deepfakes</w:t>
            </w:r>
          </w:p>
        </w:tc>
        <w:tc>
          <w:tcPr>
            <w:tcW w:type="dxa" w:w="4608"/>
            <w:shd w:fill="F7F9FB"/>
            <w:tcMar>
              <w:top w:w="95" w:type="dxa"/>
              <w:bottom w:w="95" w:type="dxa"/>
              <w:left w:w="130" w:type="dxa"/>
              <w:right w:w="130" w:type="dxa"/>
            </w:tcMar>
          </w:tcPr>
          <w:p>
            <w:pPr>
              <w:spacing w:before="0" w:after="0"/>
            </w:pPr>
            <w:r>
              <w:rPr>
                <w:rFonts w:ascii="Calibri" w:hAnsi="Calibri"/>
                <w:color w:val="2D3237"/>
                <w:sz w:val="17"/>
              </w:rPr>
              <w:t>Generating, amplifying, or facilitating synthetic child sexual abuse material (CSAM), non-consensual intimate imagery, or algorithmic election disinformation.</w:t>
            </w:r>
          </w:p>
        </w:tc>
        <w:tc>
          <w:tcPr>
            <w:tcW w:type="dxa" w:w="2261"/>
            <w:shd w:fill="F7F9FB"/>
            <w:tcMar>
              <w:top w:w="95" w:type="dxa"/>
              <w:bottom w:w="95" w:type="dxa"/>
              <w:left w:w="130" w:type="dxa"/>
              <w:right w:w="130" w:type="dxa"/>
            </w:tcMar>
          </w:tcPr>
          <w:p>
            <w:pPr>
              <w:spacing w:before="0" w:after="0"/>
            </w:pPr>
            <w:r>
              <w:rPr>
                <w:rFonts w:ascii="Calibri" w:hAnsi="Calibri"/>
                <w:color w:val="2D3237"/>
                <w:sz w:val="17"/>
              </w:rPr>
              <w:t>UAE Federal Cybercrime Law No. 34/2021; US CSAM Mandates.</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[DUAL-USE RESEARCH DIRECTIVE]</w:t>
              <w:br/>
            </w:r>
            <w:r>
              <w:rPr>
                <w:rFonts w:ascii="Calibri" w:hAnsi="Calibri"/>
                <w:color w:val="2D3237"/>
                <w:sz w:val="19"/>
              </w:rPr>
              <w:t>DUAL-USE TECHNOLOGY SCREENING: All advanced foundational research into biological macromolecule folding, chemical synthesis algorithms, cyber penetration tooling, and autonomous network exploitation must undergo mandatory Dual-Use Safety Clearance by the Group AI Ethics &amp; Safety Board before code execution on high-density GPU clusters.</w:t>
            </w:r>
          </w:p>
        </w:tc>
      </w:tr>
    </w:tbl>
    <w:p>
      <w:pPr>
        <w:spacing w:before="0" w:after="80"/>
      </w:pPr>
    </w:p>
    <w:p>
      <w:r>
        <w:br w:type="page"/>
      </w:r>
    </w:p>
    <w:p>
      <w:pPr>
        <w:keepNext/>
        <w:spacing w:before="400" w:after="120"/>
      </w:pPr>
      <w:r>
        <w:rPr>
          <w:rFonts w:ascii="Calibri" w:hAnsi="Calibri"/>
          <w:b/>
          <w:color w:val="0B2545"/>
          <w:sz w:val="30"/>
        </w:rPr>
        <w:t>SECTION 5: RESPONSIBLE AI ENGINEERING LIFECYCLE (MLOPS &amp; LLMOPS)</w:t>
      </w:r>
    </w:p>
    <w:p>
      <w:pPr>
        <w:keepNext/>
        <w:spacing w:before="280" w:after="80"/>
      </w:pPr>
      <w:r>
        <w:rPr>
          <w:rFonts w:ascii="Calibri" w:hAnsi="Calibri"/>
          <w:b/>
          <w:color w:val="136F63"/>
          <w:sz w:val="24"/>
        </w:rPr>
        <w:t>5.1 Data Ingestion, Provenance &amp; Synthetic Data Hygiene</w:t>
      </w:r>
    </w:p>
    <w:p>
      <w:pPr>
        <w:spacing w:before="0" w:after="120" w:line="276" w:lineRule="auto"/>
      </w:pPr>
      <w:r>
        <w:rPr>
          <w:rFonts w:ascii="Calibri" w:hAnsi="Calibri"/>
          <w:color w:val="2D3237"/>
          <w:sz w:val="20"/>
        </w:rPr>
        <w:t>Clause 5.1.1 — Data integrity is the foundation of trustworthy artificial intelligence. All datasets utilized for pre-training foundational models, instruction fine-tuning, domain adaptation, and vector retrieval must undergo rigorous provenance auditing, intellectual property vetting, and data hygiene screening prior to cluster ingestion.</w:t>
      </w:r>
    </w:p>
    <w:p>
      <w:pPr>
        <w:spacing w:before="0" w:after="120" w:line="276" w:lineRule="auto"/>
      </w:pPr>
      <w:r>
        <w:rPr>
          <w:rFonts w:ascii="Calibri" w:hAnsi="Calibri"/>
          <w:color w:val="2D3237"/>
          <w:sz w:val="20"/>
        </w:rPr>
        <w:t>Clause 5.1.2 — Data Engineering teams must record complete cryptographic lineage for every dataset within the G42 Enterprise Data Catalogue. The metadata schema must document: (a) source provenance and licensing terms; (b) copyright clearance status; (c) consent parameters; (d) demographic distribution; (e) PII scrubbing verification; and (f) SHA-256 cryptographic hash of raw and pre-processed corpora.</w:t>
      </w:r>
    </w:p>
    <w:p>
      <w:pPr>
        <w:pStyle w:val="ListBullet"/>
        <w:spacing w:before="0" w:after="60" w:line="276" w:lineRule="auto"/>
      </w:pPr>
      <w:r>
        <w:rPr>
          <w:rFonts w:ascii="Calibri" w:hAnsi="Calibri"/>
          <w:b/>
          <w:color w:val="2D3237"/>
          <w:sz w:val="20"/>
        </w:rPr>
        <w:t xml:space="preserve">PII &amp; Sensitive Data Scrubbing: </w:t>
      </w:r>
      <w:r>
        <w:rPr>
          <w:rFonts w:ascii="Calibri" w:hAnsi="Calibri"/>
          <w:color w:val="2D3237"/>
          <w:sz w:val="20"/>
        </w:rPr>
        <w:t>All training corpora must pass through automated token-level PII sanitizers (scrubbing names, email addresses, phone numbers, passport IDs, IP addresses, and medical records).</w:t>
      </w:r>
    </w:p>
    <w:p>
      <w:pPr>
        <w:pStyle w:val="ListBullet"/>
        <w:spacing w:before="0" w:after="60" w:line="276" w:lineRule="auto"/>
      </w:pPr>
      <w:r>
        <w:rPr>
          <w:rFonts w:ascii="Calibri" w:hAnsi="Calibri"/>
          <w:b/>
          <w:color w:val="2D3237"/>
          <w:sz w:val="20"/>
        </w:rPr>
        <w:t xml:space="preserve">Copyright &amp; Fair Use Clearance: </w:t>
      </w:r>
      <w:r>
        <w:rPr>
          <w:rFonts w:ascii="Calibri" w:hAnsi="Calibri"/>
          <w:color w:val="2D3237"/>
          <w:sz w:val="20"/>
        </w:rPr>
        <w:t>Datasets scraped from public internet sources must be verified against robots.txt protocols, publisher terms of service, and DMCA copyright carve-outs. Proprietary commercial text requires formal licensing agreements.</w:t>
      </w:r>
    </w:p>
    <w:p>
      <w:pPr>
        <w:pStyle w:val="ListBullet"/>
        <w:spacing w:before="0" w:after="60" w:line="276" w:lineRule="auto"/>
      </w:pPr>
      <w:r>
        <w:rPr>
          <w:rFonts w:ascii="Calibri" w:hAnsi="Calibri"/>
          <w:b/>
          <w:color w:val="2D3237"/>
          <w:sz w:val="20"/>
        </w:rPr>
        <w:t xml:space="preserve">Synthetic Data Contamination Controls: </w:t>
      </w:r>
      <w:r>
        <w:rPr>
          <w:rFonts w:ascii="Calibri" w:hAnsi="Calibri"/>
          <w:color w:val="2D3237"/>
          <w:sz w:val="20"/>
        </w:rPr>
        <w:t>Synthetic datasets generated by upstream LLMs must be explicitly tagged as synthetic in metadata. Synthetic data must undergo automated contamination scanning to prevent model collapse and recursive error amplification.</w:t>
      </w:r>
    </w:p>
    <w:p>
      <w:pPr>
        <w:keepNext/>
        <w:spacing w:before="280" w:after="80"/>
      </w:pPr>
      <w:r>
        <w:rPr>
          <w:rFonts w:ascii="Calibri" w:hAnsi="Calibri"/>
          <w:b/>
          <w:color w:val="136F63"/>
          <w:sz w:val="24"/>
        </w:rPr>
        <w:t>5.2 Training Infrastructure, Supercomputing &amp; Energy Sustainability</w:t>
      </w:r>
    </w:p>
    <w:p>
      <w:pPr>
        <w:spacing w:before="0" w:after="120" w:line="276" w:lineRule="auto"/>
      </w:pPr>
      <w:r>
        <w:rPr>
          <w:rFonts w:ascii="Calibri" w:hAnsi="Calibri"/>
          <w:color w:val="2D3237"/>
          <w:sz w:val="20"/>
        </w:rPr>
        <w:t>Clause 5.2.1 — Hyperscale training clusters (e.g., Condor Galaxy) managed by Core42 and Khazna must enforce strict operational security and environmental sustainability baselines:</w:t>
      </w:r>
    </w:p>
    <w:p>
      <w:pPr>
        <w:pStyle w:val="ListBullet"/>
        <w:spacing w:before="0" w:after="60" w:line="276" w:lineRule="auto"/>
      </w:pPr>
      <w:r>
        <w:rPr>
          <w:rFonts w:ascii="Calibri" w:hAnsi="Calibri"/>
          <w:b/>
          <w:color w:val="2D3237"/>
          <w:sz w:val="20"/>
        </w:rPr>
        <w:t xml:space="preserve">Carbon &amp; Energy Telemetry: </w:t>
      </w:r>
      <w:r>
        <w:rPr>
          <w:rFonts w:ascii="Calibri" w:hAnsi="Calibri"/>
          <w:color w:val="2D3237"/>
          <w:sz w:val="20"/>
        </w:rPr>
        <w:t>Compute clusters allocated for foundational training must implement automated telemetry tracking power usage effectiveness (PUE &lt; 1.15), GPU carbon intensity, and dynamic load balancing to maximize renewable energy utilization.</w:t>
      </w:r>
    </w:p>
    <w:p>
      <w:pPr>
        <w:pStyle w:val="ListBullet"/>
        <w:spacing w:before="0" w:after="60" w:line="276" w:lineRule="auto"/>
      </w:pPr>
      <w:r>
        <w:rPr>
          <w:rFonts w:ascii="Calibri" w:hAnsi="Calibri"/>
          <w:b/>
          <w:color w:val="2D3237"/>
          <w:sz w:val="20"/>
        </w:rPr>
        <w:t xml:space="preserve">Checkpoint Encryption: </w:t>
      </w:r>
      <w:r>
        <w:rPr>
          <w:rFonts w:ascii="Calibri" w:hAnsi="Calibri"/>
          <w:color w:val="2D3237"/>
          <w:sz w:val="20"/>
        </w:rPr>
        <w:t>Training run state checkpoints must be automatically encrypted in transit and at rest using AES-256-GCM encryption with Customer-Managed Encryption Keys (CMEK) managed in dedicated Hardware Security Modules (HSM).</w:t>
      </w:r>
    </w:p>
    <w:p>
      <w:pPr>
        <w:pStyle w:val="ListBullet"/>
        <w:spacing w:before="0" w:after="60" w:line="276" w:lineRule="auto"/>
      </w:pPr>
      <w:r>
        <w:rPr>
          <w:rFonts w:ascii="Calibri" w:hAnsi="Calibri"/>
          <w:b/>
          <w:color w:val="2D3237"/>
          <w:sz w:val="20"/>
        </w:rPr>
        <w:t xml:space="preserve">Zero-Interactive Cluster Access: </w:t>
      </w:r>
      <w:r>
        <w:rPr>
          <w:rFonts w:ascii="Calibri" w:hAnsi="Calibri"/>
          <w:color w:val="2D3237"/>
          <w:sz w:val="20"/>
        </w:rPr>
        <w:t>Direct SSH or interactive shell access to active training nodes is strictly prohibited; all workloads must be orchestrated via authenticated containerized CI/CD pipelines with immutable execution logs.</w:t>
      </w:r>
    </w:p>
    <w:p>
      <w:pPr>
        <w:keepNext/>
        <w:spacing w:before="200" w:after="40"/>
      </w:pPr>
      <w:r>
        <w:rPr>
          <w:rFonts w:ascii="Calibri" w:hAnsi="Calibri"/>
          <w:b/>
          <w:color w:val="0B2545"/>
          <w:sz w:val="21"/>
        </w:rPr>
        <w:t>5.3 Model Weight Integrity &amp; Checkpoint Security</w:t>
      </w:r>
    </w:p>
    <w:p>
      <w:pPr>
        <w:spacing w:before="0" w:after="120" w:line="276" w:lineRule="auto"/>
      </w:pPr>
      <w:r>
        <w:rPr>
          <w:rFonts w:ascii="Calibri" w:hAnsi="Calibri"/>
          <w:color w:val="2D3237"/>
          <w:sz w:val="20"/>
        </w:rPr>
        <w:t>Clause 5.3.1 — Model weights represent the Group's primary intellectual property and security perimeter. All neural network checkpoints, tensor weights, and adapter layers exceeding 500 million parameters must be stored within Object Storage configured with Object Lock (WORM - Write Once, Read Many). Weights must be digitally signed using the G42 Sigstore PKI infrastructure. Production inference engines shall reject any model weight payload lacking a valid cryptographic signature from an authorized, certified build pipeline.</w:t>
      </w:r>
    </w:p>
    <w:p>
      <w:r>
        <w:br w:type="page"/>
      </w:r>
    </w:p>
    <w:p>
      <w:pPr>
        <w:keepNext/>
        <w:spacing w:before="400" w:after="120"/>
      </w:pPr>
      <w:r>
        <w:rPr>
          <w:rFonts w:ascii="Calibri" w:hAnsi="Calibri"/>
          <w:b/>
          <w:color w:val="0B2545"/>
          <w:sz w:val="30"/>
        </w:rPr>
        <w:t>SECTION 6: MODEL ALIGNMENT, EVALUATION &amp; RED-TEAMING MANDATES</w:t>
      </w:r>
    </w:p>
    <w:p>
      <w:pPr>
        <w:keepNext/>
        <w:spacing w:before="280" w:after="80"/>
      </w:pPr>
      <w:r>
        <w:rPr>
          <w:rFonts w:ascii="Calibri" w:hAnsi="Calibri"/>
          <w:b/>
          <w:color w:val="136F63"/>
          <w:sz w:val="24"/>
        </w:rPr>
        <w:t>6.1 Formal Alignment &amp; Safety Benchmarking</w:t>
      </w:r>
    </w:p>
    <w:p>
      <w:pPr>
        <w:spacing w:before="0" w:after="120" w:line="276" w:lineRule="auto"/>
      </w:pPr>
      <w:r>
        <w:rPr>
          <w:rFonts w:ascii="Calibri" w:hAnsi="Calibri"/>
          <w:color w:val="2D3237"/>
          <w:sz w:val="20"/>
        </w:rPr>
        <w:t>Clause 6.1.1 — No machine learning model, fine-tuned foundational checkpoint, or agentic reasoning engine shall be promoted to production status without successfully passing the comprehensive G42 Safety Alignment Suite (SAS). The Alignment Suite evaluates models against rigorous quantitative thresholds across toxicity, hallucination, bias, truthfulness, and safety compliance.</w:t>
      </w:r>
    </w:p>
    <w:p>
      <w:pPr>
        <w:spacing w:before="0" w:after="120" w:line="276" w:lineRule="auto"/>
      </w:pPr>
      <w:r>
        <w:rPr>
          <w:rFonts w:ascii="Calibri" w:hAnsi="Calibri"/>
          <w:color w:val="2D3237"/>
          <w:sz w:val="20"/>
        </w:rPr>
        <w:t>Clause 6.1.2 — Foundational LLMs (such as the Jais series) must be aligned using Reinforcement Learning from Human Feedback (RLHF), Direct Preference Optimization (DPO), and Reinforcement Learning from AI Feedback (RLAIF) calibrated to multicultural human values, international ethical frameworks, and regional cultural sensibilities.</w:t>
      </w:r>
    </w:p>
    <w:tbl>
      <w:tblPr>
        <w:tblW w:type="auto" w:w="0"/>
        <w:jc w:val="center"/>
        <w:tblLayout w:type="fixed"/>
        <w:tblLook w:firstColumn="1" w:firstRow="1" w:lastColumn="0" w:lastRow="0" w:noHBand="0" w:noVBand="1" w:val="04A0"/>
      </w:tblPr>
      <w:tblGrid>
        <w:gridCol w:w="2016"/>
        <w:gridCol w:w="2592"/>
        <w:gridCol w:w="2592"/>
        <w:gridCol w:w="1829"/>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Alignment Metric</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Testing Methodology</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Pass Gateway</w:t>
            </w:r>
          </w:p>
        </w:tc>
        <w:tc>
          <w:tcPr>
            <w:tcW w:type="dxa" w:w="1829"/>
            <w:shd w:fill="0B2545"/>
            <w:tcMar>
              <w:top w:w="120" w:type="dxa"/>
              <w:bottom w:w="120" w:type="dxa"/>
              <w:left w:w="130" w:type="dxa"/>
              <w:right w:w="130" w:type="dxa"/>
            </w:tcMar>
          </w:tcPr>
          <w:p>
            <w:pPr>
              <w:spacing w:before="0" w:after="0"/>
              <w:jc w:val="left"/>
            </w:pPr>
            <w:r>
              <w:rPr>
                <w:rFonts w:ascii="Calibri" w:hAnsi="Calibri"/>
                <w:b/>
                <w:color w:val="FFFFFF"/>
                <w:sz w:val="18"/>
              </w:rPr>
              <w:t>Required Remediation</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Benchmark Metric</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Measurement Methodology</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Mandatory Pass Threshold</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Remediation Protocol</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Toxicity &amp; Harassment Score</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Automated evaluation against RealToxicityPrompts and internal multilingual safety suites.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Score &lt; 0.01% toxic output generation across 100,000 adversarial prompts.</w:t>
            </w:r>
          </w:p>
        </w:tc>
        <w:tc>
          <w:tcPr>
            <w:tcW w:type="dxa" w:w="1829"/>
            <w:shd w:fill="F7F9FB"/>
            <w:tcMar>
              <w:top w:w="95" w:type="dxa"/>
              <w:bottom w:w="95" w:type="dxa"/>
              <w:left w:w="130" w:type="dxa"/>
              <w:right w:w="130" w:type="dxa"/>
            </w:tcMar>
          </w:tcPr>
          <w:p>
            <w:pPr>
              <w:spacing w:before="0" w:after="0"/>
            </w:pPr>
            <w:r>
              <w:rPr>
                <w:rFonts w:ascii="Calibri" w:hAnsi="Calibri"/>
                <w:color w:val="2D3237"/>
                <w:sz w:val="17"/>
              </w:rPr>
              <w:t>Iterative DPO fine-tuning on curated non-toxic negative preference pairs.</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Hallucination &amp; Factuality Rate</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Evaluation against TruthfulQA, HaluEval, and domain-specific factual benchmarks.</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Factuality accuracy &gt; 92% on factual recall; hallucination rate &lt; 3.5%.</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Integration of strict RAG grounding, prompt constraint framing, temperature reduction.</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Demographic Fairness Disparity</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Disparate impact ratio across demographic, linguistic, and gender categories.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Demographic parity disparity &lt; 2.0% across all standardized test prompts.</w:t>
            </w:r>
          </w:p>
        </w:tc>
        <w:tc>
          <w:tcPr>
            <w:tcW w:type="dxa" w:w="1829"/>
            <w:shd w:fill="F7F9FB"/>
            <w:tcMar>
              <w:top w:w="95" w:type="dxa"/>
              <w:bottom w:w="95" w:type="dxa"/>
              <w:left w:w="130" w:type="dxa"/>
              <w:right w:w="130" w:type="dxa"/>
            </w:tcMar>
          </w:tcPr>
          <w:p>
            <w:pPr>
              <w:spacing w:before="0" w:after="0"/>
            </w:pPr>
            <w:r>
              <w:rPr>
                <w:rFonts w:ascii="Calibri" w:hAnsi="Calibri"/>
                <w:color w:val="2D3237"/>
                <w:sz w:val="17"/>
              </w:rPr>
              <w:t>Corpus re-weighting, targeted demographic synthetic data augmentation.</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Prompt Injection Vulnerability</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Automated fuzzing with 50,000 adversarial direct and indirect jailbreak attempts.</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Zero successful system prompt leaks; resistance rate &gt; 99.8%.</w:t>
            </w:r>
          </w:p>
        </w:tc>
        <w:tc>
          <w:tcPr>
            <w:tcW w:type="dxa" w:w="1829"/>
            <w:shd w:fill="FFFFFF"/>
            <w:tcMar>
              <w:top w:w="95" w:type="dxa"/>
              <w:bottom w:w="95" w:type="dxa"/>
              <w:left w:w="130" w:type="dxa"/>
              <w:right w:w="130" w:type="dxa"/>
            </w:tcMar>
          </w:tcPr>
          <w:p>
            <w:pPr>
              <w:spacing w:before="0" w:after="0"/>
            </w:pPr>
            <w:r>
              <w:rPr>
                <w:rFonts w:ascii="Calibri" w:hAnsi="Calibri"/>
                <w:color w:val="2D3237"/>
                <w:sz w:val="17"/>
              </w:rPr>
              <w:t>Hardening of input guardrails, semantic firewalling, system prompt sandboxing.</w:t>
            </w:r>
          </w:p>
        </w:tc>
      </w:tr>
    </w:tbl>
    <w:p>
      <w:pPr>
        <w:spacing w:before="0" w:after="80"/>
      </w:pPr>
    </w:p>
    <w:p>
      <w:pPr>
        <w:keepNext/>
        <w:spacing w:before="280" w:after="80"/>
      </w:pPr>
      <w:r>
        <w:rPr>
          <w:rFonts w:ascii="Calibri" w:hAnsi="Calibri"/>
          <w:b/>
          <w:color w:val="136F63"/>
          <w:sz w:val="24"/>
        </w:rPr>
        <w:t>6.2 Adversarial Red-Teaming &amp; Stress Testing Protocols</w:t>
      </w:r>
    </w:p>
    <w:p>
      <w:pPr>
        <w:spacing w:before="0" w:after="120" w:line="276" w:lineRule="auto"/>
      </w:pPr>
      <w:r>
        <w:rPr>
          <w:rFonts w:ascii="Calibri" w:hAnsi="Calibri"/>
          <w:color w:val="2D3237"/>
          <w:sz w:val="20"/>
        </w:rPr>
        <w:t>Clause 6.2.1 — All Tier 1 (Critical) and Tier 2 (Autonomous) models must undergo mandatory adversarial red-teaming conducted by an independent specialized red-team before public or enterprise deployment. Red-team exercises must simulate sophisticated real-world adversaries attempting to:</w:t>
      </w:r>
    </w:p>
    <w:p>
      <w:pPr>
        <w:pStyle w:val="ListBullet"/>
        <w:spacing w:before="0" w:after="60" w:line="276" w:lineRule="auto"/>
      </w:pPr>
      <w:r>
        <w:rPr>
          <w:rFonts w:ascii="Calibri" w:hAnsi="Calibri"/>
          <w:b/>
          <w:color w:val="2D3237"/>
          <w:sz w:val="20"/>
        </w:rPr>
        <w:t xml:space="preserve">Jailbreak Exploitation: </w:t>
      </w:r>
      <w:r>
        <w:rPr>
          <w:rFonts w:ascii="Calibri" w:hAnsi="Calibri"/>
          <w:color w:val="2D3237"/>
          <w:sz w:val="20"/>
        </w:rPr>
        <w:t>Bypass moral and legal guardrails using nested roleplay, multi-language token obfuscation, and base64 encoded exploits.</w:t>
      </w:r>
    </w:p>
    <w:p>
      <w:pPr>
        <w:pStyle w:val="ListBullet"/>
        <w:spacing w:before="0" w:after="60" w:line="276" w:lineRule="auto"/>
      </w:pPr>
      <w:r>
        <w:rPr>
          <w:rFonts w:ascii="Calibri" w:hAnsi="Calibri"/>
          <w:b/>
          <w:color w:val="2D3237"/>
          <w:sz w:val="20"/>
        </w:rPr>
        <w:t xml:space="preserve">Data &amp; Prompt Extraction: </w:t>
      </w:r>
      <w:r>
        <w:rPr>
          <w:rFonts w:ascii="Calibri" w:hAnsi="Calibri"/>
          <w:color w:val="2D3237"/>
          <w:sz w:val="20"/>
        </w:rPr>
        <w:t>Extract proprietary model weights, hidden chain-of-thought system prompts, or confidential pre-training data.</w:t>
      </w:r>
    </w:p>
    <w:p>
      <w:pPr>
        <w:pStyle w:val="ListBullet"/>
        <w:spacing w:before="0" w:after="60" w:line="276" w:lineRule="auto"/>
      </w:pPr>
      <w:r>
        <w:rPr>
          <w:rFonts w:ascii="Calibri" w:hAnsi="Calibri"/>
          <w:b/>
          <w:color w:val="2D3237"/>
          <w:sz w:val="20"/>
        </w:rPr>
        <w:t xml:space="preserve">Agentic Escape &amp; Exploitation: </w:t>
      </w:r>
      <w:r>
        <w:rPr>
          <w:rFonts w:ascii="Calibri" w:hAnsi="Calibri"/>
          <w:color w:val="2D3237"/>
          <w:sz w:val="20"/>
        </w:rPr>
        <w:t>Trigger unauthorized tool calling, shell execution, or privilege escalation in connected environments.</w:t>
      </w:r>
    </w:p>
    <w:p>
      <w:pPr>
        <w:pStyle w:val="ListBullet"/>
        <w:spacing w:before="0" w:after="60" w:line="276" w:lineRule="auto"/>
      </w:pPr>
      <w:r>
        <w:rPr>
          <w:rFonts w:ascii="Calibri" w:hAnsi="Calibri"/>
          <w:b/>
          <w:color w:val="2D3237"/>
          <w:sz w:val="20"/>
        </w:rPr>
        <w:t xml:space="preserve">Indirect Prompt Injection: </w:t>
      </w:r>
      <w:r>
        <w:rPr>
          <w:rFonts w:ascii="Calibri" w:hAnsi="Calibri"/>
          <w:color w:val="2D3237"/>
          <w:sz w:val="20"/>
        </w:rPr>
        <w:t>Manipulate autonomous agents through untrusted web pages, retrieved PDFs, or poisoned API payloads.</w:t>
      </w: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[RED-TEAM VETO PROTOCOL]</w:t>
              <w:br/>
            </w:r>
            <w:r>
              <w:rPr>
                <w:rFonts w:ascii="Calibri" w:hAnsi="Calibri"/>
                <w:color w:val="2D3237"/>
                <w:sz w:val="19"/>
              </w:rPr>
              <w:t>RED-TEAM VETO AUTHORITY: If an independent red-team exercise uncovers a critical zero-day exploit, unconstrained jailbreak vector, or catastrophic alignment failure, the Red-Team Lead holds absolute authority to veto production deployment. The veto can only be overridden by unanimous consensus of the Group AI Ethics &amp; Safety Board following demonstrable architectural remediation.</w:t>
            </w:r>
          </w:p>
        </w:tc>
      </w:tr>
    </w:tbl>
    <w:p>
      <w:pPr>
        <w:spacing w:before="0" w:after="80"/>
      </w:pPr>
    </w:p>
    <w:p>
      <w:r>
        <w:br w:type="page"/>
      </w:r>
    </w:p>
    <w:p>
      <w:pPr>
        <w:keepNext/>
        <w:spacing w:before="400" w:after="120"/>
      </w:pPr>
      <w:r>
        <w:rPr>
          <w:rFonts w:ascii="Calibri" w:hAnsi="Calibri"/>
          <w:b/>
          <w:color w:val="0B2545"/>
          <w:sz w:val="30"/>
        </w:rPr>
        <w:t>SECTION 7: AUTONOMOUS AGENT GOVERNANCE &amp; SANDBOXING (SAGE AGENT)</w:t>
      </w:r>
    </w:p>
    <w:p>
      <w:pPr>
        <w:keepNext/>
        <w:spacing w:before="280" w:after="80"/>
      </w:pPr>
      <w:r>
        <w:rPr>
          <w:rFonts w:ascii="Calibri" w:hAnsi="Calibri"/>
          <w:b/>
          <w:color w:val="136F63"/>
          <w:sz w:val="24"/>
        </w:rPr>
        <w:t>7.1 Enterprise Scope of Autonomous Agent Systems</w:t>
      </w:r>
    </w:p>
    <w:p>
      <w:pPr>
        <w:spacing w:before="0" w:after="120" w:line="276" w:lineRule="auto"/>
      </w:pPr>
      <w:r>
        <w:rPr>
          <w:rFonts w:ascii="Calibri" w:hAnsi="Calibri"/>
          <w:color w:val="2D3237"/>
          <w:sz w:val="20"/>
        </w:rPr>
        <w:t>Clause 7.1.1 — Autonomous agent systems—defined as cognitive software architectures capable of independent reasoning, dynamic multi-step goal planning, external tool invocation, API execution, and real-time database manipulation without continuous step-by-step human prompts—represent advanced operational capabilities requiring specialized governance. This section establishes the binding Agentic Control Standard (ACS-2026) governing Sage Agent and all enterprise multi-agent networks.</w:t>
      </w:r>
    </w:p>
    <w:p>
      <w:pPr>
        <w:keepNext/>
        <w:spacing w:before="280" w:after="80"/>
      </w:pPr>
      <w:r>
        <w:rPr>
          <w:rFonts w:ascii="Calibri" w:hAnsi="Calibri"/>
          <w:b/>
          <w:color w:val="136F63"/>
          <w:sz w:val="24"/>
        </w:rPr>
        <w:t>7.2 Machine Identity, PKI &amp; Ephemeral Credentialing</w:t>
      </w:r>
    </w:p>
    <w:p>
      <w:pPr>
        <w:pStyle w:val="ListBullet"/>
        <w:spacing w:before="0" w:after="60" w:line="276" w:lineRule="auto"/>
      </w:pPr>
      <w:r>
        <w:rPr>
          <w:rFonts w:ascii="Calibri" w:hAnsi="Calibri"/>
          <w:b/>
          <w:color w:val="2D3237"/>
          <w:sz w:val="20"/>
        </w:rPr>
        <w:t xml:space="preserve">Dedicated Machine Identity: </w:t>
      </w:r>
      <w:r>
        <w:rPr>
          <w:rFonts w:ascii="Calibri" w:hAnsi="Calibri"/>
          <w:color w:val="2D3237"/>
          <w:sz w:val="20"/>
        </w:rPr>
        <w:t>Every autonomous agent instance (including each active Sage Agent worker) must be registered in the G42 Central Identity Provider with a dedicated Machine Identity Certificate (MIC) and immutable Service Principal Name (SPN).</w:t>
      </w:r>
    </w:p>
    <w:p>
      <w:pPr>
        <w:pStyle w:val="ListBullet"/>
        <w:spacing w:before="0" w:after="60" w:line="276" w:lineRule="auto"/>
      </w:pPr>
      <w:r>
        <w:rPr>
          <w:rFonts w:ascii="Calibri" w:hAnsi="Calibri"/>
          <w:b/>
          <w:color w:val="2D3237"/>
          <w:sz w:val="20"/>
        </w:rPr>
        <w:t xml:space="preserve">Prohibition on Impersonation: </w:t>
      </w:r>
      <w:r>
        <w:rPr>
          <w:rFonts w:ascii="Calibri" w:hAnsi="Calibri"/>
          <w:color w:val="2D3237"/>
          <w:sz w:val="20"/>
        </w:rPr>
        <w:t>Agents are strictly prohibited from sharing user accounts, executing actions under human login credentials, or inheriting standing administrative privileges.</w:t>
      </w:r>
    </w:p>
    <w:p>
      <w:pPr>
        <w:pStyle w:val="ListBullet"/>
        <w:spacing w:before="0" w:after="60" w:line="276" w:lineRule="auto"/>
      </w:pPr>
      <w:r>
        <w:rPr>
          <w:rFonts w:ascii="Calibri" w:hAnsi="Calibri"/>
          <w:b/>
          <w:color w:val="2D3237"/>
          <w:sz w:val="20"/>
        </w:rPr>
        <w:t xml:space="preserve">Ephemeral Credentialing (TTL &lt; 3600s): </w:t>
      </w:r>
      <w:r>
        <w:rPr>
          <w:rFonts w:ascii="Calibri" w:hAnsi="Calibri"/>
          <w:color w:val="2D3237"/>
          <w:sz w:val="20"/>
        </w:rPr>
        <w:t>All API tokens, database connection strings, and service keys utilized by agents must be dynamically issued via HashiCorp Vault / Azure Key Vault with an absolute Time-To-Live (TTL) of 3,600 seconds (1 hour). Long-lived static credentials are permanently blocked.</w:t>
      </w:r>
    </w:p>
    <w:p>
      <w:pPr>
        <w:keepNext/>
        <w:spacing w:before="200" w:after="40"/>
      </w:pPr>
      <w:r>
        <w:rPr>
          <w:rFonts w:ascii="Calibri" w:hAnsi="Calibri"/>
          <w:b/>
          <w:color w:val="0B2545"/>
          <w:sz w:val="21"/>
        </w:rPr>
        <w:t>7.3 Operational Sandboxing &amp; Tool-Calling Bounds</w:t>
      </w:r>
    </w:p>
    <w:p>
      <w:pPr>
        <w:spacing w:before="0" w:after="120" w:line="276" w:lineRule="auto"/>
      </w:pPr>
      <w:r>
        <w:rPr>
          <w:rFonts w:ascii="Calibri" w:hAnsi="Calibri"/>
          <w:color w:val="2D3237"/>
          <w:sz w:val="20"/>
        </w:rPr>
        <w:t>Clause 7.3.1 — Autonomous agents interact with enterprise systems via Function Calling and Model Context Protocols (MCP). All agent tool integrations must operate within strict sandboxing boundaries:</w:t>
      </w:r>
    </w:p>
    <w:tbl>
      <w:tblPr>
        <w:tblW w:type="auto" w:w="0"/>
        <w:jc w:val="center"/>
        <w:tblLayout w:type="fixed"/>
        <w:tblLook w:firstColumn="1" w:firstRow="1" w:lastColumn="0" w:lastRow="0" w:noHBand="0" w:noVBand="1" w:val="04A0"/>
      </w:tblPr>
      <w:tblGrid>
        <w:gridCol w:w="1872"/>
        <w:gridCol w:w="2592"/>
        <w:gridCol w:w="2592"/>
        <w:gridCol w:w="1973"/>
      </w:tblGrid>
      <w:tr>
        <w:tc>
          <w:tcPr>
            <w:tcW w:type="dxa" w:w="1872"/>
            <w:shd w:fill="0B2545"/>
            <w:tcMar>
              <w:top w:w="120" w:type="dxa"/>
              <w:bottom w:w="120" w:type="dxa"/>
              <w:left w:w="130" w:type="dxa"/>
              <w:right w:w="130" w:type="dxa"/>
            </w:tcMar>
          </w:tcPr>
          <w:p>
            <w:pPr>
              <w:spacing w:before="0" w:after="0"/>
              <w:jc w:val="left"/>
            </w:pPr>
            <w:r>
              <w:rPr>
                <w:rFonts w:ascii="Calibri" w:hAnsi="Calibri"/>
                <w:b/>
                <w:color w:val="FFFFFF"/>
                <w:sz w:val="18"/>
              </w:rPr>
              <w:t>Functional Realm</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Autonomous Execution Scope</w:t>
            </w:r>
          </w:p>
        </w:tc>
        <w:tc>
          <w:tcPr>
            <w:tcW w:type="dxa" w:w="2592"/>
            <w:shd w:fill="0B2545"/>
            <w:tcMar>
              <w:top w:w="120" w:type="dxa"/>
              <w:bottom w:w="120" w:type="dxa"/>
              <w:left w:w="130" w:type="dxa"/>
              <w:right w:w="130" w:type="dxa"/>
            </w:tcMar>
          </w:tcPr>
          <w:p>
            <w:pPr>
              <w:spacing w:before="0" w:after="0"/>
              <w:jc w:val="left"/>
            </w:pPr>
            <w:r>
              <w:rPr>
                <w:rFonts w:ascii="Calibri" w:hAnsi="Calibri"/>
                <w:b/>
                <w:color w:val="FFFFFF"/>
                <w:sz w:val="18"/>
              </w:rPr>
              <w:t>HITL Escalation Trigger</w:t>
            </w:r>
          </w:p>
        </w:tc>
        <w:tc>
          <w:tcPr>
            <w:tcW w:type="dxa" w:w="1973"/>
            <w:shd w:fill="0B2545"/>
            <w:tcMar>
              <w:top w:w="120" w:type="dxa"/>
              <w:bottom w:w="120" w:type="dxa"/>
              <w:left w:w="130" w:type="dxa"/>
              <w:right w:w="130" w:type="dxa"/>
            </w:tcMar>
          </w:tcPr>
          <w:p>
            <w:pPr>
              <w:spacing w:before="0" w:after="0"/>
              <w:jc w:val="left"/>
            </w:pPr>
            <w:r>
              <w:rPr>
                <w:rFonts w:ascii="Calibri" w:hAnsi="Calibri"/>
                <w:b/>
                <w:color w:val="FFFFFF"/>
                <w:sz w:val="18"/>
              </w:rPr>
              <w:t>Absolute Prohibitions</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Operating Realm</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Permitted Autonomous Actions</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Mandatory Human Sign-off (HITL)</w:t>
            </w:r>
          </w:p>
        </w:tc>
        <w:tc>
          <w:tcPr>
            <w:tcW w:type="dxa" w:w="1973"/>
            <w:shd w:fill="FFFFFF"/>
            <w:tcMar>
              <w:top w:w="95" w:type="dxa"/>
              <w:bottom w:w="95" w:type="dxa"/>
              <w:left w:w="130" w:type="dxa"/>
              <w:right w:w="130" w:type="dxa"/>
            </w:tcMar>
          </w:tcPr>
          <w:p>
            <w:pPr>
              <w:spacing w:before="0" w:after="0"/>
            </w:pPr>
            <w:r>
              <w:rPr>
                <w:rFonts w:ascii="Calibri" w:hAnsi="Calibri"/>
                <w:color w:val="2D3237"/>
                <w:sz w:val="17"/>
              </w:rPr>
              <w:t>Prohibited Actions</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Code &amp; Systems DevOps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Linting, generating unit tests, proposing code refactoring, scanning staging pull requests.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Merging pull requests to production, updating Terraform infrastructure files, provisioning production resources.</w:t>
            </w:r>
          </w:p>
        </w:tc>
        <w:tc>
          <w:tcPr>
            <w:tcW w:type="dxa" w:w="1973"/>
            <w:shd w:fill="F7F9FB"/>
            <w:tcMar>
              <w:top w:w="95" w:type="dxa"/>
              <w:bottom w:w="95" w:type="dxa"/>
              <w:left w:w="130" w:type="dxa"/>
              <w:right w:w="130" w:type="dxa"/>
            </w:tcMar>
          </w:tcPr>
          <w:p>
            <w:pPr>
              <w:spacing w:before="0" w:after="0"/>
            </w:pPr>
            <w:r>
              <w:rPr>
                <w:rFonts w:ascii="Calibri" w:hAnsi="Calibri"/>
                <w:color w:val="2D3237"/>
                <w:sz w:val="17"/>
              </w:rPr>
              <w:t>Disabling automated security scanners, modifying IAM policies, executing arbitrary shell scripts (eval/exec).</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Document &amp; Policy Analytics (Sage Agent)</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Parsing internal policies, summarizing legal drafts, indexing regulatory guidelines, generating synthetic test documents.</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Publishing official legal interpretations, executing contractual agreements, issuing external corporate declarations.</w:t>
            </w:r>
          </w:p>
        </w:tc>
        <w:tc>
          <w:tcPr>
            <w:tcW w:type="dxa" w:w="1973"/>
            <w:shd w:fill="FFFFFF"/>
            <w:tcMar>
              <w:top w:w="95" w:type="dxa"/>
              <w:bottom w:w="95" w:type="dxa"/>
              <w:left w:w="130" w:type="dxa"/>
              <w:right w:w="130" w:type="dxa"/>
            </w:tcMar>
          </w:tcPr>
          <w:p>
            <w:pPr>
              <w:spacing w:before="0" w:after="0"/>
            </w:pPr>
            <w:r>
              <w:rPr>
                <w:rFonts w:ascii="Calibri" w:hAnsi="Calibri"/>
                <w:color w:val="2D3237"/>
                <w:sz w:val="17"/>
              </w:rPr>
              <w:t>Exfiltrating confidential internal documents to unapproved external public LLM endpoints.</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IT Service Management</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Diagnosing system health alerts, querying telemetry logs, restarting staging container pods.</w:t>
            </w:r>
          </w:p>
        </w:tc>
        <w:tc>
          <w:tcPr>
            <w:tcW w:type="dxa" w:w="2592"/>
            <w:shd w:fill="F7F9FB"/>
            <w:tcMar>
              <w:top w:w="95" w:type="dxa"/>
              <w:bottom w:w="95" w:type="dxa"/>
              <w:left w:w="130" w:type="dxa"/>
              <w:right w:w="130" w:type="dxa"/>
            </w:tcMar>
          </w:tcPr>
          <w:p>
            <w:pPr>
              <w:spacing w:before="0" w:after="0"/>
            </w:pPr>
            <w:r>
              <w:rPr>
                <w:rFonts w:ascii="Calibri" w:hAnsi="Calibri"/>
                <w:color w:val="2D3237"/>
                <w:sz w:val="17"/>
              </w:rPr>
              <w:t>Modifying production firewall configurations, rotating root certificates, terminating production compute clusters.</w:t>
            </w:r>
          </w:p>
        </w:tc>
        <w:tc>
          <w:tcPr>
            <w:tcW w:type="dxa" w:w="1973"/>
            <w:shd w:fill="F7F9FB"/>
            <w:tcMar>
              <w:top w:w="95" w:type="dxa"/>
              <w:bottom w:w="95" w:type="dxa"/>
              <w:left w:w="130" w:type="dxa"/>
              <w:right w:w="130" w:type="dxa"/>
            </w:tcMar>
          </w:tcPr>
          <w:p>
            <w:pPr>
              <w:spacing w:before="0" w:after="0"/>
            </w:pPr>
            <w:r>
              <w:rPr>
                <w:rFonts w:ascii="Calibri" w:hAnsi="Calibri"/>
                <w:color w:val="2D3237"/>
                <w:sz w:val="17"/>
              </w:rPr>
              <w:t>Overriding Security Operations Center (SOC) alerts, clearing audit logs, bypassing zero-trust MFA.</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Financial Operations &amp; ERP</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Drafting purchase requisitions, reconciling invoice line items, categorizing operational expenditures.</w:t>
            </w:r>
          </w:p>
        </w:tc>
        <w:tc>
          <w:tcPr>
            <w:tcW w:type="dxa" w:w="2592"/>
            <w:shd w:fill="FFFFFF"/>
            <w:tcMar>
              <w:top w:w="95" w:type="dxa"/>
              <w:bottom w:w="95" w:type="dxa"/>
              <w:left w:w="130" w:type="dxa"/>
              <w:right w:w="130" w:type="dxa"/>
            </w:tcMar>
          </w:tcPr>
          <w:p>
            <w:pPr>
              <w:spacing w:before="0" w:after="0"/>
            </w:pPr>
            <w:r>
              <w:rPr>
                <w:rFonts w:ascii="Calibri" w:hAnsi="Calibri"/>
                <w:color w:val="2D3237"/>
                <w:sz w:val="17"/>
              </w:rPr>
              <w:t>Authorizing payments &gt; $500 USD, modifying corporate bank wire details, approving balance sheet adjustments.</w:t>
            </w:r>
          </w:p>
        </w:tc>
        <w:tc>
          <w:tcPr>
            <w:tcW w:type="dxa" w:w="1973"/>
            <w:shd w:fill="FFFFFF"/>
            <w:tcMar>
              <w:top w:w="95" w:type="dxa"/>
              <w:bottom w:w="95" w:type="dxa"/>
              <w:left w:w="130" w:type="dxa"/>
              <w:right w:w="130" w:type="dxa"/>
            </w:tcMar>
          </w:tcPr>
          <w:p>
            <w:pPr>
              <w:spacing w:before="0" w:after="0"/>
            </w:pPr>
            <w:r>
              <w:rPr>
                <w:rFonts w:ascii="Calibri" w:hAnsi="Calibri"/>
                <w:color w:val="2D3237"/>
                <w:sz w:val="17"/>
              </w:rPr>
              <w:t>Executing automated wire transfers, overriding segregation of duties, modifying vendor master records.</w:t>
            </w:r>
          </w:p>
        </w:tc>
      </w:tr>
    </w:tbl>
    <w:p>
      <w:pPr>
        <w:spacing w:before="0" w:after="80"/>
      </w:pPr>
    </w:p>
    <w:p>
      <w:pPr>
        <w:keepNext/>
        <w:spacing w:before="200" w:after="40"/>
      </w:pPr>
      <w:r>
        <w:rPr>
          <w:rFonts w:ascii="Calibri" w:hAnsi="Calibri"/>
          <w:b/>
          <w:color w:val="0B2545"/>
          <w:sz w:val="21"/>
        </w:rPr>
        <w:t>7.4 Execution Circuit Breakers &amp; Hardware Kill-Switch</w:t>
      </w:r>
    </w:p>
    <w:p>
      <w:pPr>
        <w:spacing w:before="0" w:after="120" w:line="276" w:lineRule="auto"/>
      </w:pPr>
      <w:r>
        <w:rPr>
          <w:rFonts w:ascii="Calibri" w:hAnsi="Calibri"/>
          <w:color w:val="2D3237"/>
          <w:sz w:val="20"/>
        </w:rPr>
        <w:t>Clause 7.4.1 — All agent execution loops must be governed by deterministic runtime circuit breakers: (a) Maximum sequential recursion depth is capped at 15 iterations per task; (b) Maximum token expenditure is capped at 100,000 tokens per transaction; and (c) Outbound API requests are limited to 30 calls per minute.</w:t>
      </w:r>
    </w:p>
    <w:p>
      <w:pPr>
        <w:spacing w:before="0" w:after="120" w:line="276" w:lineRule="auto"/>
      </w:pPr>
      <w:r>
        <w:rPr>
          <w:rFonts w:ascii="Calibri" w:hAnsi="Calibri"/>
          <w:color w:val="2D3237"/>
          <w:sz w:val="20"/>
        </w:rPr>
        <w:t>Clause 7.4.2 — The Group Cyber Security Operations Center (CSOC) maintains a global, hardware-enforced emergency kill-switch. In the event of detected anomalous behavioral deviation, cascading recursion loops, or unauthorized lateral movement, CSOC operators can revoke all agent tokens enterprise-wide within 300 milliseconds via the G42 Sentinel Dashboard.</w:t>
      </w:r>
    </w:p>
    <w:p>
      <w:r>
        <w:br w:type="page"/>
      </w:r>
    </w:p>
    <w:p>
      <w:pPr>
        <w:keepNext/>
        <w:spacing w:before="400" w:after="120"/>
      </w:pPr>
      <w:r>
        <w:rPr>
          <w:rFonts w:ascii="Calibri" w:hAnsi="Calibri"/>
          <w:b/>
          <w:color w:val="0B2545"/>
          <w:sz w:val="30"/>
        </w:rPr>
        <w:t>SECTION 8: HUMAN-IN-THE-LOOP (HITL) &amp; MEANINGFUL OVERSIGHT</w:t>
      </w:r>
    </w:p>
    <w:p>
      <w:pPr>
        <w:keepNext/>
        <w:spacing w:before="280" w:after="80"/>
      </w:pPr>
      <w:r>
        <w:rPr>
          <w:rFonts w:ascii="Calibri" w:hAnsi="Calibri"/>
          <w:b/>
          <w:color w:val="136F63"/>
          <w:sz w:val="24"/>
        </w:rPr>
        <w:t>8.1 Meaningful Human Oversight Standards</w:t>
      </w:r>
    </w:p>
    <w:p>
      <w:pPr>
        <w:spacing w:before="0" w:after="120" w:line="276" w:lineRule="auto"/>
      </w:pPr>
      <w:r>
        <w:rPr>
          <w:rFonts w:ascii="Calibri" w:hAnsi="Calibri"/>
          <w:color w:val="2D3237"/>
          <w:sz w:val="20"/>
        </w:rPr>
        <w:t>Clause 8.1.1 — Human-in-the-Loop (HITL) governance ensures that automated systems do not operate without human accountability in critical domains. G42 enforces meaningful human oversight: human supervisors must possess the actual authority, technical competence, contextual information, and operational capability to understand AI recommendations, question algorithmic outputs, and override decisions without fear of administrative penalty.</w:t>
      </w:r>
    </w:p>
    <w:p>
      <w:pPr>
        <w:keepNext/>
        <w:spacing w:before="280" w:after="80"/>
      </w:pPr>
      <w:r>
        <w:rPr>
          <w:rFonts w:ascii="Calibri" w:hAnsi="Calibri"/>
          <w:b/>
          <w:color w:val="136F63"/>
          <w:sz w:val="24"/>
        </w:rPr>
        <w:t>8.2 Mandatory HITL Escalation Thresholds</w:t>
      </w:r>
    </w:p>
    <w:p>
      <w:pPr>
        <w:spacing w:before="0" w:after="120" w:line="276" w:lineRule="auto"/>
      </w:pPr>
      <w:r>
        <w:rPr>
          <w:rFonts w:ascii="Calibri" w:hAnsi="Calibri"/>
          <w:color w:val="2D3237"/>
          <w:sz w:val="20"/>
        </w:rPr>
        <w:t>Clause 8.2.1 — Autonomous systems and AI copilots must automatically halt execution and transfer control to a qualified human operator upon encountering any of the following operational conditions:</w:t>
      </w:r>
    </w:p>
    <w:tbl>
      <w:tblPr>
        <w:tblW w:type="auto" w:w="0"/>
        <w:jc w:val="center"/>
        <w:tblLayout w:type="fixed"/>
        <w:tblLook w:firstColumn="1" w:firstRow="1" w:lastColumn="0" w:lastRow="0" w:noHBand="0" w:noVBand="1" w:val="04A0"/>
      </w:tblPr>
      <w:tblGrid>
        <w:gridCol w:w="2016"/>
        <w:gridCol w:w="2880"/>
        <w:gridCol w:w="4133"/>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Trigger Category</w:t>
            </w:r>
          </w:p>
        </w:tc>
        <w:tc>
          <w:tcPr>
            <w:tcW w:type="dxa" w:w="2880"/>
            <w:shd w:fill="0B2545"/>
            <w:tcMar>
              <w:top w:w="120" w:type="dxa"/>
              <w:bottom w:w="120" w:type="dxa"/>
              <w:left w:w="130" w:type="dxa"/>
              <w:right w:w="130" w:type="dxa"/>
            </w:tcMar>
          </w:tcPr>
          <w:p>
            <w:pPr>
              <w:spacing w:before="0" w:after="0"/>
              <w:jc w:val="left"/>
            </w:pPr>
            <w:r>
              <w:rPr>
                <w:rFonts w:ascii="Calibri" w:hAnsi="Calibri"/>
                <w:b/>
                <w:color w:val="FFFFFF"/>
                <w:sz w:val="18"/>
              </w:rPr>
              <w:t>Quantitative Threshold / Condition</w:t>
            </w:r>
          </w:p>
        </w:tc>
        <w:tc>
          <w:tcPr>
            <w:tcW w:type="dxa" w:w="4133"/>
            <w:shd w:fill="0B2545"/>
            <w:tcMar>
              <w:top w:w="120" w:type="dxa"/>
              <w:bottom w:w="120" w:type="dxa"/>
              <w:left w:w="130" w:type="dxa"/>
              <w:right w:w="130" w:type="dxa"/>
            </w:tcMar>
          </w:tcPr>
          <w:p>
            <w:pPr>
              <w:spacing w:before="0" w:after="0"/>
              <w:jc w:val="left"/>
            </w:pPr>
            <w:r>
              <w:rPr>
                <w:rFonts w:ascii="Calibri" w:hAnsi="Calibri"/>
                <w:b/>
                <w:color w:val="FFFFFF"/>
                <w:sz w:val="18"/>
              </w:rPr>
              <w:t>Mandatory Human Oversight Protocol</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Escalation Trigger</w:t>
            </w:r>
          </w:p>
        </w:tc>
        <w:tc>
          <w:tcPr>
            <w:tcW w:type="dxa" w:w="2880"/>
            <w:shd w:fill="FFFFFF"/>
            <w:tcMar>
              <w:top w:w="95" w:type="dxa"/>
              <w:bottom w:w="95" w:type="dxa"/>
              <w:left w:w="130" w:type="dxa"/>
              <w:right w:w="130" w:type="dxa"/>
            </w:tcMar>
          </w:tcPr>
          <w:p>
            <w:pPr>
              <w:spacing w:before="0" w:after="0"/>
            </w:pPr>
            <w:r>
              <w:rPr>
                <w:rFonts w:ascii="Calibri" w:hAnsi="Calibri"/>
                <w:color w:val="2D3237"/>
                <w:sz w:val="17"/>
              </w:rPr>
              <w:t>Technical Definition / Metric Threshold</w:t>
            </w:r>
          </w:p>
        </w:tc>
        <w:tc>
          <w:tcPr>
            <w:tcW w:type="dxa" w:w="4133"/>
            <w:shd w:fill="FFFFFF"/>
            <w:tcMar>
              <w:top w:w="95" w:type="dxa"/>
              <w:bottom w:w="95" w:type="dxa"/>
              <w:left w:w="130" w:type="dxa"/>
              <w:right w:w="130" w:type="dxa"/>
            </w:tcMar>
          </w:tcPr>
          <w:p>
            <w:pPr>
              <w:spacing w:before="0" w:after="0"/>
            </w:pPr>
            <w:r>
              <w:rPr>
                <w:rFonts w:ascii="Calibri" w:hAnsi="Calibri"/>
                <w:color w:val="2D3237"/>
                <w:sz w:val="17"/>
              </w:rPr>
              <w:t>Prescribed Human Action &amp; Review Protocol</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Low Confidence Metric</w:t>
            </w:r>
          </w:p>
        </w:tc>
        <w:tc>
          <w:tcPr>
            <w:tcW w:type="dxa" w:w="2880"/>
            <w:shd w:fill="F7F9FB"/>
            <w:tcMar>
              <w:top w:w="95" w:type="dxa"/>
              <w:bottom w:w="95" w:type="dxa"/>
              <w:left w:w="130" w:type="dxa"/>
              <w:right w:w="130" w:type="dxa"/>
            </w:tcMar>
          </w:tcPr>
          <w:p>
            <w:pPr>
              <w:spacing w:before="0" w:after="0"/>
            </w:pPr>
            <w:r>
              <w:rPr>
                <w:rFonts w:ascii="Calibri" w:hAnsi="Calibri"/>
                <w:color w:val="2D3237"/>
                <w:sz w:val="17"/>
              </w:rPr>
              <w:t>Retrieved RAG confidence or semantic similarity score falls below the 0.70 threshold (Abstain Gateway).</w:t>
            </w:r>
          </w:p>
        </w:tc>
        <w:tc>
          <w:tcPr>
            <w:tcW w:type="dxa" w:w="4133"/>
            <w:shd w:fill="F7F9FB"/>
            <w:tcMar>
              <w:top w:w="95" w:type="dxa"/>
              <w:bottom w:w="95" w:type="dxa"/>
              <w:left w:w="130" w:type="dxa"/>
              <w:right w:w="130" w:type="dxa"/>
            </w:tcMar>
          </w:tcPr>
          <w:p>
            <w:pPr>
              <w:spacing w:before="0" w:after="0"/>
            </w:pPr>
            <w:r>
              <w:rPr>
                <w:rFonts w:ascii="Calibri" w:hAnsi="Calibri"/>
                <w:color w:val="2D3237"/>
                <w:sz w:val="17"/>
              </w:rPr>
              <w:t>Qualified domain expert must review the raw query, verify external authoritative sources, and formulate a validated manual response.</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Contradictory Policy Corpora</w:t>
            </w:r>
          </w:p>
        </w:tc>
        <w:tc>
          <w:tcPr>
            <w:tcW w:type="dxa" w:w="2880"/>
            <w:shd w:fill="FFFFFF"/>
            <w:tcMar>
              <w:top w:w="95" w:type="dxa"/>
              <w:bottom w:w="95" w:type="dxa"/>
              <w:left w:w="130" w:type="dxa"/>
              <w:right w:w="130" w:type="dxa"/>
            </w:tcMar>
          </w:tcPr>
          <w:p>
            <w:pPr>
              <w:spacing w:before="0" w:after="0"/>
            </w:pPr>
            <w:r>
              <w:rPr>
                <w:rFonts w:ascii="Calibri" w:hAnsi="Calibri"/>
                <w:color w:val="2D3237"/>
                <w:sz w:val="17"/>
              </w:rPr>
              <w:t>System detects conflicting mandates across Group vs. BU documents, or internal policies vs. external regulations.</w:t>
            </w:r>
          </w:p>
        </w:tc>
        <w:tc>
          <w:tcPr>
            <w:tcW w:type="dxa" w:w="4133"/>
            <w:shd w:fill="FFFFFF"/>
            <w:tcMar>
              <w:top w:w="95" w:type="dxa"/>
              <w:bottom w:w="95" w:type="dxa"/>
              <w:left w:w="130" w:type="dxa"/>
              <w:right w:w="130" w:type="dxa"/>
            </w:tcMar>
          </w:tcPr>
          <w:p>
            <w:pPr>
              <w:spacing w:before="0" w:after="0"/>
            </w:pPr>
            <w:r>
              <w:rPr>
                <w:rFonts w:ascii="Calibri" w:hAnsi="Calibri"/>
                <w:color w:val="2D3237"/>
                <w:sz w:val="17"/>
              </w:rPr>
              <w:t>Legal &amp; Compliance Officer must review the conflict, determine jurisdictional hierarchy, and document an official policy clarification.</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High-Stakes Decision Boundary</w:t>
            </w:r>
          </w:p>
        </w:tc>
        <w:tc>
          <w:tcPr>
            <w:tcW w:type="dxa" w:w="2880"/>
            <w:shd w:fill="F7F9FB"/>
            <w:tcMar>
              <w:top w:w="95" w:type="dxa"/>
              <w:bottom w:w="95" w:type="dxa"/>
              <w:left w:w="130" w:type="dxa"/>
              <w:right w:w="130" w:type="dxa"/>
            </w:tcMar>
          </w:tcPr>
          <w:p>
            <w:pPr>
              <w:spacing w:before="0" w:after="0"/>
            </w:pPr>
            <w:r>
              <w:rPr>
                <w:rFonts w:ascii="Calibri" w:hAnsi="Calibri"/>
                <w:color w:val="2D3237"/>
                <w:sz w:val="17"/>
              </w:rPr>
              <w:t>Workflows involving employee termination, disciplinary actions, credit underwriting, or critical patient diagnostics.</w:t>
            </w:r>
          </w:p>
        </w:tc>
        <w:tc>
          <w:tcPr>
            <w:tcW w:type="dxa" w:w="4133"/>
            <w:shd w:fill="F7F9FB"/>
            <w:tcMar>
              <w:top w:w="95" w:type="dxa"/>
              <w:bottom w:w="95" w:type="dxa"/>
              <w:left w:w="130" w:type="dxa"/>
              <w:right w:w="130" w:type="dxa"/>
            </w:tcMar>
          </w:tcPr>
          <w:p>
            <w:pPr>
              <w:spacing w:before="0" w:after="0"/>
            </w:pPr>
            <w:r>
              <w:rPr>
                <w:rFonts w:ascii="Calibri" w:hAnsi="Calibri"/>
                <w:color w:val="2D3237"/>
                <w:sz w:val="17"/>
              </w:rPr>
              <w:t>Dual-person human review (Maker-Checker principle) with mandatory written justification before action execution.</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Anomalous Telemetry Drift</w:t>
            </w:r>
          </w:p>
        </w:tc>
        <w:tc>
          <w:tcPr>
            <w:tcW w:type="dxa" w:w="2880"/>
            <w:shd w:fill="FFFFFF"/>
            <w:tcMar>
              <w:top w:w="95" w:type="dxa"/>
              <w:bottom w:w="95" w:type="dxa"/>
              <w:left w:w="130" w:type="dxa"/>
              <w:right w:w="130" w:type="dxa"/>
            </w:tcMar>
          </w:tcPr>
          <w:p>
            <w:pPr>
              <w:spacing w:before="0" w:after="0"/>
            </w:pPr>
            <w:r>
              <w:rPr>
                <w:rFonts w:ascii="Calibri" w:hAnsi="Calibri"/>
                <w:color w:val="2D3237"/>
                <w:sz w:val="17"/>
              </w:rPr>
              <w:t>Production model semantic drift or prompt anomaly score exceeds 3 standard deviations from baseline.</w:t>
            </w:r>
          </w:p>
        </w:tc>
        <w:tc>
          <w:tcPr>
            <w:tcW w:type="dxa" w:w="4133"/>
            <w:shd w:fill="FFFFFF"/>
            <w:tcMar>
              <w:top w:w="95" w:type="dxa"/>
              <w:bottom w:w="95" w:type="dxa"/>
              <w:left w:w="130" w:type="dxa"/>
              <w:right w:w="130" w:type="dxa"/>
            </w:tcMar>
          </w:tcPr>
          <w:p>
            <w:pPr>
              <w:spacing w:before="0" w:after="0"/>
            </w:pPr>
            <w:r>
              <w:rPr>
                <w:rFonts w:ascii="Calibri" w:hAnsi="Calibri"/>
                <w:color w:val="2D3237"/>
                <w:sz w:val="17"/>
              </w:rPr>
              <w:t>MLOps engineer must halt automated traffic, re-route requests to verified baseline fallback model, and initiate audit.</w:t>
            </w:r>
          </w:p>
        </w:tc>
      </w:tr>
    </w:tbl>
    <w:p>
      <w:pPr>
        <w:spacing w:before="0" w:after="80"/>
      </w:pPr>
    </w:p>
    <w:p>
      <w:pPr>
        <w:keepNext/>
        <w:spacing w:before="200" w:after="40"/>
      </w:pPr>
      <w:r>
        <w:rPr>
          <w:rFonts w:ascii="Calibri" w:hAnsi="Calibri"/>
          <w:b/>
          <w:color w:val="0B2545"/>
          <w:sz w:val="21"/>
        </w:rPr>
        <w:t>8.3 Dual-Key Authorization for Critical Infrastructure Operations</w:t>
      </w:r>
    </w:p>
    <w:p>
      <w:pPr>
        <w:spacing w:before="0" w:after="120" w:line="276" w:lineRule="auto"/>
      </w:pPr>
      <w:r>
        <w:rPr>
          <w:rFonts w:ascii="Calibri" w:hAnsi="Calibri"/>
          <w:color w:val="2D3237"/>
          <w:sz w:val="20"/>
        </w:rPr>
        <w:t>Clause 8.3.1 — Operational changes to Tier 1 AI systems—including retraining pipeline initiation on sovereign datasets, model weight replacement in production, and parameter pruning of mission-critical models—require Dual-Key Authorization. Two distinct authorized officers (one from Engineering and one from the AI Ethics &amp; Safety Board) must cryptographically sign the deployment manifest using independent hardware security tokens.</w:t>
      </w:r>
    </w:p>
    <w:p>
      <w:r>
        <w:br w:type="page"/>
      </w:r>
    </w:p>
    <w:p>
      <w:pPr>
        <w:keepNext/>
        <w:spacing w:before="400" w:after="120"/>
      </w:pPr>
      <w:r>
        <w:rPr>
          <w:rFonts w:ascii="Calibri" w:hAnsi="Calibri"/>
          <w:b/>
          <w:color w:val="0B2545"/>
          <w:sz w:val="30"/>
        </w:rPr>
        <w:t>SECTION 9: TRANSPARENCY, MODEL CARDS &amp; EXPLAINABILITY</w:t>
      </w:r>
    </w:p>
    <w:p>
      <w:pPr>
        <w:keepNext/>
        <w:spacing w:before="280" w:after="80"/>
      </w:pPr>
      <w:r>
        <w:rPr>
          <w:rFonts w:ascii="Calibri" w:hAnsi="Calibri"/>
          <w:b/>
          <w:color w:val="136F63"/>
          <w:sz w:val="24"/>
        </w:rPr>
        <w:t>9.1 Standardized Model Cards &amp; System Cards</w:t>
      </w:r>
    </w:p>
    <w:p>
      <w:pPr>
        <w:spacing w:before="0" w:after="120" w:line="276" w:lineRule="auto"/>
      </w:pPr>
      <w:r>
        <w:rPr>
          <w:rFonts w:ascii="Calibri" w:hAnsi="Calibri"/>
          <w:color w:val="2D3237"/>
          <w:sz w:val="20"/>
        </w:rPr>
        <w:t>Clause 9.1.1 — Every machine learning model, foundational transformer checkpoint, and specialized vision/audio system released for production use must be accompanied by a standardized, machine-readable G42 Model Card published within the internal Enterprise AI Model Inventory (EAIMI). For customer-facing public systems, a redacted System Card must be made publicly available.</w:t>
      </w:r>
    </w:p>
    <w:p>
      <w:pPr>
        <w:spacing w:before="0" w:after="120" w:line="276" w:lineRule="auto"/>
      </w:pPr>
      <w:r>
        <w:rPr>
          <w:rFonts w:ascii="Calibri" w:hAnsi="Calibri"/>
          <w:color w:val="2D3237"/>
          <w:sz w:val="20"/>
        </w:rPr>
        <w:t>Clause 9.1.2 — Model Cards must adhere strictly to the ISO/IEC 42001 and NIST AI RMF documentation schema, incorporating the following mandatory sections:</w:t>
      </w:r>
    </w:p>
    <w:p>
      <w:pPr>
        <w:pStyle w:val="ListBullet"/>
        <w:spacing w:before="0" w:after="60" w:line="276" w:lineRule="auto"/>
      </w:pPr>
      <w:r>
        <w:rPr>
          <w:rFonts w:ascii="Calibri" w:hAnsi="Calibri"/>
          <w:b/>
          <w:color w:val="2D3237"/>
          <w:sz w:val="20"/>
        </w:rPr>
        <w:t xml:space="preserve">Section A (Model Overview): </w:t>
      </w:r>
      <w:r>
        <w:rPr>
          <w:rFonts w:ascii="Calibri" w:hAnsi="Calibri"/>
          <w:color w:val="2D3237"/>
          <w:sz w:val="20"/>
        </w:rPr>
        <w:t>Model name, version build, release date, primary architectural family, parameter scale, context window capacity, and developing research entity (e.g., Inception, Core42, Presight).</w:t>
      </w:r>
    </w:p>
    <w:p>
      <w:pPr>
        <w:pStyle w:val="ListBullet"/>
        <w:spacing w:before="0" w:after="60" w:line="276" w:lineRule="auto"/>
      </w:pPr>
      <w:r>
        <w:rPr>
          <w:rFonts w:ascii="Calibri" w:hAnsi="Calibri"/>
          <w:b/>
          <w:color w:val="2D3237"/>
          <w:sz w:val="20"/>
        </w:rPr>
        <w:t xml:space="preserve">Section B (Intended Uses &amp; Scope): </w:t>
      </w:r>
      <w:r>
        <w:rPr>
          <w:rFonts w:ascii="Calibri" w:hAnsi="Calibri"/>
          <w:color w:val="2D3237"/>
          <w:sz w:val="20"/>
        </w:rPr>
        <w:t>Explicitly defined intended enterprise applications, supported domains, operational constraints, out-of-scope tasks, and strictly prohibited deployment environments.</w:t>
      </w:r>
    </w:p>
    <w:p>
      <w:pPr>
        <w:pStyle w:val="ListBullet"/>
        <w:spacing w:before="0" w:after="60" w:line="276" w:lineRule="auto"/>
      </w:pPr>
      <w:r>
        <w:rPr>
          <w:rFonts w:ascii="Calibri" w:hAnsi="Calibri"/>
          <w:b/>
          <w:color w:val="2D3237"/>
          <w:sz w:val="20"/>
        </w:rPr>
        <w:t xml:space="preserve">Section C (Training Data &amp; Provenance): </w:t>
      </w:r>
      <w:r>
        <w:rPr>
          <w:rFonts w:ascii="Calibri" w:hAnsi="Calibri"/>
          <w:color w:val="2D3237"/>
          <w:sz w:val="20"/>
        </w:rPr>
        <w:t>Comprehensive breakdown of pre-training corpora, token counts, language distributions, licensing status, synthetic data proportions, and PII filtering audit summaries.</w:t>
      </w:r>
    </w:p>
    <w:p>
      <w:pPr>
        <w:pStyle w:val="ListBullet"/>
        <w:spacing w:before="0" w:after="60" w:line="276" w:lineRule="auto"/>
      </w:pPr>
      <w:r>
        <w:rPr>
          <w:rFonts w:ascii="Calibri" w:hAnsi="Calibri"/>
          <w:b/>
          <w:color w:val="2D3237"/>
          <w:sz w:val="20"/>
        </w:rPr>
        <w:t xml:space="preserve">Section D (Evaluation &amp; Benchmarks): </w:t>
      </w:r>
      <w:r>
        <w:rPr>
          <w:rFonts w:ascii="Calibri" w:hAnsi="Calibri"/>
          <w:color w:val="2D3237"/>
          <w:sz w:val="20"/>
        </w:rPr>
        <w:t>Quantitative evaluation scores across standard academic benchmarks (MMLU, GSM8k, HumanEval), safety alignment metrics, toxicity rates, and demographic parity evaluations.</w:t>
      </w:r>
    </w:p>
    <w:p>
      <w:pPr>
        <w:pStyle w:val="ListBullet"/>
        <w:spacing w:before="0" w:after="60" w:line="276" w:lineRule="auto"/>
      </w:pPr>
      <w:r>
        <w:rPr>
          <w:rFonts w:ascii="Calibri" w:hAnsi="Calibri"/>
          <w:b/>
          <w:color w:val="2D3237"/>
          <w:sz w:val="20"/>
        </w:rPr>
        <w:t xml:space="preserve">Section E (Risks, Biases &amp; Limitations): </w:t>
      </w:r>
      <w:r>
        <w:rPr>
          <w:rFonts w:ascii="Calibri" w:hAnsi="Calibri"/>
          <w:color w:val="2D3237"/>
          <w:sz w:val="20"/>
        </w:rPr>
        <w:t>Known failure modes, hallucinations, edge-case vulnerabilities, adversarial prompt injection risks, and recommended human oversight controls.</w:t>
      </w:r>
    </w:p>
    <w:p>
      <w:pPr>
        <w:keepNext/>
        <w:spacing w:before="280" w:after="80"/>
      </w:pPr>
      <w:r>
        <w:rPr>
          <w:rFonts w:ascii="Calibri" w:hAnsi="Calibri"/>
          <w:b/>
          <w:color w:val="136F63"/>
          <w:sz w:val="24"/>
        </w:rPr>
        <w:t>9.2 Algorithmic Explainability &amp; Decision Traceability</w:t>
      </w:r>
    </w:p>
    <w:p>
      <w:pPr>
        <w:spacing w:before="0" w:after="120" w:line="276" w:lineRule="auto"/>
      </w:pPr>
      <w:r>
        <w:rPr>
          <w:rFonts w:ascii="Calibri" w:hAnsi="Calibri"/>
          <w:color w:val="2D3237"/>
          <w:sz w:val="20"/>
        </w:rPr>
        <w:t>Clause 9.2.1 — For all Tier 1 (Critical) and Tier 2 (Enterprise Autonomous) systems that generate automated classifications, scores, or decisions impacting individuals or commercial operations, teams must implement local and global feature attribution mechanisms (e.g., Integrated Gradients, SHAP, or Attention Rollout). The explanation must translate mathematical weights into plain-language rationales accessible to compliance auditors and end-users.</w:t>
      </w:r>
    </w:p>
    <w:p>
      <w:pPr>
        <w:keepNext/>
        <w:spacing w:before="200" w:after="40"/>
      </w:pPr>
      <w:r>
        <w:rPr>
          <w:rFonts w:ascii="Calibri" w:hAnsi="Calibri"/>
          <w:b/>
          <w:color w:val="0B2545"/>
          <w:sz w:val="21"/>
        </w:rPr>
        <w:t>9.3 Synthetic Content Labeling &amp; Provenance Watermarking</w:t>
      </w:r>
    </w:p>
    <w:p>
      <w:pPr>
        <w:spacing w:before="0" w:after="120" w:line="276" w:lineRule="auto"/>
      </w:pPr>
      <w:r>
        <w:rPr>
          <w:rFonts w:ascii="Calibri" w:hAnsi="Calibri"/>
          <w:color w:val="2D3237"/>
          <w:sz w:val="20"/>
        </w:rPr>
        <w:t>Clause 9.3.1 — In accordance with the EU AI Act (Article 50) and UAE AI Governance Directives, all synthetic media, deep-learning audio, photorealistic imagery, and automated text generated by G42 platforms must embed immutable provenance markers: (a) Cryptographic C2PA (Coalition for Content Provenance and Authenticity) metadata manifests; and (b) Invisible statistical watermarking embedded directly into generated tokens/pixels.</w:t>
      </w:r>
    </w:p>
    <w:p>
      <w:r>
        <w:br w:type="page"/>
      </w:r>
    </w:p>
    <w:p>
      <w:pPr>
        <w:keepNext/>
        <w:spacing w:before="400" w:after="120"/>
      </w:pPr>
      <w:r>
        <w:rPr>
          <w:rFonts w:ascii="Calibri" w:hAnsi="Calibri"/>
          <w:b/>
          <w:color w:val="0B2545"/>
          <w:sz w:val="30"/>
        </w:rPr>
        <w:t>SECTION 10: CONTINUOUS MONITORING, DRIFT &amp; INCIDENT RESPONSE</w:t>
      </w:r>
    </w:p>
    <w:p>
      <w:pPr>
        <w:keepNext/>
        <w:spacing w:before="280" w:after="80"/>
      </w:pPr>
      <w:r>
        <w:rPr>
          <w:rFonts w:ascii="Calibri" w:hAnsi="Calibri"/>
          <w:b/>
          <w:color w:val="136F63"/>
          <w:sz w:val="24"/>
        </w:rPr>
        <w:t>10.1 Real-Time Production Telemetry &amp; Observability</w:t>
      </w:r>
    </w:p>
    <w:p>
      <w:pPr>
        <w:spacing w:before="0" w:after="120" w:line="276" w:lineRule="auto"/>
      </w:pPr>
      <w:r>
        <w:rPr>
          <w:rFonts w:ascii="Calibri" w:hAnsi="Calibri"/>
          <w:color w:val="2D3237"/>
          <w:sz w:val="20"/>
        </w:rPr>
        <w:t>Clause 10.1.1 — Production AI inference pipelines must maintain continuous telemetry recording operational performance, compute utilization, latency distributions, and semantic stability. Telemetry pipelines must capture all inference events into the immutable G42 AI Observability Mesh while maintaining zero-retention compliance for sensitive user payloads.</w:t>
      </w:r>
    </w:p>
    <w:p>
      <w:pPr>
        <w:keepNext/>
        <w:spacing w:before="280" w:after="80"/>
      </w:pPr>
      <w:r>
        <w:rPr>
          <w:rFonts w:ascii="Calibri" w:hAnsi="Calibri"/>
          <w:b/>
          <w:color w:val="136F63"/>
          <w:sz w:val="24"/>
        </w:rPr>
        <w:t>10.2 Drift Detection Triggers &amp; The 5% Deviation Rule</w:t>
      </w:r>
    </w:p>
    <w:p>
      <w:pPr>
        <w:spacing w:before="0" w:after="120" w:line="276" w:lineRule="auto"/>
      </w:pPr>
      <w:r>
        <w:rPr>
          <w:rFonts w:ascii="Calibri" w:hAnsi="Calibri"/>
          <w:color w:val="2D3237"/>
          <w:sz w:val="20"/>
        </w:rPr>
        <w:t>Clause 10.2.1 — Automated drift monitoring must evaluate continuous statistical distributions across three vectors: (a) Input Data Drift (Kolmogorov-Smirnov test on input embeddings); (b) Concept Drift (accuracy degradation against ground truth validation sets); and (c) Safety Metric Drift (spikes in toxicity or hallucination scores).</w:t>
      </w:r>
    </w:p>
    <w:tbl>
      <w:tblPr>
        <w:tblW w:type="auto" w:w="0"/>
        <w:jc w:val="center"/>
        <w:tblLayout w:type="fixed"/>
        <w:tblLook w:firstColumn="1" w:firstRow="1" w:lastColumn="0" w:lastRow="0" w:noHBand="0" w:noVBand="1" w:val="04A0"/>
      </w:tblPr>
      <w:tblGrid>
        <w:gridCol w:w="9029"/>
      </w:tblGrid>
      <w:tr>
        <w:tc>
          <w:tcPr>
            <w:tcW w:type="dxa" w:w="9029"/>
            <w:shd w:fill="F2F6FA"/>
            <w:tcMar>
              <w:top w:w="130" w:type="dxa"/>
              <w:bottom w:w="130" w:type="dxa"/>
              <w:left w:w="160" w:type="dxa"/>
              <w:right w:w="160" w:type="dxa"/>
            </w:tcMar>
            <w:tcBorders>
              <w:top w:val="none"/>
              <w:left w:val="single" w:sz="24" w:space="0" w:color="0B2545"/>
              <w:bottom w:val="none"/>
              <w:right w:val="none"/>
            </w:tcBorders>
          </w:tcPr>
          <w:p>
            <w:pPr>
              <w:spacing w:before="0" w:after="60"/>
            </w:pPr>
            <w:r>
              <w:rPr>
                <w:rFonts w:ascii="Calibri" w:hAnsi="Calibri"/>
                <w:b/>
                <w:color w:val="0B2545"/>
                <w:sz w:val="19"/>
              </w:rPr>
              <w:t>[AUTOMATED TRAFFIC CIRCUIT BREAKER]</w:t>
              <w:br/>
            </w:r>
            <w:r>
              <w:rPr>
                <w:rFonts w:ascii="Calibri" w:hAnsi="Calibri"/>
                <w:color w:val="2D3237"/>
                <w:sz w:val="19"/>
              </w:rPr>
              <w:t>THE 5% DRIFT THROTTLING MANDATE (CLAUSE 10.2.2): Any production AI model exhibiting a sudden 5% or greater deviation in safety alignment scores, hallucination rates, or demographic parity metrics over a rolling 24-hour window must be automatically throttled by the API Gateway. Incoming production traffic must be immediately failed-over to a validated baseline fallback model while an automated incident ticket is routed to the MLOps on-call engineer.</w:t>
            </w:r>
          </w:p>
        </w:tc>
      </w:tr>
    </w:tbl>
    <w:p>
      <w:pPr>
        <w:spacing w:before="0" w:after="80"/>
      </w:pPr>
    </w:p>
    <w:p>
      <w:pPr>
        <w:keepNext/>
        <w:spacing w:before="200" w:after="40"/>
      </w:pPr>
      <w:r>
        <w:rPr>
          <w:rFonts w:ascii="Calibri" w:hAnsi="Calibri"/>
          <w:b/>
          <w:color w:val="0B2545"/>
          <w:sz w:val="21"/>
        </w:rPr>
        <w:t>10.3 Enterprise AI Incident Classification &amp; Escalation Matrix</w:t>
      </w:r>
    </w:p>
    <w:p>
      <w:pPr>
        <w:spacing w:before="0" w:after="120" w:line="276" w:lineRule="auto"/>
      </w:pPr>
      <w:r>
        <w:rPr>
          <w:rFonts w:ascii="Calibri" w:hAnsi="Calibri"/>
          <w:color w:val="2D3237"/>
          <w:sz w:val="20"/>
        </w:rPr>
        <w:t>Clause 10.3.1 — AI safety breaches, adversarial compromises, and algorithmic failures must be reported and escalated in accordance with the Enterprise AI Incident Management Protocol (EAI-IMP):</w:t>
      </w:r>
    </w:p>
    <w:tbl>
      <w:tblPr>
        <w:tblW w:type="auto" w:w="0"/>
        <w:jc w:val="center"/>
        <w:tblLayout w:type="fixed"/>
        <w:tblLook w:firstColumn="1" w:firstRow="1" w:lastColumn="0" w:lastRow="0" w:noHBand="0" w:noVBand="1" w:val="04A0"/>
      </w:tblPr>
      <w:tblGrid>
        <w:gridCol w:w="1872"/>
        <w:gridCol w:w="2736"/>
        <w:gridCol w:w="2016"/>
        <w:gridCol w:w="2405"/>
      </w:tblGrid>
      <w:tr>
        <w:tc>
          <w:tcPr>
            <w:tcW w:type="dxa" w:w="1872"/>
            <w:shd w:fill="0B2545"/>
            <w:tcMar>
              <w:top w:w="120" w:type="dxa"/>
              <w:bottom w:w="120" w:type="dxa"/>
              <w:left w:w="130" w:type="dxa"/>
              <w:right w:w="130" w:type="dxa"/>
            </w:tcMar>
          </w:tcPr>
          <w:p>
            <w:pPr>
              <w:spacing w:before="0" w:after="0"/>
              <w:jc w:val="left"/>
            </w:pPr>
            <w:r>
              <w:rPr>
                <w:rFonts w:ascii="Calibri" w:hAnsi="Calibri"/>
                <w:b/>
                <w:color w:val="FFFFFF"/>
                <w:sz w:val="18"/>
              </w:rPr>
              <w:t>Incident Tier</w:t>
            </w:r>
          </w:p>
        </w:tc>
        <w:tc>
          <w:tcPr>
            <w:tcW w:type="dxa" w:w="2736"/>
            <w:shd w:fill="0B2545"/>
            <w:tcMar>
              <w:top w:w="120" w:type="dxa"/>
              <w:bottom w:w="120" w:type="dxa"/>
              <w:left w:w="130" w:type="dxa"/>
              <w:right w:w="130" w:type="dxa"/>
            </w:tcMar>
          </w:tcPr>
          <w:p>
            <w:pPr>
              <w:spacing w:before="0" w:after="0"/>
              <w:jc w:val="left"/>
            </w:pPr>
            <w:r>
              <w:rPr>
                <w:rFonts w:ascii="Calibri" w:hAnsi="Calibri"/>
                <w:b/>
                <w:color w:val="FFFFFF"/>
                <w:sz w:val="18"/>
              </w:rPr>
              <w:t>Incident Profile &amp; Real-World Examples</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Target Response SLA</w:t>
            </w:r>
          </w:p>
        </w:tc>
        <w:tc>
          <w:tcPr>
            <w:tcW w:type="dxa" w:w="2405"/>
            <w:shd w:fill="0B2545"/>
            <w:tcMar>
              <w:top w:w="120" w:type="dxa"/>
              <w:bottom w:w="120" w:type="dxa"/>
              <w:left w:w="130" w:type="dxa"/>
              <w:right w:w="130" w:type="dxa"/>
            </w:tcMar>
          </w:tcPr>
          <w:p>
            <w:pPr>
              <w:spacing w:before="0" w:after="0"/>
              <w:jc w:val="left"/>
            </w:pPr>
            <w:r>
              <w:rPr>
                <w:rFonts w:ascii="Calibri" w:hAnsi="Calibri"/>
                <w:b/>
                <w:color w:val="FFFFFF"/>
                <w:sz w:val="18"/>
              </w:rPr>
              <w:t>Escalation &amp; Mandatory Notification</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Severity Level</w:t>
            </w:r>
          </w:p>
        </w:tc>
        <w:tc>
          <w:tcPr>
            <w:tcW w:type="dxa" w:w="2736"/>
            <w:shd w:fill="FFFFFF"/>
            <w:tcMar>
              <w:top w:w="95" w:type="dxa"/>
              <w:bottom w:w="95" w:type="dxa"/>
              <w:left w:w="130" w:type="dxa"/>
              <w:right w:w="130" w:type="dxa"/>
            </w:tcMar>
          </w:tcPr>
          <w:p>
            <w:pPr>
              <w:spacing w:before="0" w:after="0"/>
            </w:pPr>
            <w:r>
              <w:rPr>
                <w:rFonts w:ascii="Calibri" w:hAnsi="Calibri"/>
                <w:color w:val="2D3237"/>
                <w:sz w:val="17"/>
              </w:rPr>
              <w:t>Incident Definition &amp; Examples</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Response SLA</w:t>
            </w:r>
          </w:p>
        </w:tc>
        <w:tc>
          <w:tcPr>
            <w:tcW w:type="dxa" w:w="2405"/>
            <w:shd w:fill="FFFFFF"/>
            <w:tcMar>
              <w:top w:w="95" w:type="dxa"/>
              <w:bottom w:w="95" w:type="dxa"/>
              <w:left w:w="130" w:type="dxa"/>
              <w:right w:w="130" w:type="dxa"/>
            </w:tcMar>
          </w:tcPr>
          <w:p>
            <w:pPr>
              <w:spacing w:before="0" w:after="0"/>
            </w:pPr>
            <w:r>
              <w:rPr>
                <w:rFonts w:ascii="Calibri" w:hAnsi="Calibri"/>
                <w:color w:val="2D3237"/>
                <w:sz w:val="17"/>
              </w:rPr>
              <w:t>Escalation &amp; Notification Flow</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Severity 1 (Critical AI Emergency)</w:t>
            </w:r>
          </w:p>
        </w:tc>
        <w:tc>
          <w:tcPr>
            <w:tcW w:type="dxa" w:w="2736"/>
            <w:shd w:fill="F7F9FB"/>
            <w:tcMar>
              <w:top w:w="95" w:type="dxa"/>
              <w:bottom w:w="95" w:type="dxa"/>
              <w:left w:w="130" w:type="dxa"/>
              <w:right w:w="130" w:type="dxa"/>
            </w:tcMar>
          </w:tcPr>
          <w:p>
            <w:pPr>
              <w:spacing w:before="0" w:after="0"/>
            </w:pPr>
            <w:r>
              <w:rPr>
                <w:rFonts w:ascii="Calibri" w:hAnsi="Calibri"/>
                <w:color w:val="2D3237"/>
                <w:sz w:val="17"/>
              </w:rPr>
              <w:t>Active exploitation of prompt injection causing unauthorized exfiltration of sovereign data; critical infrastructure malfunction; catastrophic jailbreak producing dangerous chemical/biological instructions.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Immediate response (&lt;15 mins); resolution target &lt; 4 hours.</w:t>
            </w:r>
          </w:p>
        </w:tc>
        <w:tc>
          <w:tcPr>
            <w:tcW w:type="dxa" w:w="2405"/>
            <w:shd w:fill="F7F9FB"/>
            <w:tcMar>
              <w:top w:w="95" w:type="dxa"/>
              <w:bottom w:w="95" w:type="dxa"/>
              <w:left w:w="130" w:type="dxa"/>
              <w:right w:w="130" w:type="dxa"/>
            </w:tcMar>
          </w:tcPr>
          <w:p>
            <w:pPr>
              <w:spacing w:before="0" w:after="0"/>
            </w:pPr>
            <w:r>
              <w:rPr>
                <w:rFonts w:ascii="Calibri" w:hAnsi="Calibri"/>
                <w:color w:val="2D3237"/>
                <w:sz w:val="17"/>
              </w:rPr>
              <w:t>Immediate CSOC emergency kill-switch activation; notify Group CEO, CAIO, CISO, Board Risk Council, and UAE AI Office within 2 hours.</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Severity 2 (Major Algorithmic Failure)</w:t>
            </w:r>
          </w:p>
        </w:tc>
        <w:tc>
          <w:tcPr>
            <w:tcW w:type="dxa" w:w="2736"/>
            <w:shd w:fill="FFFFFF"/>
            <w:tcMar>
              <w:top w:w="95" w:type="dxa"/>
              <w:bottom w:w="95" w:type="dxa"/>
              <w:left w:w="130" w:type="dxa"/>
              <w:right w:w="130" w:type="dxa"/>
            </w:tcMar>
          </w:tcPr>
          <w:p>
            <w:pPr>
              <w:spacing w:before="0" w:after="0"/>
            </w:pPr>
            <w:r>
              <w:rPr>
                <w:rFonts w:ascii="Calibri" w:hAnsi="Calibri"/>
                <w:color w:val="2D3237"/>
                <w:sz w:val="17"/>
              </w:rPr>
              <w:t>Systemic demographic bias discovered in customer-facing production bot; model drift exceeding 10%; unauthorized tool execution in staging environment with data loss.</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Response &lt; 1 hour; resolution target &lt; 12 hours.</w:t>
            </w:r>
          </w:p>
        </w:tc>
        <w:tc>
          <w:tcPr>
            <w:tcW w:type="dxa" w:w="2405"/>
            <w:shd w:fill="FFFFFF"/>
            <w:tcMar>
              <w:top w:w="95" w:type="dxa"/>
              <w:bottom w:w="95" w:type="dxa"/>
              <w:left w:w="130" w:type="dxa"/>
              <w:right w:w="130" w:type="dxa"/>
            </w:tcMar>
          </w:tcPr>
          <w:p>
            <w:pPr>
              <w:spacing w:before="0" w:after="0"/>
            </w:pPr>
            <w:r>
              <w:rPr>
                <w:rFonts w:ascii="Calibri" w:hAnsi="Calibri"/>
                <w:color w:val="2D3237"/>
                <w:sz w:val="17"/>
              </w:rPr>
              <w:t>Escalate to BU Head of AI, BU CISO, and Group RAI Lead; initiate traffic throttling to fallback model.</w:t>
            </w:r>
          </w:p>
        </w:tc>
      </w:tr>
      <w:tr>
        <w:tc>
          <w:tcPr>
            <w:tcW w:type="dxa" w:w="1872"/>
            <w:shd w:fill="F7F9FB"/>
            <w:tcMar>
              <w:top w:w="95" w:type="dxa"/>
              <w:bottom w:w="95" w:type="dxa"/>
              <w:left w:w="130" w:type="dxa"/>
              <w:right w:w="130" w:type="dxa"/>
            </w:tcMar>
          </w:tcPr>
          <w:p>
            <w:pPr>
              <w:spacing w:before="0" w:after="0"/>
            </w:pPr>
            <w:r>
              <w:rPr>
                <w:rFonts w:ascii="Calibri" w:hAnsi="Calibri"/>
                <w:color w:val="2D3237"/>
                <w:sz w:val="17"/>
              </w:rPr>
              <w:t>Severity 3 (Moderate Anomaly)</w:t>
            </w:r>
          </w:p>
        </w:tc>
        <w:tc>
          <w:tcPr>
            <w:tcW w:type="dxa" w:w="2736"/>
            <w:shd w:fill="F7F9FB"/>
            <w:tcMar>
              <w:top w:w="95" w:type="dxa"/>
              <w:bottom w:w="95" w:type="dxa"/>
              <w:left w:w="130" w:type="dxa"/>
              <w:right w:w="130" w:type="dxa"/>
            </w:tcMar>
          </w:tcPr>
          <w:p>
            <w:pPr>
              <w:spacing w:before="0" w:after="0"/>
            </w:pPr>
            <w:r>
              <w:rPr>
                <w:rFonts w:ascii="Calibri" w:hAnsi="Calibri"/>
                <w:color w:val="2D3237"/>
                <w:sz w:val="17"/>
              </w:rPr>
              <w:t>Isolated hallucination in document summarization; minor prompt injection resilience failure without data exfiltration; model latency spike exceeding 300%.</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Response &lt; 4 hours; resolution target &lt; 48 hours.</w:t>
            </w:r>
          </w:p>
        </w:tc>
        <w:tc>
          <w:tcPr>
            <w:tcW w:type="dxa" w:w="2405"/>
            <w:shd w:fill="F7F9FB"/>
            <w:tcMar>
              <w:top w:w="95" w:type="dxa"/>
              <w:bottom w:w="95" w:type="dxa"/>
              <w:left w:w="130" w:type="dxa"/>
              <w:right w:w="130" w:type="dxa"/>
            </w:tcMar>
          </w:tcPr>
          <w:p>
            <w:pPr>
              <w:spacing w:before="0" w:after="0"/>
            </w:pPr>
            <w:r>
              <w:rPr>
                <w:rFonts w:ascii="Calibri" w:hAnsi="Calibri"/>
                <w:color w:val="2D3237"/>
                <w:sz w:val="17"/>
              </w:rPr>
              <w:t>Escalate to Lead MLOps Engineer; schedule targeted fine-tuning patch in next sprint cycle.</w:t>
            </w:r>
          </w:p>
        </w:tc>
      </w:tr>
      <w:tr>
        <w:tc>
          <w:tcPr>
            <w:tcW w:type="dxa" w:w="1872"/>
            <w:shd w:fill="FFFFFF"/>
            <w:tcMar>
              <w:top w:w="95" w:type="dxa"/>
              <w:bottom w:w="95" w:type="dxa"/>
              <w:left w:w="130" w:type="dxa"/>
              <w:right w:w="130" w:type="dxa"/>
            </w:tcMar>
          </w:tcPr>
          <w:p>
            <w:pPr>
              <w:spacing w:before="0" w:after="0"/>
            </w:pPr>
            <w:r>
              <w:rPr>
                <w:rFonts w:ascii="Calibri" w:hAnsi="Calibri"/>
                <w:color w:val="2D3237"/>
                <w:sz w:val="17"/>
              </w:rPr>
              <w:t>Severity 4 (Low-Level Deviation)</w:t>
            </w:r>
          </w:p>
        </w:tc>
        <w:tc>
          <w:tcPr>
            <w:tcW w:type="dxa" w:w="2736"/>
            <w:shd w:fill="FFFFFF"/>
            <w:tcMar>
              <w:top w:w="95" w:type="dxa"/>
              <w:bottom w:w="95" w:type="dxa"/>
              <w:left w:w="130" w:type="dxa"/>
              <w:right w:w="130" w:type="dxa"/>
            </w:tcMar>
          </w:tcPr>
          <w:p>
            <w:pPr>
              <w:spacing w:before="0" w:after="0"/>
            </w:pPr>
            <w:r>
              <w:rPr>
                <w:rFonts w:ascii="Calibri" w:hAnsi="Calibri"/>
                <w:color w:val="2D3237"/>
                <w:sz w:val="17"/>
              </w:rPr>
              <w:t>Minor metadata tagging error in EAIMI inventory; edge-case translation inaccuracy in low-resource dialect; non-critical telemetry log drop.</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Response &lt; 24 hours; resolution target &lt; 5 business days.</w:t>
            </w:r>
          </w:p>
        </w:tc>
        <w:tc>
          <w:tcPr>
            <w:tcW w:type="dxa" w:w="2405"/>
            <w:shd w:fill="FFFFFF"/>
            <w:tcMar>
              <w:top w:w="95" w:type="dxa"/>
              <w:bottom w:w="95" w:type="dxa"/>
              <w:left w:w="130" w:type="dxa"/>
              <w:right w:w="130" w:type="dxa"/>
            </w:tcMar>
          </w:tcPr>
          <w:p>
            <w:pPr>
              <w:spacing w:before="0" w:after="0"/>
            </w:pPr>
            <w:r>
              <w:rPr>
                <w:rFonts w:ascii="Calibri" w:hAnsi="Calibri"/>
                <w:color w:val="2D3237"/>
                <w:sz w:val="17"/>
              </w:rPr>
              <w:t>Log in standard engineering Jira backlog; resolve during routine bi-weekly maintenance.</w:t>
            </w:r>
          </w:p>
        </w:tc>
      </w:tr>
    </w:tbl>
    <w:p>
      <w:pPr>
        <w:spacing w:before="0" w:after="80"/>
      </w:pPr>
    </w:p>
    <w:p>
      <w:r>
        <w:br w:type="page"/>
      </w:r>
    </w:p>
    <w:p>
      <w:pPr>
        <w:keepNext/>
        <w:spacing w:before="400" w:after="120"/>
      </w:pPr>
      <w:r>
        <w:rPr>
          <w:rFonts w:ascii="Calibri" w:hAnsi="Calibri"/>
          <w:b/>
          <w:color w:val="0B2545"/>
          <w:sz w:val="30"/>
        </w:rPr>
        <w:t>SECTION 11: ENFORCEMENT, DISCIPLINARY &amp; WHISTLEBLOWER SAFE HARBOR</w:t>
      </w:r>
    </w:p>
    <w:p>
      <w:pPr>
        <w:keepNext/>
        <w:spacing w:before="280" w:after="80"/>
      </w:pPr>
      <w:r>
        <w:rPr>
          <w:rFonts w:ascii="Calibri" w:hAnsi="Calibri"/>
          <w:b/>
          <w:color w:val="136F63"/>
          <w:sz w:val="24"/>
        </w:rPr>
        <w:t>11.1 Compliance Auditing &amp; Forensic Inspection</w:t>
      </w:r>
    </w:p>
    <w:p>
      <w:pPr>
        <w:spacing w:before="0" w:after="120" w:line="276" w:lineRule="auto"/>
      </w:pPr>
      <w:r>
        <w:rPr>
          <w:rFonts w:ascii="Calibri" w:hAnsi="Calibri"/>
          <w:color w:val="2D3237"/>
          <w:sz w:val="20"/>
        </w:rPr>
        <w:t>Clause 11.1.1 — Compliance with this policy is subject to continuous automated monitoring, periodic vulnerability assessments, and unannounced forensic audits conducted by the Group Internal Audit Directorate and the Group AI Safety Board. Auditors possess unrestricted, read-only access to all code repositories, model weights inventories, dataset logs, MLOps telemetry, and agent tool execution records.</w:t>
      </w:r>
    </w:p>
    <w:p>
      <w:pPr>
        <w:keepNext/>
        <w:spacing w:before="280" w:after="80"/>
      </w:pPr>
      <w:r>
        <w:rPr>
          <w:rFonts w:ascii="Calibri" w:hAnsi="Calibri"/>
          <w:b/>
          <w:color w:val="136F63"/>
          <w:sz w:val="24"/>
        </w:rPr>
        <w:t>11.2 Progressive Disciplinary Framework &amp; Penalties</w:t>
      </w:r>
    </w:p>
    <w:p>
      <w:pPr>
        <w:spacing w:before="0" w:after="120" w:line="276" w:lineRule="auto"/>
      </w:pPr>
      <w:r>
        <w:rPr>
          <w:rFonts w:ascii="Calibri" w:hAnsi="Calibri"/>
          <w:color w:val="2D3237"/>
          <w:sz w:val="20"/>
        </w:rPr>
        <w:t>Clause 11.2.1 — Any intentional violation, reckless non-compliance, or gross negligence in adhering to the controls set forth in this policy shall result in formal disciplinary action administered under the G42 Disciplinary Severity Matrix:</w:t>
      </w:r>
    </w:p>
    <w:tbl>
      <w:tblPr>
        <w:tblW w:type="auto" w:w="0"/>
        <w:jc w:val="center"/>
        <w:tblLayout w:type="fixed"/>
        <w:tblLook w:firstColumn="1" w:firstRow="1" w:lastColumn="0" w:lastRow="0" w:noHBand="0" w:noVBand="1" w:val="04A0"/>
      </w:tblPr>
      <w:tblGrid>
        <w:gridCol w:w="2016"/>
        <w:gridCol w:w="3456"/>
        <w:gridCol w:w="3557"/>
      </w:tblGrid>
      <w:tr>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Violation Tier</w:t>
            </w:r>
          </w:p>
        </w:tc>
        <w:tc>
          <w:tcPr>
            <w:tcW w:type="dxa" w:w="3456"/>
            <w:shd w:fill="0B2545"/>
            <w:tcMar>
              <w:top w:w="120" w:type="dxa"/>
              <w:bottom w:w="120" w:type="dxa"/>
              <w:left w:w="130" w:type="dxa"/>
              <w:right w:w="130" w:type="dxa"/>
            </w:tcMar>
          </w:tcPr>
          <w:p>
            <w:pPr>
              <w:spacing w:before="0" w:after="0"/>
              <w:jc w:val="left"/>
            </w:pPr>
            <w:r>
              <w:rPr>
                <w:rFonts w:ascii="Calibri" w:hAnsi="Calibri"/>
                <w:b/>
                <w:color w:val="FFFFFF"/>
                <w:sz w:val="18"/>
              </w:rPr>
              <w:t>Description of Non-Compliance</w:t>
            </w:r>
          </w:p>
        </w:tc>
        <w:tc>
          <w:tcPr>
            <w:tcW w:type="dxa" w:w="3557"/>
            <w:shd w:fill="0B2545"/>
            <w:tcMar>
              <w:top w:w="120" w:type="dxa"/>
              <w:bottom w:w="120" w:type="dxa"/>
              <w:left w:w="130" w:type="dxa"/>
              <w:right w:w="130" w:type="dxa"/>
            </w:tcMar>
          </w:tcPr>
          <w:p>
            <w:pPr>
              <w:spacing w:before="0" w:after="0"/>
              <w:jc w:val="left"/>
            </w:pPr>
            <w:r>
              <w:rPr>
                <w:rFonts w:ascii="Calibri" w:hAnsi="Calibri"/>
                <w:b/>
                <w:color w:val="FFFFFF"/>
                <w:sz w:val="18"/>
              </w:rPr>
              <w:t>Prescribed Disciplinary &amp; Legal Sanctions</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Violation Severity</w:t>
            </w:r>
          </w:p>
        </w:tc>
        <w:tc>
          <w:tcPr>
            <w:tcW w:type="dxa" w:w="3456"/>
            <w:shd w:fill="FFFFFF"/>
            <w:tcMar>
              <w:top w:w="95" w:type="dxa"/>
              <w:bottom w:w="95" w:type="dxa"/>
              <w:left w:w="130" w:type="dxa"/>
              <w:right w:w="130" w:type="dxa"/>
            </w:tcMar>
          </w:tcPr>
          <w:p>
            <w:pPr>
              <w:spacing w:before="0" w:after="0"/>
            </w:pPr>
            <w:r>
              <w:rPr>
                <w:rFonts w:ascii="Calibri" w:hAnsi="Calibri"/>
                <w:color w:val="2D3237"/>
                <w:sz w:val="17"/>
              </w:rPr>
              <w:t>Nature of Policy Infraction</w:t>
            </w:r>
          </w:p>
        </w:tc>
        <w:tc>
          <w:tcPr>
            <w:tcW w:type="dxa" w:w="3557"/>
            <w:shd w:fill="FFFFFF"/>
            <w:tcMar>
              <w:top w:w="95" w:type="dxa"/>
              <w:bottom w:w="95" w:type="dxa"/>
              <w:left w:w="130" w:type="dxa"/>
              <w:right w:w="130" w:type="dxa"/>
            </w:tcMar>
          </w:tcPr>
          <w:p>
            <w:pPr>
              <w:spacing w:before="0" w:after="0"/>
            </w:pPr>
            <w:r>
              <w:rPr>
                <w:rFonts w:ascii="Calibri" w:hAnsi="Calibri"/>
                <w:color w:val="2D3237"/>
                <w:sz w:val="17"/>
              </w:rPr>
              <w:t>Mandatory Disciplinary Action</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Level 1: Minor Administrative</w:t>
            </w:r>
          </w:p>
        </w:tc>
        <w:tc>
          <w:tcPr>
            <w:tcW w:type="dxa" w:w="3456"/>
            <w:shd w:fill="F7F9FB"/>
            <w:tcMar>
              <w:top w:w="95" w:type="dxa"/>
              <w:bottom w:w="95" w:type="dxa"/>
              <w:left w:w="130" w:type="dxa"/>
              <w:right w:w="130" w:type="dxa"/>
            </w:tcMar>
          </w:tcPr>
          <w:p>
            <w:pPr>
              <w:spacing w:before="0" w:after="0"/>
            </w:pPr>
            <w:r>
              <w:rPr>
                <w:rFonts w:ascii="Calibri" w:hAnsi="Calibri"/>
                <w:color w:val="2D3237"/>
                <w:sz w:val="17"/>
              </w:rPr>
              <w:t>Failure to register low-risk model card in EAIMI within 14 days; missing minor metadata fields in non-production dataset logs.</w:t>
            </w:r>
          </w:p>
        </w:tc>
        <w:tc>
          <w:tcPr>
            <w:tcW w:type="dxa" w:w="3557"/>
            <w:shd w:fill="F7F9FB"/>
            <w:tcMar>
              <w:top w:w="95" w:type="dxa"/>
              <w:bottom w:w="95" w:type="dxa"/>
              <w:left w:w="130" w:type="dxa"/>
              <w:right w:w="130" w:type="dxa"/>
            </w:tcMar>
          </w:tcPr>
          <w:p>
            <w:pPr>
              <w:spacing w:before="0" w:after="0"/>
            </w:pPr>
            <w:r>
              <w:rPr>
                <w:rFonts w:ascii="Calibri" w:hAnsi="Calibri"/>
                <w:color w:val="2D3237"/>
                <w:sz w:val="17"/>
              </w:rPr>
              <w:t>Formal written counseling, mandatory completion of RAI re-training module, noted in annual performance review.</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Level 2: Serious Operational</w:t>
            </w:r>
          </w:p>
        </w:tc>
        <w:tc>
          <w:tcPr>
            <w:tcW w:type="dxa" w:w="3456"/>
            <w:shd w:fill="FFFFFF"/>
            <w:tcMar>
              <w:top w:w="95" w:type="dxa"/>
              <w:bottom w:w="95" w:type="dxa"/>
              <w:left w:w="130" w:type="dxa"/>
              <w:right w:w="130" w:type="dxa"/>
            </w:tcMar>
          </w:tcPr>
          <w:p>
            <w:pPr>
              <w:spacing w:before="0" w:after="0"/>
            </w:pPr>
            <w:r>
              <w:rPr>
                <w:rFonts w:ascii="Calibri" w:hAnsi="Calibri"/>
                <w:color w:val="2D3237"/>
                <w:sz w:val="17"/>
              </w:rPr>
              <w:t>Deploying a Tier 3 internal productivity tool without mandatory PII scrubbing; bypassing code review on non-critical prompt templates.</w:t>
            </w:r>
          </w:p>
        </w:tc>
        <w:tc>
          <w:tcPr>
            <w:tcW w:type="dxa" w:w="3557"/>
            <w:shd w:fill="FFFFFF"/>
            <w:tcMar>
              <w:top w:w="95" w:type="dxa"/>
              <w:bottom w:w="95" w:type="dxa"/>
              <w:left w:w="130" w:type="dxa"/>
              <w:right w:w="130" w:type="dxa"/>
            </w:tcMar>
          </w:tcPr>
          <w:p>
            <w:pPr>
              <w:spacing w:before="0" w:after="0"/>
            </w:pPr>
            <w:r>
              <w:rPr>
                <w:rFonts w:ascii="Calibri" w:hAnsi="Calibri"/>
                <w:color w:val="2D3237"/>
                <w:sz w:val="17"/>
              </w:rPr>
              <w:t>Written reprimand placed in official HR file, forfeiture of quarterly performance bonus eligibility, suspension of autonomous agent creation privileges for 90 days.</w:t>
            </w:r>
          </w:p>
        </w:tc>
      </w:tr>
      <w:tr>
        <w:tc>
          <w:tcPr>
            <w:tcW w:type="dxa" w:w="2016"/>
            <w:shd w:fill="F7F9FB"/>
            <w:tcMar>
              <w:top w:w="95" w:type="dxa"/>
              <w:bottom w:w="95" w:type="dxa"/>
              <w:left w:w="130" w:type="dxa"/>
              <w:right w:w="130" w:type="dxa"/>
            </w:tcMar>
          </w:tcPr>
          <w:p>
            <w:pPr>
              <w:spacing w:before="0" w:after="0"/>
            </w:pPr>
            <w:r>
              <w:rPr>
                <w:rFonts w:ascii="Calibri" w:hAnsi="Calibri"/>
                <w:color w:val="2D3237"/>
                <w:sz w:val="17"/>
              </w:rPr>
              <w:t>Level 3: Severe Violation</w:t>
            </w:r>
          </w:p>
        </w:tc>
        <w:tc>
          <w:tcPr>
            <w:tcW w:type="dxa" w:w="3456"/>
            <w:shd w:fill="F7F9FB"/>
            <w:tcMar>
              <w:top w:w="95" w:type="dxa"/>
              <w:bottom w:w="95" w:type="dxa"/>
              <w:left w:w="130" w:type="dxa"/>
              <w:right w:w="130" w:type="dxa"/>
            </w:tcMar>
          </w:tcPr>
          <w:p>
            <w:pPr>
              <w:spacing w:before="0" w:after="0"/>
            </w:pPr>
            <w:r>
              <w:rPr>
                <w:rFonts w:ascii="Calibri" w:hAnsi="Calibri"/>
                <w:color w:val="2D3237"/>
                <w:sz w:val="17"/>
              </w:rPr>
              <w:t>Intentionally disabling safety guardrails or toxicity filters on client-facing model; releasing Tier 2 autonomous agent without red-team sign-off.</w:t>
            </w:r>
          </w:p>
        </w:tc>
        <w:tc>
          <w:tcPr>
            <w:tcW w:type="dxa" w:w="3557"/>
            <w:shd w:fill="F7F9FB"/>
            <w:tcMar>
              <w:top w:w="95" w:type="dxa"/>
              <w:bottom w:w="95" w:type="dxa"/>
              <w:left w:w="130" w:type="dxa"/>
              <w:right w:w="130" w:type="dxa"/>
            </w:tcMar>
          </w:tcPr>
          <w:p>
            <w:pPr>
              <w:spacing w:before="0" w:after="0"/>
            </w:pPr>
            <w:r>
              <w:rPr>
                <w:rFonts w:ascii="Calibri" w:hAnsi="Calibri"/>
                <w:color w:val="2D3237"/>
                <w:sz w:val="17"/>
              </w:rPr>
              <w:t>Final written warning, immediate demotion, suspension without pay for up to 30 days, mandatory clawback review of unvested Long-Term Incentive Plan (LTIP) equity.</w:t>
            </w:r>
          </w:p>
        </w:tc>
      </w:tr>
      <w:tr>
        <w:tc>
          <w:tcPr>
            <w:tcW w:type="dxa" w:w="2016"/>
            <w:shd w:fill="FFFFFF"/>
            <w:tcMar>
              <w:top w:w="95" w:type="dxa"/>
              <w:bottom w:w="95" w:type="dxa"/>
              <w:left w:w="130" w:type="dxa"/>
              <w:right w:w="130" w:type="dxa"/>
            </w:tcMar>
          </w:tcPr>
          <w:p>
            <w:pPr>
              <w:spacing w:before="0" w:after="0"/>
            </w:pPr>
            <w:r>
              <w:rPr>
                <w:rFonts w:ascii="Calibri" w:hAnsi="Calibri"/>
                <w:color w:val="2D3237"/>
                <w:sz w:val="17"/>
              </w:rPr>
              <w:t>Level 4: Gross Misconduct</w:t>
            </w:r>
          </w:p>
        </w:tc>
        <w:tc>
          <w:tcPr>
            <w:tcW w:type="dxa" w:w="3456"/>
            <w:shd w:fill="FFFFFF"/>
            <w:tcMar>
              <w:top w:w="95" w:type="dxa"/>
              <w:bottom w:w="95" w:type="dxa"/>
              <w:left w:w="130" w:type="dxa"/>
              <w:right w:w="130" w:type="dxa"/>
            </w:tcMar>
          </w:tcPr>
          <w:p>
            <w:pPr>
              <w:spacing w:before="0" w:after="0"/>
            </w:pPr>
            <w:r>
              <w:rPr>
                <w:rFonts w:ascii="Calibri" w:hAnsi="Calibri"/>
                <w:color w:val="2D3237"/>
                <w:sz w:val="17"/>
              </w:rPr>
              <w:t>Developing prohibited AI use cases (Section 4); willful exfiltration of proprietary model weights or sovereign data; sabotaging kill-switch controls.</w:t>
            </w:r>
          </w:p>
        </w:tc>
        <w:tc>
          <w:tcPr>
            <w:tcW w:type="dxa" w:w="3557"/>
            <w:shd w:fill="FFFFFF"/>
            <w:tcMar>
              <w:top w:w="95" w:type="dxa"/>
              <w:bottom w:w="95" w:type="dxa"/>
              <w:left w:w="130" w:type="dxa"/>
              <w:right w:w="130" w:type="dxa"/>
            </w:tcMar>
          </w:tcPr>
          <w:p>
            <w:pPr>
              <w:spacing w:before="0" w:after="0"/>
            </w:pPr>
            <w:r>
              <w:rPr>
                <w:rFonts w:ascii="Calibri" w:hAnsi="Calibri"/>
                <w:color w:val="2D3237"/>
                <w:sz w:val="17"/>
              </w:rPr>
              <w:t>Immediate summary termination of employment for cause, total cancellation of LTIP grants, legal action for damages, and immediate referral to law enforcement for criminal prosecution.</w:t>
            </w:r>
          </w:p>
        </w:tc>
      </w:tr>
    </w:tbl>
    <w:p>
      <w:pPr>
        <w:spacing w:before="0" w:after="80"/>
      </w:pPr>
    </w:p>
    <w:p>
      <w:pPr>
        <w:keepNext/>
        <w:spacing w:before="280" w:after="80"/>
      </w:pPr>
      <w:r>
        <w:rPr>
          <w:rFonts w:ascii="Calibri" w:hAnsi="Calibri"/>
          <w:b/>
          <w:color w:val="136F63"/>
          <w:sz w:val="24"/>
        </w:rPr>
        <w:t>11.3 Whistleblower Protection &amp; Safe Harbor (EthicsPoint)</w:t>
      </w:r>
    </w:p>
    <w:p>
      <w:pPr>
        <w:spacing w:before="0" w:after="120" w:line="276" w:lineRule="auto"/>
      </w:pPr>
      <w:r>
        <w:rPr>
          <w:rFonts w:ascii="Calibri" w:hAnsi="Calibri"/>
          <w:color w:val="2D3237"/>
          <w:sz w:val="20"/>
        </w:rPr>
        <w:t>Clause 11.3.1 — G42 maintains an unyielding commitment to psychological safety and ethical integrity. Any employee, contractor, research scientist, or vendor partner who observes or reasonably suspects a violation of this policy—including unsafe AI model releases, suppressed red-team findings, or algorithmic discrimination—is protected under the G42 Whistleblower Safe Harbor Policy.</w:t>
      </w:r>
    </w:p>
    <w:p>
      <w:pPr>
        <w:spacing w:before="0" w:after="120" w:line="276" w:lineRule="auto"/>
      </w:pPr>
      <w:r>
        <w:rPr>
          <w:rFonts w:ascii="Calibri" w:hAnsi="Calibri"/>
          <w:color w:val="2D3237"/>
          <w:sz w:val="20"/>
        </w:rPr>
        <w:t>Clause 11.3.2 — Concerns may be reported confidentially and anonymously 24/7/365 via the independent reporting platform: EthicsPoint Portal at ethics.g42.ai or via the dedicated hotline at +971-2-GOV-G42. Retaliation of any kind against a whistleblower acting in good faith is strictly illegal under G42 policy and UAE Federal Law, resulting in immediate termination of the retaliating party.</w:t>
      </w:r>
    </w:p>
    <w:p>
      <w:r>
        <w:br w:type="page"/>
      </w:r>
    </w:p>
    <w:p>
      <w:pPr>
        <w:keepNext/>
        <w:spacing w:before="400" w:after="120"/>
      </w:pPr>
      <w:r>
        <w:rPr>
          <w:rFonts w:ascii="Calibri" w:hAnsi="Calibri"/>
          <w:b/>
          <w:color w:val="0B2545"/>
          <w:sz w:val="30"/>
        </w:rPr>
        <w:t>SECTION 12: APPENDIX — REGULATORY CONCORDANCE &amp; ATTESTATION</w:t>
      </w:r>
    </w:p>
    <w:p>
      <w:pPr>
        <w:keepNext/>
        <w:spacing w:before="280" w:after="80"/>
      </w:pPr>
      <w:r>
        <w:rPr>
          <w:rFonts w:ascii="Calibri" w:hAnsi="Calibri"/>
          <w:b/>
          <w:color w:val="136F63"/>
          <w:sz w:val="24"/>
        </w:rPr>
        <w:t>12.1 Statutory &amp; International Standard Mapping</w:t>
      </w:r>
    </w:p>
    <w:p>
      <w:pPr>
        <w:spacing w:before="0" w:after="120" w:line="276" w:lineRule="auto"/>
      </w:pPr>
      <w:r>
        <w:rPr>
          <w:rFonts w:ascii="Calibri" w:hAnsi="Calibri"/>
          <w:color w:val="2D3237"/>
          <w:sz w:val="20"/>
        </w:rPr>
        <w:t>Clause 12.1.1 — The G42 Enterprise Policy Framework is harmonized against leading global AI safety frameworks, national strategies, and ISO standards across primary operating jurisdictions:</w:t>
      </w:r>
    </w:p>
    <w:tbl>
      <w:tblPr>
        <w:tblW w:type="auto" w:w="0"/>
        <w:jc w:val="center"/>
        <w:tblLayout w:type="fixed"/>
        <w:tblLook w:firstColumn="1" w:firstRow="1" w:lastColumn="0" w:lastRow="0" w:noHBand="0" w:noVBand="1" w:val="04A0"/>
      </w:tblPr>
      <w:tblGrid>
        <w:gridCol w:w="2304"/>
        <w:gridCol w:w="2016"/>
        <w:gridCol w:w="2016"/>
        <w:gridCol w:w="2693"/>
      </w:tblGrid>
      <w:tr>
        <w:tc>
          <w:tcPr>
            <w:tcW w:type="dxa" w:w="2304"/>
            <w:shd w:fill="0B2545"/>
            <w:tcMar>
              <w:top w:w="120" w:type="dxa"/>
              <w:bottom w:w="120" w:type="dxa"/>
              <w:left w:w="130" w:type="dxa"/>
              <w:right w:w="130" w:type="dxa"/>
            </w:tcMar>
          </w:tcPr>
          <w:p>
            <w:pPr>
              <w:spacing w:before="0" w:after="0"/>
              <w:jc w:val="left"/>
            </w:pPr>
            <w:r>
              <w:rPr>
                <w:rFonts w:ascii="Calibri" w:hAnsi="Calibri"/>
                <w:b/>
                <w:color w:val="FFFFFF"/>
                <w:sz w:val="18"/>
              </w:rPr>
              <w:t>Statutory Framework</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Regulatory Authority</w:t>
            </w:r>
          </w:p>
        </w:tc>
        <w:tc>
          <w:tcPr>
            <w:tcW w:type="dxa" w:w="2016"/>
            <w:shd w:fill="0B2545"/>
            <w:tcMar>
              <w:top w:w="120" w:type="dxa"/>
              <w:bottom w:w="120" w:type="dxa"/>
              <w:left w:w="130" w:type="dxa"/>
              <w:right w:w="130" w:type="dxa"/>
            </w:tcMar>
          </w:tcPr>
          <w:p>
            <w:pPr>
              <w:spacing w:before="0" w:after="0"/>
              <w:jc w:val="left"/>
            </w:pPr>
            <w:r>
              <w:rPr>
                <w:rFonts w:ascii="Calibri" w:hAnsi="Calibri"/>
                <w:b/>
                <w:color w:val="FFFFFF"/>
                <w:sz w:val="18"/>
              </w:rPr>
              <w:t>Aligned Sections</w:t>
            </w:r>
          </w:p>
        </w:tc>
        <w:tc>
          <w:tcPr>
            <w:tcW w:type="dxa" w:w="2693"/>
            <w:shd w:fill="0B2545"/>
            <w:tcMar>
              <w:top w:w="120" w:type="dxa"/>
              <w:bottom w:w="120" w:type="dxa"/>
              <w:left w:w="130" w:type="dxa"/>
              <w:right w:w="130" w:type="dxa"/>
            </w:tcMar>
          </w:tcPr>
          <w:p>
            <w:pPr>
              <w:spacing w:before="0" w:after="0"/>
              <w:jc w:val="left"/>
            </w:pPr>
            <w:r>
              <w:rPr>
                <w:rFonts w:ascii="Calibri" w:hAnsi="Calibri"/>
                <w:b/>
                <w:color w:val="FFFFFF"/>
                <w:sz w:val="18"/>
              </w:rPr>
              <w:t>Operational Compliance Mandate</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International Standard / Law</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Governing Regulatory Body</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G42 Policy Section Alignment</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Core Compliance Mechanism</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UAE National AI Strategy 2031 &amp; AI Ethics Principles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UAE Artificial Intelligence Office</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1.2, Section 2.1, Section 5.1</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Sovereign compute residency, cultural alignment, ethical AI design baselines.</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ISO/IEC 42001:2023 (AI Management System)</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International Organization for Standardization (ISO)</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Section 2.3, Section 3.1, Section 9.1</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Full-lifecycle AI management, continuous risk assessment, standardized model documentation.</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European Union Artificial Intelligence Act (EU AI Act)</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European Commission / Parliament</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3.2, Section 4.2, Section 9.3</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Four-tier risk classification, prohibited practices ban, synthetic media watermarking (Art. 50).</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NIST Artificial Intelligence Risk Management Framework (AI RMF 1.0)</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US National Institute of Standards and Technology</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Section 5.1, Section 6.1, Section 10.2</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Govern, Map, Measure, Manage core functions; adversarial robustness benchmarking.</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US Executive Order 14110 on Safe AI Development</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US Federal Government / OMB</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5.3, Section 6.2, Section 7.4</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Mandatory red-teaming reporting, dual-use foundation model safeguards, compute monitoring.</w:t>
            </w:r>
          </w:p>
        </w:tc>
      </w:tr>
      <w:tr>
        <w:tc>
          <w:tcPr>
            <w:tcW w:type="dxa" w:w="2304"/>
            <w:shd w:fill="FFFFFF"/>
            <w:tcMar>
              <w:top w:w="95" w:type="dxa"/>
              <w:bottom w:w="95" w:type="dxa"/>
              <w:left w:w="130" w:type="dxa"/>
              <w:right w:w="130" w:type="dxa"/>
            </w:tcMar>
          </w:tcPr>
          <w:p>
            <w:pPr>
              <w:spacing w:before="0" w:after="0"/>
            </w:pPr>
            <w:r>
              <w:rPr>
                <w:rFonts w:ascii="Calibri" w:hAnsi="Calibri"/>
                <w:color w:val="2D3237"/>
                <w:sz w:val="17"/>
              </w:rPr>
              <w:t>UAE Federal Decree-Law No. 45/2021 on Personal Data Protection</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UAE Data Office</w:t>
            </w:r>
          </w:p>
        </w:tc>
        <w:tc>
          <w:tcPr>
            <w:tcW w:type="dxa" w:w="2016"/>
            <w:shd w:fill="FFFFFF"/>
            <w:tcMar>
              <w:top w:w="95" w:type="dxa"/>
              <w:bottom w:w="95" w:type="dxa"/>
              <w:left w:w="130" w:type="dxa"/>
              <w:right w:w="130" w:type="dxa"/>
            </w:tcMar>
          </w:tcPr>
          <w:p>
            <w:pPr>
              <w:spacing w:before="0" w:after="0"/>
            </w:pPr>
            <w:r>
              <w:rPr>
                <w:rFonts w:ascii="Calibri" w:hAnsi="Calibri"/>
                <w:color w:val="2D3237"/>
                <w:sz w:val="17"/>
              </w:rPr>
              <w:t>Section 1.2, Section 5.1, Section 7.2</w:t>
            </w:r>
          </w:p>
        </w:tc>
        <w:tc>
          <w:tcPr>
            <w:tcW w:type="dxa" w:w="2693"/>
            <w:shd w:fill="FFFFFF"/>
            <w:tcMar>
              <w:top w:w="95" w:type="dxa"/>
              <w:bottom w:w="95" w:type="dxa"/>
              <w:left w:w="130" w:type="dxa"/>
              <w:right w:w="130" w:type="dxa"/>
            </w:tcMar>
          </w:tcPr>
          <w:p>
            <w:pPr>
              <w:spacing w:before="0" w:after="0"/>
            </w:pPr>
            <w:r>
              <w:rPr>
                <w:rFonts w:ascii="Calibri" w:hAnsi="Calibri"/>
                <w:color w:val="2D3237"/>
                <w:sz w:val="17"/>
              </w:rPr>
              <w:t>Data sovereignty perimeters, PII anonymization, zero-retention API execution.</w:t>
            </w:r>
          </w:p>
        </w:tc>
      </w:tr>
      <w:tr>
        <w:tc>
          <w:tcPr>
            <w:tcW w:type="dxa" w:w="2304"/>
            <w:shd w:fill="F7F9FB"/>
            <w:tcMar>
              <w:top w:w="95" w:type="dxa"/>
              <w:bottom w:w="95" w:type="dxa"/>
              <w:left w:w="130" w:type="dxa"/>
              <w:right w:w="130" w:type="dxa"/>
            </w:tcMar>
          </w:tcPr>
          <w:p>
            <w:pPr>
              <w:spacing w:before="0" w:after="0"/>
            </w:pPr>
            <w:r>
              <w:rPr>
                <w:rFonts w:ascii="Calibri" w:hAnsi="Calibri"/>
                <w:color w:val="2D3237"/>
                <w:sz w:val="17"/>
              </w:rPr>
              <w:t>ISO/IEC 27001:2022 &amp; SOC 2 Type II Standards</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ISO / AICPA</w:t>
            </w:r>
          </w:p>
        </w:tc>
        <w:tc>
          <w:tcPr>
            <w:tcW w:type="dxa" w:w="2016"/>
            <w:shd w:fill="F7F9FB"/>
            <w:tcMar>
              <w:top w:w="95" w:type="dxa"/>
              <w:bottom w:w="95" w:type="dxa"/>
              <w:left w:w="130" w:type="dxa"/>
              <w:right w:w="130" w:type="dxa"/>
            </w:tcMar>
          </w:tcPr>
          <w:p>
            <w:pPr>
              <w:spacing w:before="0" w:after="0"/>
            </w:pPr>
            <w:r>
              <w:rPr>
                <w:rFonts w:ascii="Calibri" w:hAnsi="Calibri"/>
                <w:color w:val="2D3237"/>
                <w:sz w:val="17"/>
              </w:rPr>
              <w:t>Section 5.2, Section 7.2, Section 10.1</w:t>
            </w:r>
          </w:p>
        </w:tc>
        <w:tc>
          <w:tcPr>
            <w:tcW w:type="dxa" w:w="2693"/>
            <w:shd w:fill="F7F9FB"/>
            <w:tcMar>
              <w:top w:w="95" w:type="dxa"/>
              <w:bottom w:w="95" w:type="dxa"/>
              <w:left w:w="130" w:type="dxa"/>
              <w:right w:w="130" w:type="dxa"/>
            </w:tcMar>
          </w:tcPr>
          <w:p>
            <w:pPr>
              <w:spacing w:before="0" w:after="0"/>
            </w:pPr>
            <w:r>
              <w:rPr>
                <w:rFonts w:ascii="Calibri" w:hAnsi="Calibri"/>
                <w:color w:val="2D3237"/>
                <w:sz w:val="17"/>
              </w:rPr>
              <w:t>Zero Trust network architecture, cryptographic weight storage, immutable audit logging.</w:t>
            </w:r>
          </w:p>
        </w:tc>
      </w:tr>
    </w:tbl>
    <w:p>
      <w:pPr>
        <w:spacing w:before="0" w:after="80"/>
      </w:pPr>
    </w:p>
    <w:p>
      <w:pPr>
        <w:keepNext/>
        <w:spacing w:before="280" w:after="80"/>
      </w:pPr>
      <w:r>
        <w:rPr>
          <w:rFonts w:ascii="Calibri" w:hAnsi="Calibri"/>
          <w:b/>
          <w:color w:val="136F63"/>
          <w:sz w:val="24"/>
        </w:rPr>
        <w:t>12.2 Mandatory Policy Attestation &amp; Agent System Registry</w:t>
      </w:r>
    </w:p>
    <w:p>
      <w:pPr>
        <w:spacing w:before="0" w:after="120" w:line="276" w:lineRule="auto"/>
      </w:pPr>
      <w:r>
        <w:rPr>
          <w:rFonts w:ascii="Calibri" w:hAnsi="Calibri"/>
          <w:color w:val="2D3237"/>
          <w:sz w:val="20"/>
        </w:rPr>
        <w:t>Clause 12.2.1 — All newly appointed engineering staff, research personnel, system administrators, and AI application owners must execute this digital attestation within 14 calendar days of employment or credential provisioning. Failure to execute initiates automated credential suspension under Enterprise Security Directive ISD-402.</w:t>
      </w:r>
    </w:p>
    <w:tbl>
      <w:tblPr>
        <w:tblW w:type="auto" w:w="0"/>
        <w:jc w:val="center"/>
        <w:tblLayout w:type="fixed"/>
        <w:tblLook w:firstColumn="1" w:firstRow="1" w:lastColumn="0" w:lastRow="0" w:noHBand="0" w:noVBand="1" w:val="04A0"/>
      </w:tblPr>
      <w:tblGrid>
        <w:gridCol w:w="4507"/>
        <w:gridCol w:w="4522"/>
      </w:tblGrid>
      <w:tr>
        <w:tc>
          <w:tcPr>
            <w:tcW w:type="dxa" w:w="4507"/>
            <w:shd w:fill="F7F9FB"/>
            <w:tcMar>
              <w:top w:w="100" w:type="dxa"/>
              <w:bottom w:w="100" w:type="dxa"/>
              <w:left w:w="120" w:type="dxa"/>
              <w:right w:w="120" w:type="dxa"/>
            </w:tcMar>
          </w:tcPr>
          <w:p>
            <w:pPr>
              <w:spacing w:before="0" w:after="0"/>
            </w:pPr>
            <w:r>
              <w:rPr>
                <w:rFonts w:ascii="Calibri" w:hAnsi="Calibri"/>
                <w:color w:val="2D3237"/>
                <w:sz w:val="17"/>
              </w:rPr>
              <w:t>Full Legal Employee Name: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Operating Company / Subsidiary Entity:</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Enterprise ID / Global Employee UID:</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Job Title / Engineering Role:</w:t>
              <w:br/>
              <w:br/>
              <w:t>____________________________________________</w:t>
            </w:r>
          </w:p>
        </w:tc>
      </w:tr>
      <w:tr>
        <w:tc>
          <w:tcPr>
            <w:tcW w:type="dxa" w:w="4507"/>
            <w:shd w:fill="F7F9FB"/>
            <w:tcMar>
              <w:top w:w="100" w:type="dxa"/>
              <w:bottom w:w="100" w:type="dxa"/>
              <w:left w:w="120" w:type="dxa"/>
              <w:right w:w="120" w:type="dxa"/>
            </w:tcMar>
          </w:tcPr>
          <w:p>
            <w:pPr>
              <w:spacing w:before="0" w:after="0"/>
            </w:pPr>
            <w:r>
              <w:rPr>
                <w:rFonts w:ascii="Calibri" w:hAnsi="Calibri"/>
                <w:color w:val="2D3237"/>
                <w:sz w:val="17"/>
              </w:rPr>
              <w:t>Autonomous System / Agent Name (if owner):</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Machine Identity Certificate (MIC) Serial:</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Assigned Compute Cluster / Subnet ID:</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Designated Risk Classification (Tier 1-4):</w:t>
              <w:br/>
              <w:br/>
              <w:t>____________________________________________</w:t>
            </w:r>
          </w:p>
        </w:tc>
      </w:tr>
      <w:tr>
        <w:tc>
          <w:tcPr>
            <w:tcW w:type="dxa" w:w="4507"/>
            <w:shd w:fill="F7F9FB"/>
            <w:tcMar>
              <w:top w:w="100" w:type="dxa"/>
              <w:bottom w:w="100" w:type="dxa"/>
              <w:left w:w="120" w:type="dxa"/>
              <w:right w:w="120" w:type="dxa"/>
            </w:tcMar>
          </w:tcPr>
          <w:p>
            <w:pPr>
              <w:spacing w:before="0" w:after="0"/>
            </w:pPr>
            <w:r>
              <w:rPr>
                <w:rFonts w:ascii="Calibri" w:hAnsi="Calibri"/>
                <w:color w:val="2D3237"/>
                <w:sz w:val="17"/>
              </w:rPr>
              <w:t>Digital Cryptographic Signature:</w:t>
              <w:br/>
              <w:br/>
              <w:t>____________________________________________</w:t>
            </w:r>
          </w:p>
        </w:tc>
        <w:tc>
          <w:tcPr>
            <w:tcW w:type="dxa" w:w="4522"/>
            <w:shd w:fill="F7F9FB"/>
            <w:tcMar>
              <w:top w:w="100" w:type="dxa"/>
              <w:bottom w:w="100" w:type="dxa"/>
              <w:left w:w="120" w:type="dxa"/>
              <w:right w:w="120" w:type="dxa"/>
            </w:tcMar>
          </w:tcPr>
          <w:p>
            <w:pPr>
              <w:spacing w:before="0" w:after="0"/>
            </w:pPr>
            <w:r>
              <w:rPr>
                <w:rFonts w:ascii="Calibri" w:hAnsi="Calibri"/>
                <w:color w:val="2D3237"/>
                <w:sz w:val="17"/>
              </w:rPr>
              <w:t>Date of Formal Attestation (DD/MM/YYYY):</w:t>
              <w:br/>
              <w:br/>
              <w:t>____________________________________________</w:t>
            </w:r>
          </w:p>
        </w:tc>
      </w:tr>
      <w:tr>
        <w:tc>
          <w:tcPr>
            <w:tcW w:type="dxa" w:w="4507"/>
            <w:shd w:fill="FFFFFF"/>
            <w:tcMar>
              <w:top w:w="100" w:type="dxa"/>
              <w:bottom w:w="100" w:type="dxa"/>
              <w:left w:w="120" w:type="dxa"/>
              <w:right w:w="120" w:type="dxa"/>
            </w:tcMar>
          </w:tcPr>
          <w:p>
            <w:pPr>
              <w:spacing w:before="0" w:after="0"/>
            </w:pPr>
            <w:r>
              <w:rPr>
                <w:rFonts w:ascii="Calibri" w:hAnsi="Calibri"/>
                <w:color w:val="2D3237"/>
                <w:sz w:val="17"/>
              </w:rPr>
              <w:t>Authorizing Manager / CAIO Delegate Name:</w:t>
              <w:br/>
              <w:br/>
              <w:t>____________________________________________</w:t>
            </w:r>
          </w:p>
        </w:tc>
        <w:tc>
          <w:tcPr>
            <w:tcW w:type="dxa" w:w="4522"/>
            <w:shd w:fill="FFFFFF"/>
            <w:tcMar>
              <w:top w:w="100" w:type="dxa"/>
              <w:bottom w:w="100" w:type="dxa"/>
              <w:left w:w="120" w:type="dxa"/>
              <w:right w:w="120" w:type="dxa"/>
            </w:tcMar>
          </w:tcPr>
          <w:p>
            <w:pPr>
              <w:spacing w:before="0" w:after="0"/>
            </w:pPr>
            <w:r>
              <w:rPr>
                <w:rFonts w:ascii="Calibri" w:hAnsi="Calibri"/>
                <w:color w:val="2D3237"/>
                <w:sz w:val="17"/>
              </w:rPr>
              <w:t>Counter-Signature &amp; Date:</w:t>
              <w:br/>
              <w:br/>
              <w:t>____________________________________________</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CLASSIFICATION: CONFIDENTIAL (LEVEL 3)  |  TAXONOMY: [GROUP-LEVEL]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G42 GROUP POLICY  |  G42-POL-RAI-001  |  RESPONSIBLE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