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136F63"/>
          <w:sz w:val="22"/>
        </w:rPr>
        <w:t>G42 HOLDING LLC  |  GROUP DATA GOVERNANCE OFFICE</w:t>
      </w:r>
    </w:p>
    <w:p>
      <w:pPr>
        <w:spacing w:before="80" w:after="160"/>
      </w:pPr>
      <w:r>
        <w:rPr>
          <w:rFonts w:ascii="Calibri" w:hAnsi="Calibri"/>
          <w:b/>
          <w:color w:val="0B2545"/>
          <w:sz w:val="44"/>
        </w:rPr>
        <w:t>GROUP DATA CLASSIFICATION, SOVEREIGNTY &amp; CRYPTOGRAPHY POLICY</w:t>
      </w:r>
    </w:p>
    <w:p>
      <w:pPr>
        <w:spacing w:before="0" w:after="400"/>
      </w:pPr>
      <w:r>
        <w:rPr>
          <w:rFonts w:ascii="Calibri" w:hAnsi="Calibri"/>
          <w:color w:val="465A6E"/>
          <w:sz w:val="20"/>
        </w:rPr>
        <w:t>A mandatory enterprise data governance standard codifying the Group 4-Tier Data Classification Scheme (Public to Level 4 Sovereign), sovereign geographic data residency perimeters, cross-border transfer authorizations, Customer-Managed Encryption Keys (CMEK) backed by Hardware Security Modules (HSM), cryptographic data custody, automated data retention schedules, synthetic data masking, and autonomous agent (Sage Agent) memory isolation across G42 and all subsidiary operating companies.</w:t>
      </w:r>
    </w:p>
    <w:tbl>
      <w:tblPr>
        <w:tblW w:type="auto" w:w="0"/>
        <w:jc w:val="center"/>
        <w:tblLayout w:type="fixed"/>
        <w:tblLook w:firstColumn="1" w:firstRow="1" w:lastColumn="0" w:lastRow="0" w:noHBand="0" w:noVBand="1" w:val="04A0"/>
      </w:tblPr>
      <w:tblGrid>
        <w:gridCol w:w="3024"/>
        <w:gridCol w:w="6005"/>
      </w:tblGrid>
      <w:tr>
        <w:tc>
          <w:tcPr>
            <w:tcW w:type="dxa" w:w="3024"/>
            <w:shd w:fill="0B2545"/>
            <w:tcMar>
              <w:top w:w="110" w:type="dxa"/>
              <w:bottom w:w="110" w:type="dxa"/>
              <w:left w:w="120" w:type="dxa"/>
              <w:right w:w="120" w:type="dxa"/>
            </w:tcMar>
          </w:tcPr>
          <w:p>
            <w:pPr>
              <w:spacing w:before="0" w:after="0"/>
              <w:jc w:val="left"/>
            </w:pPr>
            <w:r>
              <w:rPr>
                <w:rFonts w:ascii="Calibri" w:hAnsi="Calibri"/>
                <w:b/>
                <w:color w:val="FFFFFF"/>
                <w:sz w:val="17"/>
              </w:rPr>
              <w:t>Metadata Schema Attribute</w:t>
            </w:r>
          </w:p>
        </w:tc>
        <w:tc>
          <w:tcPr>
            <w:tcW w:type="dxa" w:w="6005"/>
            <w:shd w:fill="0B2545"/>
            <w:tcMar>
              <w:top w:w="110" w:type="dxa"/>
              <w:bottom w:w="110" w:type="dxa"/>
              <w:left w:w="120" w:type="dxa"/>
              <w:right w:w="120" w:type="dxa"/>
            </w:tcMar>
          </w:tcPr>
          <w:p>
            <w:pPr>
              <w:spacing w:before="0" w:after="0"/>
              <w:jc w:val="left"/>
            </w:pPr>
            <w:r>
              <w:rPr>
                <w:rFonts w:ascii="Calibri" w:hAnsi="Calibri"/>
                <w:b/>
                <w:color w:val="FFFFFF"/>
                <w:sz w:val="17"/>
              </w:rPr>
              <w:t>Enterprise Policy Specification Value</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Document Identifier</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G42-POL-DAT-003</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Document Title</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Group Data Classification, Sovereignty &amp; Cryptography Policy</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Document Type</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Group Enterprise Policy (Mandatory Tier-1 Data Governance Standard)</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Taxonomy Classification</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GROUP-LEVEL (Universally Applicable Across Group &amp; All OpCos)</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Document Owner</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Group Chief Data Officer (CDO) / Group Data Governance Office</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Issuing Body</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G42 Group Executive Committee &amp; Board Risk Governance Council</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Approval Status</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Approved &amp; Formally Ratified</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Effective Date</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January 15, 2026</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Last Review Date</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January 10, 2026</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Next Mandatory Review</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January 15, 2027 (Annual Cycle or upon UAE Data Office Regulatory Updates)</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Target Entities / Scope</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G42 Holding LLC, Core42, Inception (IIAI), Presight AI, AIQ, Khazna, Space42 &amp; Autonomous Agents</w:t>
            </w:r>
          </w:p>
        </w:tc>
      </w:tr>
      <w:tr>
        <w:tc>
          <w:tcPr>
            <w:tcW w:type="dxa" w:w="3024"/>
            <w:shd w:fill="F7F9FB"/>
            <w:tcMar>
              <w:top w:w="85" w:type="dxa"/>
              <w:bottom w:w="85" w:type="dxa"/>
              <w:left w:w="120" w:type="dxa"/>
              <w:right w:w="120" w:type="dxa"/>
            </w:tcMar>
          </w:tcPr>
          <w:p>
            <w:pPr>
              <w:spacing w:before="0" w:after="0"/>
            </w:pPr>
            <w:r>
              <w:rPr>
                <w:rFonts w:ascii="Calibri" w:hAnsi="Calibri"/>
                <w:color w:val="2D3237"/>
                <w:sz w:val="16"/>
              </w:rPr>
              <w:t>Security Classification</w:t>
            </w:r>
          </w:p>
        </w:tc>
        <w:tc>
          <w:tcPr>
            <w:tcW w:type="dxa" w:w="6005"/>
            <w:shd w:fill="F7F9FB"/>
            <w:tcMar>
              <w:top w:w="85" w:type="dxa"/>
              <w:bottom w:w="85" w:type="dxa"/>
              <w:left w:w="120" w:type="dxa"/>
              <w:right w:w="120" w:type="dxa"/>
            </w:tcMar>
          </w:tcPr>
          <w:p>
            <w:pPr>
              <w:spacing w:before="0" w:after="0"/>
            </w:pPr>
            <w:r>
              <w:rPr>
                <w:rFonts w:ascii="Calibri" w:hAnsi="Calibri"/>
                <w:color w:val="2D3237"/>
                <w:sz w:val="16"/>
              </w:rPr>
              <w:t>CONFIDENTIAL / INTERNAL ENTERPRISE STANDARD - LEVEL 3 RESTRICTED</w:t>
            </w:r>
          </w:p>
        </w:tc>
      </w:tr>
      <w:tr>
        <w:tc>
          <w:tcPr>
            <w:tcW w:type="dxa" w:w="3024"/>
            <w:shd w:fill="FFFFFF"/>
            <w:tcMar>
              <w:top w:w="85" w:type="dxa"/>
              <w:bottom w:w="85" w:type="dxa"/>
              <w:left w:w="120" w:type="dxa"/>
              <w:right w:w="120" w:type="dxa"/>
            </w:tcMar>
          </w:tcPr>
          <w:p>
            <w:pPr>
              <w:spacing w:before="0" w:after="0"/>
            </w:pPr>
            <w:r>
              <w:rPr>
                <w:rFonts w:ascii="Calibri" w:hAnsi="Calibri"/>
                <w:color w:val="2D3237"/>
                <w:sz w:val="16"/>
              </w:rPr>
              <w:t>Version &amp; Build</w:t>
            </w:r>
          </w:p>
        </w:tc>
        <w:tc>
          <w:tcPr>
            <w:tcW w:type="dxa" w:w="6005"/>
            <w:shd w:fill="FFFFFF"/>
            <w:tcMar>
              <w:top w:w="85" w:type="dxa"/>
              <w:bottom w:w="85" w:type="dxa"/>
              <w:left w:w="120" w:type="dxa"/>
              <w:right w:w="120" w:type="dxa"/>
            </w:tcMar>
          </w:tcPr>
          <w:p>
            <w:pPr>
              <w:spacing w:before="0" w:after="0"/>
            </w:pPr>
            <w:r>
              <w:rPr>
                <w:rFonts w:ascii="Calibri" w:hAnsi="Calibri"/>
                <w:color w:val="2D3237"/>
                <w:sz w:val="16"/>
              </w:rPr>
              <w:t>Version 4.5.0 (Sovereign Data Protection Release)</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[EXECUTIVE COMPLIANCE MANDATE]</w:t>
              <w:br/>
            </w:r>
            <w:r>
              <w:rPr>
                <w:rFonts w:ascii="Calibri" w:hAnsi="Calibri"/>
                <w:color w:val="2D3237"/>
                <w:sz w:val="19"/>
              </w:rPr>
              <w:t>MANDATORY GROUP-WIDE DATA DIRECTIVE: This document establishes legally binding requirements under UAE Federal Decree-Law No. 45/2021 (Personal Data Protection Law) and G42 Data Charter Article 7. All business unit leaders, data stewards, software engineers, cloud architects, and autonomous AI agents (specifically including Sage Agent) must classify, handle, encrypt, and retain data strictly in conformance with this policy.</w:t>
            </w:r>
          </w:p>
        </w:tc>
      </w:tr>
    </w:tbl>
    <w:p>
      <w:pPr>
        <w:spacing w:before="0" w:after="80"/>
      </w:pPr>
    </w:p>
    <w:p>
      <w:r>
        <w:br w:type="page"/>
      </w:r>
    </w:p>
    <w:p>
      <w:pPr>
        <w:keepNext/>
        <w:spacing w:before="360" w:after="120"/>
      </w:pPr>
      <w:r>
        <w:rPr>
          <w:rFonts w:ascii="Calibri" w:hAnsi="Calibri"/>
          <w:b/>
          <w:color w:val="0B2545"/>
          <w:sz w:val="29"/>
        </w:rPr>
        <w:t>TABLE OF CONTENTS &amp; DOCUMENT ARCHITECTURE</w:t>
      </w:r>
    </w:p>
    <w:p>
      <w:pPr>
        <w:spacing w:before="0" w:after="100" w:line="276" w:lineRule="auto"/>
      </w:pPr>
      <w:r>
        <w:rPr>
          <w:rFonts w:ascii="Calibri" w:hAnsi="Calibri"/>
          <w:color w:val="2D3237"/>
          <w:sz w:val="19"/>
        </w:rPr>
        <w:t>This document establishes the binding data governance baselines, classification taxonomies, cryptographic key ownership structures, and cross-border transfer controls across G42. The pagination below provides a precise, 1-to-1 index mapping for automated ingestion, semantic chunking, and verifiable citation retrieval in Sage Agent.</w:t>
      </w:r>
    </w:p>
    <w:tbl>
      <w:tblPr>
        <w:tblW w:type="auto" w:w="0"/>
        <w:jc w:val="center"/>
        <w:tblLayout w:type="fixed"/>
        <w:tblLook w:firstColumn="1" w:firstRow="1" w:lastColumn="0" w:lastRow="0" w:noHBand="0" w:noVBand="1" w:val="04A0"/>
      </w:tblPr>
      <w:tblGrid>
        <w:gridCol w:w="1440"/>
        <w:gridCol w:w="3168"/>
        <w:gridCol w:w="1152"/>
        <w:gridCol w:w="3269"/>
      </w:tblGrid>
      <w:tr>
        <w:tc>
          <w:tcPr>
            <w:tcW w:type="dxa" w:w="1440"/>
            <w:shd w:fill="0B2545"/>
            <w:tcMar>
              <w:top w:w="110" w:type="dxa"/>
              <w:bottom w:w="110" w:type="dxa"/>
              <w:left w:w="120" w:type="dxa"/>
              <w:right w:w="120" w:type="dxa"/>
            </w:tcMar>
          </w:tcPr>
          <w:p>
            <w:pPr>
              <w:spacing w:before="0" w:after="0"/>
              <w:jc w:val="left"/>
            </w:pPr>
            <w:r>
              <w:rPr>
                <w:rFonts w:ascii="Calibri" w:hAnsi="Calibri"/>
                <w:b/>
                <w:color w:val="FFFFFF"/>
                <w:sz w:val="17"/>
              </w:rPr>
              <w:t>Section Ref</w:t>
            </w:r>
          </w:p>
        </w:tc>
        <w:tc>
          <w:tcPr>
            <w:tcW w:type="dxa" w:w="3168"/>
            <w:shd w:fill="0B2545"/>
            <w:tcMar>
              <w:top w:w="110" w:type="dxa"/>
              <w:bottom w:w="110" w:type="dxa"/>
              <w:left w:w="120" w:type="dxa"/>
              <w:right w:w="120" w:type="dxa"/>
            </w:tcMar>
          </w:tcPr>
          <w:p>
            <w:pPr>
              <w:spacing w:before="0" w:after="0"/>
              <w:jc w:val="left"/>
            </w:pPr>
            <w:r>
              <w:rPr>
                <w:rFonts w:ascii="Calibri" w:hAnsi="Calibri"/>
                <w:b/>
                <w:color w:val="FFFFFF"/>
                <w:sz w:val="17"/>
              </w:rPr>
              <w:t>Data Governance Domain &amp; Title</w:t>
            </w:r>
          </w:p>
        </w:tc>
        <w:tc>
          <w:tcPr>
            <w:tcW w:type="dxa" w:w="1152"/>
            <w:shd w:fill="0B2545"/>
            <w:tcMar>
              <w:top w:w="110" w:type="dxa"/>
              <w:bottom w:w="110" w:type="dxa"/>
              <w:left w:w="120" w:type="dxa"/>
              <w:right w:w="120" w:type="dxa"/>
            </w:tcMar>
          </w:tcPr>
          <w:p>
            <w:pPr>
              <w:spacing w:before="0" w:after="0"/>
              <w:jc w:val="left"/>
            </w:pPr>
            <w:r>
              <w:rPr>
                <w:rFonts w:ascii="Calibri" w:hAnsi="Calibri"/>
                <w:b/>
                <w:color w:val="FFFFFF"/>
                <w:sz w:val="17"/>
              </w:rPr>
              <w:t>Pagination</w:t>
            </w:r>
          </w:p>
        </w:tc>
        <w:tc>
          <w:tcPr>
            <w:tcW w:type="dxa" w:w="3269"/>
            <w:shd w:fill="0B2545"/>
            <w:tcMar>
              <w:top w:w="110" w:type="dxa"/>
              <w:bottom w:w="110" w:type="dxa"/>
              <w:left w:w="120" w:type="dxa"/>
              <w:right w:w="120" w:type="dxa"/>
            </w:tcMar>
          </w:tcPr>
          <w:p>
            <w:pPr>
              <w:spacing w:before="0" w:after="0"/>
              <w:jc w:val="left"/>
            </w:pPr>
            <w:r>
              <w:rPr>
                <w:rFonts w:ascii="Calibri" w:hAnsi="Calibri"/>
                <w:b/>
                <w:color w:val="FFFFFF"/>
                <w:sz w:val="17"/>
              </w:rPr>
              <w:t>Structural Scope &amp; Clause Overview</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1</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Purpose, Vision &amp; Data Governance Core Pillars</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3</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Foundational data governance vision, ethical data stewardship, and corporate data principles.</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2</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Scope, Applicability &amp; Subsidiary Governance Hierarchy</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4</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Multi-entity applicability across Core42, Presight, Inception, AIQ, Khazna, and Space42.</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3</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The 4-Tier Data Classification Standard</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5</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Comprehensive 4-tier data taxonomy: Level 1 Public to Level 4 Sovereign / Top Secret.</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4</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Data Handling, Tagging &amp; Automated DLP Schema</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6</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Mandatory metadata schema, automated DLP tagging, watermarking, and handling protocols.</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5</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Data Sovereignty &amp; Sovereign Cloud Perimeters</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7</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UAE national sovereign residency perimeters, Core42 sovereign enclaves, and physical isolation.</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6</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Cross-Border Transfer Controls &amp; Adequacy Protocols</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8</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Standard Contractual Clauses (SCCs), transfer impact assessments, and safe country approvals.</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7</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Cryptographic Architecture, CMEK &amp; HSM Custody</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9</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AES-256-GCM, TLS 1.3, Customer-Managed Keys (CMEK), and FIPS 140-3 HSM key custody.</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8</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Key Lifecycle Management &amp; Post-Quantum Readiness</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10</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90-day DEK / 365-day KEK rotation, 4-hour re-keying SLA, and NIST ML-KEM post-quantum adoption.</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9</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Autonomous Agent Data Custody &amp; Memory Isolation (Sage Agent)</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11</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Machine identity, zero cross-OpCo memory leakage, ephemeral Vault tokens, and session purges.</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10</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Data Retention, Archival &amp; Destruction Lifecycle</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12</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Mandatory statutory retention schedules (1y to 10y), WORM archival, and NIST SP 800-88 sanitization.</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11</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PII Privacy Safeguards, Anonymization &amp; Synthetic Data</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13</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Differential privacy, k-anonymity (k&gt;=5), synthetic data hygiene, and automated token redaction.</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12</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Compliance Auditing, Enforcement &amp; Disciplinary Framework</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14</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Continuous automated data discovery, 4-tier disciplinary severity matrix, and EthicsPoint hotline.</w:t>
            </w:r>
          </w:p>
        </w:tc>
      </w:tr>
      <w:tr>
        <w:tc>
          <w:tcPr>
            <w:tcW w:type="dxa" w:w="1440"/>
            <w:shd w:fill="FFFFFF"/>
            <w:tcMar>
              <w:top w:w="85" w:type="dxa"/>
              <w:bottom w:w="85" w:type="dxa"/>
              <w:left w:w="120" w:type="dxa"/>
              <w:right w:w="120" w:type="dxa"/>
            </w:tcMar>
          </w:tcPr>
          <w:p>
            <w:pPr>
              <w:spacing w:before="0" w:after="0"/>
            </w:pPr>
            <w:r>
              <w:rPr>
                <w:rFonts w:ascii="Calibri" w:hAnsi="Calibri"/>
                <w:color w:val="2D3237"/>
                <w:sz w:val="16"/>
              </w:rPr>
              <w:t>Section 13</w:t>
            </w:r>
          </w:p>
        </w:tc>
        <w:tc>
          <w:tcPr>
            <w:tcW w:type="dxa" w:w="3168"/>
            <w:shd w:fill="FFFFFF"/>
            <w:tcMar>
              <w:top w:w="85" w:type="dxa"/>
              <w:bottom w:w="85" w:type="dxa"/>
              <w:left w:w="120" w:type="dxa"/>
              <w:right w:w="120" w:type="dxa"/>
            </w:tcMar>
          </w:tcPr>
          <w:p>
            <w:pPr>
              <w:spacing w:before="0" w:after="0"/>
            </w:pPr>
            <w:r>
              <w:rPr>
                <w:rFonts w:ascii="Calibri" w:hAnsi="Calibri"/>
                <w:color w:val="2D3237"/>
                <w:sz w:val="16"/>
              </w:rPr>
              <w:t>Appendix A: Statutory &amp; International Regulatory Concordance</w:t>
            </w:r>
          </w:p>
        </w:tc>
        <w:tc>
          <w:tcPr>
            <w:tcW w:type="dxa" w:w="1152"/>
            <w:shd w:fill="FFFFFF"/>
            <w:tcMar>
              <w:top w:w="85" w:type="dxa"/>
              <w:bottom w:w="85" w:type="dxa"/>
              <w:left w:w="120" w:type="dxa"/>
              <w:right w:w="120" w:type="dxa"/>
            </w:tcMar>
          </w:tcPr>
          <w:p>
            <w:pPr>
              <w:spacing w:before="0" w:after="0"/>
            </w:pPr>
            <w:r>
              <w:rPr>
                <w:rFonts w:ascii="Calibri" w:hAnsi="Calibri"/>
                <w:color w:val="2D3237"/>
                <w:sz w:val="16"/>
              </w:rPr>
              <w:t>Page 15</w:t>
            </w:r>
          </w:p>
        </w:tc>
        <w:tc>
          <w:tcPr>
            <w:tcW w:type="dxa" w:w="3269"/>
            <w:shd w:fill="FFFFFF"/>
            <w:tcMar>
              <w:top w:w="85" w:type="dxa"/>
              <w:bottom w:w="85" w:type="dxa"/>
              <w:left w:w="120" w:type="dxa"/>
              <w:right w:w="120" w:type="dxa"/>
            </w:tcMar>
          </w:tcPr>
          <w:p>
            <w:pPr>
              <w:spacing w:before="0" w:after="0"/>
            </w:pPr>
            <w:r>
              <w:rPr>
                <w:rFonts w:ascii="Calibri" w:hAnsi="Calibri"/>
                <w:color w:val="2D3237"/>
                <w:sz w:val="16"/>
              </w:rPr>
              <w:t>Harmonization mapping to UAE Decree 45/2021, ISO 27701, GDPR, and ISO/IEC 42001.</w:t>
            </w:r>
          </w:p>
        </w:tc>
      </w:tr>
      <w:tr>
        <w:tc>
          <w:tcPr>
            <w:tcW w:type="dxa" w:w="1440"/>
            <w:shd w:fill="F7F9FB"/>
            <w:tcMar>
              <w:top w:w="85" w:type="dxa"/>
              <w:bottom w:w="85" w:type="dxa"/>
              <w:left w:w="120" w:type="dxa"/>
              <w:right w:w="120" w:type="dxa"/>
            </w:tcMar>
          </w:tcPr>
          <w:p>
            <w:pPr>
              <w:spacing w:before="0" w:after="0"/>
            </w:pPr>
            <w:r>
              <w:rPr>
                <w:rFonts w:ascii="Calibri" w:hAnsi="Calibri"/>
                <w:color w:val="2D3237"/>
                <w:sz w:val="16"/>
              </w:rPr>
              <w:t>Section 14</w:t>
            </w:r>
          </w:p>
        </w:tc>
        <w:tc>
          <w:tcPr>
            <w:tcW w:type="dxa" w:w="3168"/>
            <w:shd w:fill="F7F9FB"/>
            <w:tcMar>
              <w:top w:w="85" w:type="dxa"/>
              <w:bottom w:w="85" w:type="dxa"/>
              <w:left w:w="120" w:type="dxa"/>
              <w:right w:w="120" w:type="dxa"/>
            </w:tcMar>
          </w:tcPr>
          <w:p>
            <w:pPr>
              <w:spacing w:before="0" w:after="0"/>
            </w:pPr>
            <w:r>
              <w:rPr>
                <w:rFonts w:ascii="Calibri" w:hAnsi="Calibri"/>
                <w:color w:val="2D3237"/>
                <w:sz w:val="16"/>
              </w:rPr>
              <w:t>Appendix B: Mandatory Data Attestation Registry</w:t>
            </w:r>
          </w:p>
        </w:tc>
        <w:tc>
          <w:tcPr>
            <w:tcW w:type="dxa" w:w="1152"/>
            <w:shd w:fill="F7F9FB"/>
            <w:tcMar>
              <w:top w:w="85" w:type="dxa"/>
              <w:bottom w:w="85" w:type="dxa"/>
              <w:left w:w="120" w:type="dxa"/>
              <w:right w:w="120" w:type="dxa"/>
            </w:tcMar>
          </w:tcPr>
          <w:p>
            <w:pPr>
              <w:spacing w:before="0" w:after="0"/>
            </w:pPr>
            <w:r>
              <w:rPr>
                <w:rFonts w:ascii="Calibri" w:hAnsi="Calibri"/>
                <w:color w:val="2D3237"/>
                <w:sz w:val="16"/>
              </w:rPr>
              <w:t>Page 16</w:t>
            </w:r>
          </w:p>
        </w:tc>
        <w:tc>
          <w:tcPr>
            <w:tcW w:type="dxa" w:w="3269"/>
            <w:shd w:fill="F7F9FB"/>
            <w:tcMar>
              <w:top w:w="85" w:type="dxa"/>
              <w:bottom w:w="85" w:type="dxa"/>
              <w:left w:w="120" w:type="dxa"/>
              <w:right w:w="120" w:type="dxa"/>
            </w:tcMar>
          </w:tcPr>
          <w:p>
            <w:pPr>
              <w:spacing w:before="0" w:after="0"/>
            </w:pPr>
            <w:r>
              <w:rPr>
                <w:rFonts w:ascii="Calibri" w:hAnsi="Calibri"/>
                <w:color w:val="2D3237"/>
                <w:sz w:val="16"/>
              </w:rPr>
              <w:t>Digital execution registry for Data Stewards, Cloud Architects, and Sage Agent System Owners.</w:t>
            </w:r>
          </w:p>
        </w:tc>
      </w:tr>
    </w:tbl>
    <w:p>
      <w:pPr>
        <w:spacing w:before="0" w:after="80"/>
      </w:pPr>
    </w:p>
    <w:p>
      <w:r>
        <w:br w:type="page"/>
      </w:r>
    </w:p>
    <w:p>
      <w:pPr>
        <w:keepNext/>
        <w:spacing w:before="360" w:after="120"/>
      </w:pPr>
      <w:r>
        <w:rPr>
          <w:rFonts w:ascii="Calibri" w:hAnsi="Calibri"/>
          <w:b/>
          <w:color w:val="0B2545"/>
          <w:sz w:val="29"/>
        </w:rPr>
        <w:t>SECTION 1: PURPOSE, VISION &amp; DATA GOVERNANCE CORE PILLARS</w:t>
      </w:r>
    </w:p>
    <w:p>
      <w:pPr>
        <w:keepNext/>
        <w:spacing w:before="260" w:after="80"/>
      </w:pPr>
      <w:r>
        <w:rPr>
          <w:rFonts w:ascii="Calibri" w:hAnsi="Calibri"/>
          <w:b/>
          <w:color w:val="136F63"/>
          <w:sz w:val="23"/>
        </w:rPr>
        <w:t>1.1 Executive Statement &amp; Corporate Purpose</w:t>
      </w:r>
    </w:p>
    <w:p>
      <w:pPr>
        <w:spacing w:before="0" w:after="100" w:line="276" w:lineRule="auto"/>
      </w:pPr>
      <w:r>
        <w:rPr>
          <w:rFonts w:ascii="Calibri" w:hAnsi="Calibri"/>
          <w:color w:val="2D3237"/>
          <w:sz w:val="19"/>
        </w:rPr>
        <w:t>Clause 1.1.1 — G42 Holding LLC ('G42' or the 'Group') recognizes data as its most valuable strategic asset, foundational to frontier artificial intelligence models, national cloud infrastructures, advanced genomics, energy optimizations, and sovereign analytics. Managing data across global jurisdictions requires an institutional governance foundation that guarantees absolute confidentiality, sovereign custody, cryptographic integrity, and compliance with statutory data privacy mandates.</w:t>
      </w:r>
    </w:p>
    <w:p>
      <w:pPr>
        <w:spacing w:before="0" w:after="100" w:line="276" w:lineRule="auto"/>
      </w:pPr>
      <w:r>
        <w:rPr>
          <w:rFonts w:ascii="Calibri" w:hAnsi="Calibri"/>
          <w:color w:val="2D3237"/>
          <w:sz w:val="19"/>
        </w:rPr>
        <w:t>Clause 1.1.2 — The purpose of this Group Data Classification, Sovereignty &amp; Cryptography Policy (G42-POL-DAT-003) is to establish uniform, mandatory standards for discovering, classifying, labeling, handling, encrypting, transferring, retaining, and sanitizing enterprise data assets across all subsidiaries, business units, and autonomous agents (specifically including Sage Agent).</w:t>
      </w:r>
    </w:p>
    <w:p>
      <w:pPr>
        <w:keepNext/>
        <w:spacing w:before="260" w:after="80"/>
      </w:pPr>
      <w:r>
        <w:rPr>
          <w:rFonts w:ascii="Calibri" w:hAnsi="Calibri"/>
          <w:b/>
          <w:color w:val="136F63"/>
          <w:sz w:val="23"/>
        </w:rPr>
        <w:t>1.2 The Five Core Data Governance Pillars</w:t>
      </w:r>
    </w:p>
    <w:p>
      <w:pPr>
        <w:spacing w:before="0" w:after="100" w:line="276" w:lineRule="auto"/>
      </w:pPr>
      <w:r>
        <w:rPr>
          <w:rFonts w:ascii="Calibri" w:hAnsi="Calibri"/>
          <w:color w:val="2D3237"/>
          <w:sz w:val="19"/>
        </w:rPr>
        <w:t>Clause 1.2.1 — All engineering pipelines, data repositories, analytics architectures, and cognitive workflows must operate in strict alignment with Five Core Data Governance Pillars:</w:t>
      </w:r>
    </w:p>
    <w:p>
      <w:pPr>
        <w:pStyle w:val="ListBullet"/>
        <w:spacing w:before="0" w:after="50" w:line="276" w:lineRule="auto"/>
      </w:pPr>
      <w:r>
        <w:rPr>
          <w:rFonts w:ascii="Calibri" w:hAnsi="Calibri"/>
          <w:b/>
          <w:color w:val="2D3237"/>
          <w:sz w:val="19"/>
        </w:rPr>
        <w:t xml:space="preserve">Pillar 1: Universal Classification &amp; Granular Labeling: </w:t>
      </w:r>
      <w:r>
        <w:rPr>
          <w:rFonts w:ascii="Calibri" w:hAnsi="Calibri"/>
          <w:color w:val="2D3237"/>
          <w:sz w:val="19"/>
        </w:rPr>
        <w:t>All data assets must be discovered, classified, and tagged according to the Group 4-Tier Data Classification Standard at the point of ingestion or creation.</w:t>
      </w:r>
    </w:p>
    <w:p>
      <w:pPr>
        <w:pStyle w:val="ListBullet"/>
        <w:spacing w:before="0" w:after="50" w:line="276" w:lineRule="auto"/>
      </w:pPr>
      <w:r>
        <w:rPr>
          <w:rFonts w:ascii="Calibri" w:hAnsi="Calibri"/>
          <w:b/>
          <w:color w:val="2D3237"/>
          <w:sz w:val="19"/>
        </w:rPr>
        <w:t xml:space="preserve">Pillar 2: Uncompromising Sovereign Data Custody: </w:t>
      </w:r>
      <w:r>
        <w:rPr>
          <w:rFonts w:ascii="Calibri" w:hAnsi="Calibri"/>
          <w:color w:val="2D3237"/>
          <w:sz w:val="19"/>
        </w:rPr>
        <w:t>State-level data, critical national infrastructure telemetry, and citizen PII must remain within the physical borders of the United Arab Emirates and be hosted exclusively within verified sovereign cloud fabrics.</w:t>
      </w:r>
    </w:p>
    <w:p>
      <w:pPr>
        <w:pStyle w:val="ListBullet"/>
        <w:spacing w:before="0" w:after="50" w:line="276" w:lineRule="auto"/>
      </w:pPr>
      <w:r>
        <w:rPr>
          <w:rFonts w:ascii="Calibri" w:hAnsi="Calibri"/>
          <w:b/>
          <w:color w:val="2D3237"/>
          <w:sz w:val="19"/>
        </w:rPr>
        <w:t xml:space="preserve">Pillar 3: End-to-End Cryptographic Protection: </w:t>
      </w:r>
      <w:r>
        <w:rPr>
          <w:rFonts w:ascii="Calibri" w:hAnsi="Calibri"/>
          <w:color w:val="2D3237"/>
          <w:sz w:val="19"/>
        </w:rPr>
        <w:t>Data at rest, in transit, and in use must be protected by FIPS-validated cryptography utilizing Customer-Managed Encryption Keys (CMEK) and Hardware Security Modules (HSMs).</w:t>
      </w:r>
    </w:p>
    <w:p>
      <w:pPr>
        <w:pStyle w:val="ListBullet"/>
        <w:spacing w:before="0" w:after="50" w:line="276" w:lineRule="auto"/>
      </w:pPr>
      <w:r>
        <w:rPr>
          <w:rFonts w:ascii="Calibri" w:hAnsi="Calibri"/>
          <w:b/>
          <w:color w:val="2D3237"/>
          <w:sz w:val="19"/>
        </w:rPr>
        <w:t xml:space="preserve">Pillar 4: Privacy by Design &amp; Zero Residual Exposure: </w:t>
      </w:r>
      <w:r>
        <w:rPr>
          <w:rFonts w:ascii="Calibri" w:hAnsi="Calibri"/>
          <w:color w:val="2D3237"/>
          <w:sz w:val="19"/>
        </w:rPr>
        <w:t>Personal Data (PII) must be processed lawfully with automated anonymization, differential privacy, and zero retention of sensitive inference payloads.</w:t>
      </w:r>
    </w:p>
    <w:p>
      <w:pPr>
        <w:pStyle w:val="ListBullet"/>
        <w:spacing w:before="0" w:after="50" w:line="276" w:lineRule="auto"/>
      </w:pPr>
      <w:r>
        <w:rPr>
          <w:rFonts w:ascii="Calibri" w:hAnsi="Calibri"/>
          <w:b/>
          <w:color w:val="2D3237"/>
          <w:sz w:val="19"/>
        </w:rPr>
        <w:t xml:space="preserve">Pillar 5: Autonomous Agent Data Accountability: </w:t>
      </w:r>
      <w:r>
        <w:rPr>
          <w:rFonts w:ascii="Calibri" w:hAnsi="Calibri"/>
          <w:color w:val="2D3237"/>
          <w:sz w:val="19"/>
        </w:rPr>
        <w:t>Autonomous systems and multi-agent workflows must enforce strict cross-OpCo tenant isolation, ephemeral memory scoping, and verifiable audit logging.</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[STATUTORY OVERRIDE DIRECTIVE]</w:t>
              <w:br/>
            </w:r>
            <w:r>
              <w:rPr>
                <w:rFonts w:ascii="Calibri" w:hAnsi="Calibri"/>
                <w:color w:val="2D3237"/>
                <w:sz w:val="19"/>
              </w:rPr>
              <w:t>SOVEREIGNTY PRIMACY DIRECTIVE (CLAUSE 1.2.2): In the event of any conflict between commercial analytics expediency and national sovereign data residency mandates, sovereign data compliance shall take absolute, non-negotiable precedence.</w:t>
            </w:r>
          </w:p>
        </w:tc>
      </w:tr>
    </w:tbl>
    <w:p>
      <w:pPr>
        <w:spacing w:before="0" w:after="80"/>
      </w:pPr>
    </w:p>
    <w:p>
      <w:r>
        <w:br w:type="page"/>
      </w:r>
    </w:p>
    <w:p>
      <w:pPr>
        <w:keepNext/>
        <w:spacing w:before="360" w:after="120"/>
      </w:pPr>
      <w:r>
        <w:rPr>
          <w:rFonts w:ascii="Calibri" w:hAnsi="Calibri"/>
          <w:b/>
          <w:color w:val="0B2545"/>
          <w:sz w:val="29"/>
        </w:rPr>
        <w:t>SECTION 2: SCOPE, APPLICABILITY &amp; SUBSIDIARY GOVERNANCE HIERARCHY</w:t>
      </w:r>
    </w:p>
    <w:p>
      <w:pPr>
        <w:keepNext/>
        <w:spacing w:before="260" w:after="80"/>
      </w:pPr>
      <w:r>
        <w:rPr>
          <w:rFonts w:ascii="Calibri" w:hAnsi="Calibri"/>
          <w:b/>
          <w:color w:val="136F63"/>
          <w:sz w:val="23"/>
        </w:rPr>
        <w:t>2.1 Universal Enterprise Scope &amp; Boundaries</w:t>
      </w:r>
    </w:p>
    <w:p>
      <w:pPr>
        <w:spacing w:before="0" w:after="100" w:line="276" w:lineRule="auto"/>
      </w:pPr>
      <w:r>
        <w:rPr>
          <w:rFonts w:ascii="Calibri" w:hAnsi="Calibri"/>
          <w:color w:val="2D3237"/>
          <w:sz w:val="19"/>
        </w:rPr>
        <w:t>Clause 2.1.1 — This policy applies universally and unconditionally to all operating companies (OpCos), wholly owned subsidiaries, joint ventures, international hubs, and compute fabrics within G42. Its provisions bind all employees, contractors, researchers, cloud administrators, and synthetic agents.</w:t>
      </w:r>
    </w:p>
    <w:p>
      <w:pPr>
        <w:spacing w:before="0" w:after="100" w:line="276" w:lineRule="auto"/>
      </w:pPr>
      <w:r>
        <w:rPr>
          <w:rFonts w:ascii="Calibri" w:hAnsi="Calibri"/>
          <w:color w:val="2D3237"/>
          <w:sz w:val="19"/>
        </w:rPr>
        <w:t>Clause 2.1.2 — The technical scope encompasses all data repositories, cloud object stores (Azure Blob, AWS S3, Google Cloud Storage), transactional databases (SQL, NoSQL), high-performance vector databases (Milvus, Pinecone, Qdrant), file systems, local endpoints, and automated CI/CD pipelines.</w:t>
      </w:r>
    </w:p>
    <w:p>
      <w:pPr>
        <w:keepNext/>
        <w:spacing w:before="260" w:after="80"/>
      </w:pPr>
      <w:r>
        <w:rPr>
          <w:rFonts w:ascii="Calibri" w:hAnsi="Calibri"/>
          <w:b/>
          <w:color w:val="136F63"/>
          <w:sz w:val="23"/>
        </w:rPr>
        <w:t>2.2 Operating Company (OpCo) Domain Responsibilities</w:t>
      </w:r>
    </w:p>
    <w:p>
      <w:pPr>
        <w:spacing w:before="0" w:after="100" w:line="276" w:lineRule="auto"/>
      </w:pPr>
      <w:r>
        <w:rPr>
          <w:rFonts w:ascii="Calibri" w:hAnsi="Calibri"/>
          <w:color w:val="2D3237"/>
          <w:sz w:val="19"/>
        </w:rPr>
        <w:t>Clause 2.2.1 — Operating Companies maintain dedicated data stewardship roles responsible for enforcing this policy within their operational perimeters:</w:t>
      </w:r>
    </w:p>
    <w:p>
      <w:pPr>
        <w:pStyle w:val="ListBullet"/>
        <w:spacing w:before="0" w:after="50" w:line="276" w:lineRule="auto"/>
      </w:pPr>
      <w:r>
        <w:rPr>
          <w:rFonts w:ascii="Calibri" w:hAnsi="Calibri"/>
          <w:b/>
          <w:color w:val="2D3237"/>
          <w:sz w:val="19"/>
        </w:rPr>
        <w:t xml:space="preserve">Core42 (Sovereign Infrastructure): </w:t>
      </w:r>
      <w:r>
        <w:rPr>
          <w:rFonts w:ascii="Calibri" w:hAnsi="Calibri"/>
          <w:color w:val="2D3237"/>
          <w:sz w:val="19"/>
        </w:rPr>
        <w:t>Maintains sovereign cloud storage perimeters, CMEK key vaults, hardware security modules, and sovereign tenant isolation fabrics.</w:t>
      </w:r>
    </w:p>
    <w:p>
      <w:pPr>
        <w:pStyle w:val="ListBullet"/>
        <w:spacing w:before="0" w:after="50" w:line="276" w:lineRule="auto"/>
      </w:pPr>
      <w:r>
        <w:rPr>
          <w:rFonts w:ascii="Calibri" w:hAnsi="Calibri"/>
          <w:b/>
          <w:color w:val="2D3237"/>
          <w:sz w:val="19"/>
        </w:rPr>
        <w:t xml:space="preserve">Inception Institute of Artificial Intelligence (IIAI): </w:t>
      </w:r>
      <w:r>
        <w:rPr>
          <w:rFonts w:ascii="Calibri" w:hAnsi="Calibri"/>
          <w:color w:val="2D3237"/>
          <w:sz w:val="19"/>
        </w:rPr>
        <w:t>Governs foundational training corpora provenance, synthetic dataset hygiene, PII token scrubbing, and model weight cryptographic signing.</w:t>
      </w:r>
    </w:p>
    <w:p>
      <w:pPr>
        <w:pStyle w:val="ListBullet"/>
        <w:spacing w:before="0" w:after="50" w:line="276" w:lineRule="auto"/>
      </w:pPr>
      <w:r>
        <w:rPr>
          <w:rFonts w:ascii="Calibri" w:hAnsi="Calibri"/>
          <w:b/>
          <w:color w:val="2D3237"/>
          <w:sz w:val="19"/>
        </w:rPr>
        <w:t xml:space="preserve">Presight AI (Sovereign Analytics): </w:t>
      </w:r>
      <w:r>
        <w:rPr>
          <w:rFonts w:ascii="Calibri" w:hAnsi="Calibri"/>
          <w:color w:val="2D3237"/>
          <w:sz w:val="19"/>
        </w:rPr>
        <w:t>Governs big data analytics repositories, multi-tenant public sector data clean rooms, and smart city sensor encryption.</w:t>
      </w:r>
    </w:p>
    <w:p>
      <w:pPr>
        <w:pStyle w:val="ListBullet"/>
        <w:spacing w:before="0" w:after="50" w:line="276" w:lineRule="auto"/>
      </w:pPr>
      <w:r>
        <w:rPr>
          <w:rFonts w:ascii="Calibri" w:hAnsi="Calibri"/>
          <w:b/>
          <w:color w:val="2D3237"/>
          <w:sz w:val="19"/>
        </w:rPr>
        <w:t xml:space="preserve">AIQ (Energy &amp; Industrial AI): </w:t>
      </w:r>
      <w:r>
        <w:rPr>
          <w:rFonts w:ascii="Calibri" w:hAnsi="Calibri"/>
          <w:color w:val="2D3237"/>
          <w:sz w:val="19"/>
        </w:rPr>
        <w:t>Governs energy-sector industrial SCADA telemetry, subsurface geological models, and industrial IoT sensor data custody.</w:t>
      </w:r>
    </w:p>
    <w:p>
      <w:pPr>
        <w:pStyle w:val="ListBullet"/>
        <w:spacing w:before="0" w:after="50" w:line="276" w:lineRule="auto"/>
      </w:pPr>
      <w:r>
        <w:rPr>
          <w:rFonts w:ascii="Calibri" w:hAnsi="Calibri"/>
          <w:b/>
          <w:color w:val="2D3237"/>
          <w:sz w:val="19"/>
        </w:rPr>
        <w:t xml:space="preserve">Khazna Data Centers (Hyperscale Facilities): </w:t>
      </w:r>
      <w:r>
        <w:rPr>
          <w:rFonts w:ascii="Calibri" w:hAnsi="Calibri"/>
          <w:color w:val="2D3237"/>
          <w:sz w:val="19"/>
        </w:rPr>
        <w:t>Governs physical data center facility security, physical media destruction, and HSM hardware appliances.</w:t>
      </w:r>
    </w:p>
    <w:p>
      <w:pPr>
        <w:pStyle w:val="ListBullet"/>
        <w:spacing w:before="0" w:after="50" w:line="276" w:lineRule="auto"/>
      </w:pPr>
      <w:r>
        <w:rPr>
          <w:rFonts w:ascii="Calibri" w:hAnsi="Calibri"/>
          <w:b/>
          <w:color w:val="2D3237"/>
          <w:sz w:val="19"/>
        </w:rPr>
        <w:t xml:space="preserve">Space42 (Geospatial &amp; Space AI): </w:t>
      </w:r>
      <w:r>
        <w:rPr>
          <w:rFonts w:ascii="Calibri" w:hAnsi="Calibri"/>
          <w:color w:val="2D3237"/>
          <w:sz w:val="19"/>
        </w:rPr>
        <w:t>Governs Earth observation satellite telemetry, orbital imagery repositories, and geospatial data custody.</w:t>
      </w:r>
    </w:p>
    <w:p>
      <w:pPr>
        <w:keepNext/>
        <w:spacing w:before="180" w:after="40"/>
      </w:pPr>
      <w:r>
        <w:rPr>
          <w:rFonts w:ascii="Calibri" w:hAnsi="Calibri"/>
          <w:b/>
          <w:color w:val="0B2545"/>
          <w:sz w:val="20"/>
        </w:rPr>
        <w:t>2.3 Data Governance Organization &amp; Roles</w:t>
      </w:r>
    </w:p>
    <w:p>
      <w:pPr>
        <w:spacing w:before="0" w:after="100" w:line="276" w:lineRule="auto"/>
      </w:pPr>
      <w:r>
        <w:rPr>
          <w:rFonts w:ascii="Calibri" w:hAnsi="Calibri"/>
          <w:color w:val="2D3237"/>
          <w:sz w:val="19"/>
        </w:rPr>
        <w:t>Clause 2.3.1 — The Group Data Governance hierarchy enforces separation of duties and operational accountability:</w:t>
      </w:r>
    </w:p>
    <w:tbl>
      <w:tblPr>
        <w:tblW w:type="auto" w:w="0"/>
        <w:jc w:val="center"/>
        <w:tblLayout w:type="fixed"/>
        <w:tblLook w:firstColumn="1" w:firstRow="1" w:lastColumn="0" w:lastRow="0" w:noHBand="0" w:noVBand="1" w:val="04A0"/>
      </w:tblPr>
      <w:tblGrid>
        <w:gridCol w:w="2592"/>
        <w:gridCol w:w="4608"/>
        <w:gridCol w:w="1829"/>
      </w:tblGrid>
      <w:tr>
        <w:tc>
          <w:tcPr>
            <w:tcW w:type="dxa" w:w="2592"/>
            <w:shd w:fill="0B2545"/>
            <w:tcMar>
              <w:top w:w="110" w:type="dxa"/>
              <w:bottom w:w="110" w:type="dxa"/>
              <w:left w:w="120" w:type="dxa"/>
              <w:right w:w="120" w:type="dxa"/>
            </w:tcMar>
          </w:tcPr>
          <w:p>
            <w:pPr>
              <w:spacing w:before="0" w:after="0"/>
              <w:jc w:val="left"/>
            </w:pPr>
            <w:r>
              <w:rPr>
                <w:rFonts w:ascii="Calibri" w:hAnsi="Calibri"/>
                <w:b/>
                <w:color w:val="FFFFFF"/>
                <w:sz w:val="17"/>
              </w:rPr>
              <w:t>Governance Role</w:t>
            </w:r>
          </w:p>
        </w:tc>
        <w:tc>
          <w:tcPr>
            <w:tcW w:type="dxa" w:w="4608"/>
            <w:shd w:fill="0B2545"/>
            <w:tcMar>
              <w:top w:w="110" w:type="dxa"/>
              <w:bottom w:w="110" w:type="dxa"/>
              <w:left w:w="120" w:type="dxa"/>
              <w:right w:w="120" w:type="dxa"/>
            </w:tcMar>
          </w:tcPr>
          <w:p>
            <w:pPr>
              <w:spacing w:before="0" w:after="0"/>
              <w:jc w:val="left"/>
            </w:pPr>
            <w:r>
              <w:rPr>
                <w:rFonts w:ascii="Calibri" w:hAnsi="Calibri"/>
                <w:b/>
                <w:color w:val="FFFFFF"/>
                <w:sz w:val="17"/>
              </w:rPr>
              <w:t>Core Responsibilities</w:t>
            </w:r>
          </w:p>
        </w:tc>
        <w:tc>
          <w:tcPr>
            <w:tcW w:type="dxa" w:w="1829"/>
            <w:shd w:fill="0B2545"/>
            <w:tcMar>
              <w:top w:w="110" w:type="dxa"/>
              <w:bottom w:w="110" w:type="dxa"/>
              <w:left w:w="120" w:type="dxa"/>
              <w:right w:w="120" w:type="dxa"/>
            </w:tcMar>
          </w:tcPr>
          <w:p>
            <w:pPr>
              <w:spacing w:before="0" w:after="0"/>
              <w:jc w:val="left"/>
            </w:pPr>
            <w:r>
              <w:rPr>
                <w:rFonts w:ascii="Calibri" w:hAnsi="Calibri"/>
                <w:b/>
                <w:color w:val="FFFFFF"/>
                <w:sz w:val="17"/>
              </w:rPr>
              <w:t>Escalation Hierarchy</w:t>
            </w:r>
          </w:p>
        </w:tc>
      </w:tr>
      <w:tr>
        <w:tc>
          <w:tcPr>
            <w:tcW w:type="dxa" w:w="2592"/>
            <w:shd w:fill="FFFFFF"/>
            <w:tcMar>
              <w:top w:w="85" w:type="dxa"/>
              <w:bottom w:w="85" w:type="dxa"/>
              <w:left w:w="120" w:type="dxa"/>
              <w:right w:w="120" w:type="dxa"/>
            </w:tcMar>
          </w:tcPr>
          <w:p>
            <w:pPr>
              <w:spacing w:before="0" w:after="0"/>
            </w:pPr>
            <w:r>
              <w:rPr>
                <w:rFonts w:ascii="Calibri" w:hAnsi="Calibri"/>
                <w:color w:val="2D3237"/>
                <w:sz w:val="16"/>
              </w:rPr>
              <w:t>Governance Role</w:t>
            </w:r>
          </w:p>
        </w:tc>
        <w:tc>
          <w:tcPr>
            <w:tcW w:type="dxa" w:w="4608"/>
            <w:shd w:fill="FFFFFF"/>
            <w:tcMar>
              <w:top w:w="85" w:type="dxa"/>
              <w:bottom w:w="85" w:type="dxa"/>
              <w:left w:w="120" w:type="dxa"/>
              <w:right w:w="120" w:type="dxa"/>
            </w:tcMar>
          </w:tcPr>
          <w:p>
            <w:pPr>
              <w:spacing w:before="0" w:after="0"/>
            </w:pPr>
            <w:r>
              <w:rPr>
                <w:rFonts w:ascii="Calibri" w:hAnsi="Calibri"/>
                <w:color w:val="2D3237"/>
                <w:sz w:val="16"/>
              </w:rPr>
              <w:t>Primary Responsibilities</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Escalation Path</w:t>
            </w:r>
          </w:p>
        </w:tc>
      </w:tr>
      <w:tr>
        <w:tc>
          <w:tcPr>
            <w:tcW w:type="dxa" w:w="2592"/>
            <w:shd w:fill="F7F9FB"/>
            <w:tcMar>
              <w:top w:w="85" w:type="dxa"/>
              <w:bottom w:w="85" w:type="dxa"/>
              <w:left w:w="120" w:type="dxa"/>
              <w:right w:w="120" w:type="dxa"/>
            </w:tcMar>
          </w:tcPr>
          <w:p>
            <w:pPr>
              <w:spacing w:before="0" w:after="0"/>
            </w:pPr>
            <w:r>
              <w:rPr>
                <w:rFonts w:ascii="Calibri" w:hAnsi="Calibri"/>
                <w:color w:val="2D3237"/>
                <w:sz w:val="16"/>
              </w:rPr>
              <w:t>Group Chief Data Officer (CDO)</w:t>
            </w:r>
          </w:p>
        </w:tc>
        <w:tc>
          <w:tcPr>
            <w:tcW w:type="dxa" w:w="4608"/>
            <w:shd w:fill="F7F9FB"/>
            <w:tcMar>
              <w:top w:w="85" w:type="dxa"/>
              <w:bottom w:w="85" w:type="dxa"/>
              <w:left w:w="120" w:type="dxa"/>
              <w:right w:w="120" w:type="dxa"/>
            </w:tcMar>
          </w:tcPr>
          <w:p>
            <w:pPr>
              <w:spacing w:before="0" w:after="0"/>
            </w:pPr>
            <w:r>
              <w:rPr>
                <w:rFonts w:ascii="Calibri" w:hAnsi="Calibri"/>
                <w:color w:val="2D3237"/>
                <w:sz w:val="16"/>
              </w:rPr>
              <w:t>Universal data strategy, classification taxonomy maintenance, sovereign compliance.</w:t>
            </w:r>
          </w:p>
        </w:tc>
        <w:tc>
          <w:tcPr>
            <w:tcW w:type="dxa" w:w="1829"/>
            <w:shd w:fill="F7F9FB"/>
            <w:tcMar>
              <w:top w:w="85" w:type="dxa"/>
              <w:bottom w:w="85" w:type="dxa"/>
              <w:left w:w="120" w:type="dxa"/>
              <w:right w:w="120" w:type="dxa"/>
            </w:tcMar>
          </w:tcPr>
          <w:p>
            <w:pPr>
              <w:spacing w:before="0" w:after="0"/>
            </w:pPr>
            <w:r>
              <w:rPr>
                <w:rFonts w:ascii="Calibri" w:hAnsi="Calibri"/>
                <w:color w:val="2D3237"/>
                <w:sz w:val="16"/>
              </w:rPr>
              <w:t>Group Executive Committee</w:t>
            </w:r>
          </w:p>
        </w:tc>
      </w:tr>
      <w:tr>
        <w:tc>
          <w:tcPr>
            <w:tcW w:type="dxa" w:w="2592"/>
            <w:shd w:fill="FFFFFF"/>
            <w:tcMar>
              <w:top w:w="85" w:type="dxa"/>
              <w:bottom w:w="85" w:type="dxa"/>
              <w:left w:w="120" w:type="dxa"/>
              <w:right w:w="120" w:type="dxa"/>
            </w:tcMar>
          </w:tcPr>
          <w:p>
            <w:pPr>
              <w:spacing w:before="0" w:after="0"/>
            </w:pPr>
            <w:r>
              <w:rPr>
                <w:rFonts w:ascii="Calibri" w:hAnsi="Calibri"/>
                <w:color w:val="2D3237"/>
                <w:sz w:val="16"/>
              </w:rPr>
              <w:t>Data Stewards (Per OpCo)</w:t>
            </w:r>
          </w:p>
        </w:tc>
        <w:tc>
          <w:tcPr>
            <w:tcW w:type="dxa" w:w="4608"/>
            <w:shd w:fill="FFFFFF"/>
            <w:tcMar>
              <w:top w:w="85" w:type="dxa"/>
              <w:bottom w:w="85" w:type="dxa"/>
              <w:left w:w="120" w:type="dxa"/>
              <w:right w:w="120" w:type="dxa"/>
            </w:tcMar>
          </w:tcPr>
          <w:p>
            <w:pPr>
              <w:spacing w:before="0" w:after="0"/>
            </w:pPr>
            <w:r>
              <w:rPr>
                <w:rFonts w:ascii="Calibri" w:hAnsi="Calibri"/>
                <w:color w:val="2D3237"/>
                <w:sz w:val="16"/>
              </w:rPr>
              <w:t>Operational classification tagging, data access reviews, retention schedule enforcement.</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OpCo Head of Technology &amp; Group CDO</w:t>
            </w:r>
          </w:p>
        </w:tc>
      </w:tr>
      <w:tr>
        <w:tc>
          <w:tcPr>
            <w:tcW w:type="dxa" w:w="2592"/>
            <w:shd w:fill="F7F9FB"/>
            <w:tcMar>
              <w:top w:w="85" w:type="dxa"/>
              <w:bottom w:w="85" w:type="dxa"/>
              <w:left w:w="120" w:type="dxa"/>
              <w:right w:w="120" w:type="dxa"/>
            </w:tcMar>
          </w:tcPr>
          <w:p>
            <w:pPr>
              <w:spacing w:before="0" w:after="0"/>
            </w:pPr>
            <w:r>
              <w:rPr>
                <w:rFonts w:ascii="Calibri" w:hAnsi="Calibri"/>
                <w:color w:val="2D3237"/>
                <w:sz w:val="16"/>
              </w:rPr>
              <w:t>Cloud Cryptography Leads</w:t>
            </w:r>
          </w:p>
        </w:tc>
        <w:tc>
          <w:tcPr>
            <w:tcW w:type="dxa" w:w="4608"/>
            <w:shd w:fill="F7F9FB"/>
            <w:tcMar>
              <w:top w:w="85" w:type="dxa"/>
              <w:bottom w:w="85" w:type="dxa"/>
              <w:left w:w="120" w:type="dxa"/>
              <w:right w:w="120" w:type="dxa"/>
            </w:tcMar>
          </w:tcPr>
          <w:p>
            <w:pPr>
              <w:spacing w:before="0" w:after="0"/>
            </w:pPr>
            <w:r>
              <w:rPr>
                <w:rFonts w:ascii="Calibri" w:hAnsi="Calibri"/>
                <w:color w:val="2D3237"/>
                <w:sz w:val="16"/>
              </w:rPr>
              <w:t>CMEK key management, HSM custody, TLS/mTLS certificate lifecycle operations.</w:t>
            </w:r>
          </w:p>
        </w:tc>
        <w:tc>
          <w:tcPr>
            <w:tcW w:type="dxa" w:w="1829"/>
            <w:shd w:fill="F7F9FB"/>
            <w:tcMar>
              <w:top w:w="85" w:type="dxa"/>
              <w:bottom w:w="85" w:type="dxa"/>
              <w:left w:w="120" w:type="dxa"/>
              <w:right w:w="120" w:type="dxa"/>
            </w:tcMar>
          </w:tcPr>
          <w:p>
            <w:pPr>
              <w:spacing w:before="0" w:after="0"/>
            </w:pPr>
            <w:r>
              <w:rPr>
                <w:rFonts w:ascii="Calibri" w:hAnsi="Calibri"/>
                <w:color w:val="2D3237"/>
                <w:sz w:val="16"/>
              </w:rPr>
              <w:t>Group CISO &amp; Group CDO</w:t>
            </w:r>
          </w:p>
        </w:tc>
      </w:tr>
      <w:tr>
        <w:tc>
          <w:tcPr>
            <w:tcW w:type="dxa" w:w="2592"/>
            <w:shd w:fill="FFFFFF"/>
            <w:tcMar>
              <w:top w:w="85" w:type="dxa"/>
              <w:bottom w:w="85" w:type="dxa"/>
              <w:left w:w="120" w:type="dxa"/>
              <w:right w:w="120" w:type="dxa"/>
            </w:tcMar>
          </w:tcPr>
          <w:p>
            <w:pPr>
              <w:spacing w:before="0" w:after="0"/>
            </w:pPr>
            <w:r>
              <w:rPr>
                <w:rFonts w:ascii="Calibri" w:hAnsi="Calibri"/>
                <w:color w:val="2D3237"/>
                <w:sz w:val="16"/>
              </w:rPr>
              <w:t>Data Privacy Officers (DPO)</w:t>
            </w:r>
          </w:p>
        </w:tc>
        <w:tc>
          <w:tcPr>
            <w:tcW w:type="dxa" w:w="4608"/>
            <w:shd w:fill="FFFFFF"/>
            <w:tcMar>
              <w:top w:w="85" w:type="dxa"/>
              <w:bottom w:w="85" w:type="dxa"/>
              <w:left w:w="120" w:type="dxa"/>
              <w:right w:w="120" w:type="dxa"/>
            </w:tcMar>
          </w:tcPr>
          <w:p>
            <w:pPr>
              <w:spacing w:before="0" w:after="0"/>
            </w:pPr>
            <w:r>
              <w:rPr>
                <w:rFonts w:ascii="Calibri" w:hAnsi="Calibri"/>
                <w:color w:val="2D3237"/>
                <w:sz w:val="16"/>
              </w:rPr>
              <w:t>PII compliance, Data Protection Impact Assessments (DPIAs), breach reporting.</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Group General Counsel &amp; UAE Data Office</w:t>
            </w:r>
          </w:p>
        </w:tc>
      </w:tr>
    </w:tbl>
    <w:p>
      <w:pPr>
        <w:spacing w:before="0" w:after="80"/>
      </w:pPr>
    </w:p>
    <w:p>
      <w:r>
        <w:br w:type="page"/>
      </w:r>
    </w:p>
    <w:p>
      <w:pPr>
        <w:keepNext/>
        <w:spacing w:before="360" w:after="120"/>
      </w:pPr>
      <w:r>
        <w:rPr>
          <w:rFonts w:ascii="Calibri" w:hAnsi="Calibri"/>
          <w:b/>
          <w:color w:val="0B2545"/>
          <w:sz w:val="29"/>
        </w:rPr>
        <w:t>SECTION 3: THE 4-TIER DATA CLASSIFICATION STANDARD</w:t>
      </w:r>
    </w:p>
    <w:p>
      <w:pPr>
        <w:keepNext/>
        <w:spacing w:before="260" w:after="80"/>
      </w:pPr>
      <w:r>
        <w:rPr>
          <w:rFonts w:ascii="Calibri" w:hAnsi="Calibri"/>
          <w:b/>
          <w:color w:val="136F63"/>
          <w:sz w:val="23"/>
        </w:rPr>
        <w:t>3.1 Classification Methodology &amp; Taxonomy</w:t>
      </w:r>
    </w:p>
    <w:p>
      <w:pPr>
        <w:spacing w:before="0" w:after="100" w:line="276" w:lineRule="auto"/>
      </w:pPr>
      <w:r>
        <w:rPr>
          <w:rFonts w:ascii="Calibri" w:hAnsi="Calibri"/>
          <w:color w:val="2D3237"/>
          <w:sz w:val="19"/>
        </w:rPr>
        <w:t>Clause 3.1.1 — All information assets created, received, stored, processed, or transmitted across G42 infrastructure must be classified into exactly one of four distinct classification tiers. Classification determines the minimum security controls, cryptographic protections, access entitlements, and sovereign residency boundaries required for the asset.</w:t>
      </w:r>
    </w:p>
    <w:p>
      <w:pPr>
        <w:keepNext/>
        <w:spacing w:before="260" w:after="80"/>
      </w:pPr>
      <w:r>
        <w:rPr>
          <w:rFonts w:ascii="Calibri" w:hAnsi="Calibri"/>
          <w:b/>
          <w:color w:val="136F63"/>
          <w:sz w:val="23"/>
        </w:rPr>
        <w:t>3.2 The 4-Tier Enterprise Data Classification Framework</w:t>
      </w:r>
    </w:p>
    <w:p>
      <w:pPr>
        <w:spacing w:before="0" w:after="100" w:line="276" w:lineRule="auto"/>
      </w:pPr>
      <w:r>
        <w:rPr>
          <w:rFonts w:ascii="Calibri" w:hAnsi="Calibri"/>
          <w:color w:val="2D3237"/>
          <w:sz w:val="19"/>
        </w:rPr>
        <w:t>Clause 3.2.1 — The Group Data Classification Taxonomy establishes four standardized tiers:</w:t>
      </w:r>
    </w:p>
    <w:tbl>
      <w:tblPr>
        <w:tblW w:type="auto" w:w="0"/>
        <w:jc w:val="center"/>
        <w:tblLayout w:type="fixed"/>
        <w:tblLook w:firstColumn="1" w:firstRow="1" w:lastColumn="0" w:lastRow="0" w:noHBand="0" w:noVBand="1" w:val="04A0"/>
      </w:tblPr>
      <w:tblGrid>
        <w:gridCol w:w="1872"/>
        <w:gridCol w:w="2448"/>
        <w:gridCol w:w="2304"/>
        <w:gridCol w:w="2405"/>
      </w:tblGrid>
      <w:tr>
        <w:tc>
          <w:tcPr>
            <w:tcW w:type="dxa" w:w="1872"/>
            <w:shd w:fill="0B2545"/>
            <w:tcMar>
              <w:top w:w="110" w:type="dxa"/>
              <w:bottom w:w="110" w:type="dxa"/>
              <w:left w:w="120" w:type="dxa"/>
              <w:right w:w="120" w:type="dxa"/>
            </w:tcMar>
          </w:tcPr>
          <w:p>
            <w:pPr>
              <w:spacing w:before="0" w:after="0"/>
              <w:jc w:val="left"/>
            </w:pPr>
            <w:r>
              <w:rPr>
                <w:rFonts w:ascii="Calibri" w:hAnsi="Calibri"/>
                <w:b/>
                <w:color w:val="FFFFFF"/>
                <w:sz w:val="17"/>
              </w:rPr>
              <w:t>Classification Tier</w:t>
            </w:r>
          </w:p>
        </w:tc>
        <w:tc>
          <w:tcPr>
            <w:tcW w:type="dxa" w:w="2448"/>
            <w:shd w:fill="0B2545"/>
            <w:tcMar>
              <w:top w:w="110" w:type="dxa"/>
              <w:bottom w:w="110" w:type="dxa"/>
              <w:left w:w="120" w:type="dxa"/>
              <w:right w:w="120" w:type="dxa"/>
            </w:tcMar>
          </w:tcPr>
          <w:p>
            <w:pPr>
              <w:spacing w:before="0" w:after="0"/>
              <w:jc w:val="left"/>
            </w:pPr>
            <w:r>
              <w:rPr>
                <w:rFonts w:ascii="Calibri" w:hAnsi="Calibri"/>
                <w:b/>
                <w:color w:val="FFFFFF"/>
                <w:sz w:val="17"/>
              </w:rPr>
              <w:t>Sensitivity Definition</w:t>
            </w:r>
          </w:p>
        </w:tc>
        <w:tc>
          <w:tcPr>
            <w:tcW w:type="dxa" w:w="2304"/>
            <w:shd w:fill="0B2545"/>
            <w:tcMar>
              <w:top w:w="110" w:type="dxa"/>
              <w:bottom w:w="110" w:type="dxa"/>
              <w:left w:w="120" w:type="dxa"/>
              <w:right w:w="120" w:type="dxa"/>
            </w:tcMar>
          </w:tcPr>
          <w:p>
            <w:pPr>
              <w:spacing w:before="0" w:after="0"/>
              <w:jc w:val="left"/>
            </w:pPr>
            <w:r>
              <w:rPr>
                <w:rFonts w:ascii="Calibri" w:hAnsi="Calibri"/>
                <w:b/>
                <w:color w:val="FFFFFF"/>
                <w:sz w:val="17"/>
              </w:rPr>
              <w:t>Example Datasets</w:t>
            </w:r>
          </w:p>
        </w:tc>
        <w:tc>
          <w:tcPr>
            <w:tcW w:type="dxa" w:w="2405"/>
            <w:shd w:fill="0B2545"/>
            <w:tcMar>
              <w:top w:w="110" w:type="dxa"/>
              <w:bottom w:w="110" w:type="dxa"/>
              <w:left w:w="120" w:type="dxa"/>
              <w:right w:w="120" w:type="dxa"/>
            </w:tcMar>
          </w:tcPr>
          <w:p>
            <w:pPr>
              <w:spacing w:before="0" w:after="0"/>
              <w:jc w:val="left"/>
            </w:pPr>
            <w:r>
              <w:rPr>
                <w:rFonts w:ascii="Calibri" w:hAnsi="Calibri"/>
                <w:b/>
                <w:color w:val="FFFFFF"/>
                <w:sz w:val="17"/>
              </w:rPr>
              <w:t>Mandatory Security Baseline</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Classification Level</w:t>
            </w:r>
          </w:p>
        </w:tc>
        <w:tc>
          <w:tcPr>
            <w:tcW w:type="dxa" w:w="2448"/>
            <w:shd w:fill="FFFFFF"/>
            <w:tcMar>
              <w:top w:w="85" w:type="dxa"/>
              <w:bottom w:w="85" w:type="dxa"/>
              <w:left w:w="120" w:type="dxa"/>
              <w:right w:w="120" w:type="dxa"/>
            </w:tcMar>
          </w:tcPr>
          <w:p>
            <w:pPr>
              <w:spacing w:before="0" w:after="0"/>
            </w:pPr>
            <w:r>
              <w:rPr>
                <w:rFonts w:ascii="Calibri" w:hAnsi="Calibri"/>
                <w:color w:val="2D3237"/>
                <w:sz w:val="16"/>
              </w:rPr>
              <w:t>Definition &amp; Sensitivity Profile</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Representative Data Examples</w:t>
            </w:r>
          </w:p>
        </w:tc>
        <w:tc>
          <w:tcPr>
            <w:tcW w:type="dxa" w:w="2405"/>
            <w:shd w:fill="FFFFFF"/>
            <w:tcMar>
              <w:top w:w="85" w:type="dxa"/>
              <w:bottom w:w="85" w:type="dxa"/>
              <w:left w:w="120" w:type="dxa"/>
              <w:right w:w="120" w:type="dxa"/>
            </w:tcMar>
          </w:tcPr>
          <w:p>
            <w:pPr>
              <w:spacing w:before="0" w:after="0"/>
            </w:pPr>
            <w:r>
              <w:rPr>
                <w:rFonts w:ascii="Calibri" w:hAnsi="Calibri"/>
                <w:color w:val="2D3237"/>
                <w:sz w:val="16"/>
              </w:rPr>
              <w:t>Mandatory Security Controls</w:t>
            </w:r>
          </w:p>
        </w:tc>
      </w:tr>
      <w:tr>
        <w:tc>
          <w:tcPr>
            <w:tcW w:type="dxa" w:w="1872"/>
            <w:shd w:fill="F7F9FB"/>
            <w:tcMar>
              <w:top w:w="85" w:type="dxa"/>
              <w:bottom w:w="85" w:type="dxa"/>
              <w:left w:w="120" w:type="dxa"/>
              <w:right w:w="120" w:type="dxa"/>
            </w:tcMar>
          </w:tcPr>
          <w:p>
            <w:pPr>
              <w:spacing w:before="0" w:after="0"/>
            </w:pPr>
            <w:r>
              <w:rPr>
                <w:rFonts w:ascii="Calibri" w:hAnsi="Calibri"/>
                <w:color w:val="2D3237"/>
                <w:sz w:val="16"/>
              </w:rPr>
              <w:t>Level 1: Public</w:t>
            </w:r>
          </w:p>
        </w:tc>
        <w:tc>
          <w:tcPr>
            <w:tcW w:type="dxa" w:w="2448"/>
            <w:shd w:fill="F7F9FB"/>
            <w:tcMar>
              <w:top w:w="85" w:type="dxa"/>
              <w:bottom w:w="85" w:type="dxa"/>
              <w:left w:w="120" w:type="dxa"/>
              <w:right w:w="120" w:type="dxa"/>
            </w:tcMar>
          </w:tcPr>
          <w:p>
            <w:pPr>
              <w:spacing w:before="0" w:after="0"/>
            </w:pPr>
            <w:r>
              <w:rPr>
                <w:rFonts w:ascii="Calibri" w:hAnsi="Calibri"/>
                <w:color w:val="2D3237"/>
                <w:sz w:val="16"/>
              </w:rPr>
              <w:t>Information approved for unrestricted public distribution; disclosure causes zero commercial or reputational harm.</w:t>
            </w:r>
          </w:p>
        </w:tc>
        <w:tc>
          <w:tcPr>
            <w:tcW w:type="dxa" w:w="2304"/>
            <w:shd w:fill="F7F9FB"/>
            <w:tcMar>
              <w:top w:w="85" w:type="dxa"/>
              <w:bottom w:w="85" w:type="dxa"/>
              <w:left w:w="120" w:type="dxa"/>
              <w:right w:w="120" w:type="dxa"/>
            </w:tcMar>
          </w:tcPr>
          <w:p>
            <w:pPr>
              <w:spacing w:before="0" w:after="0"/>
            </w:pPr>
            <w:r>
              <w:rPr>
                <w:rFonts w:ascii="Calibri" w:hAnsi="Calibri"/>
                <w:color w:val="2D3237"/>
                <w:sz w:val="16"/>
              </w:rPr>
              <w:t>Marketing brochures, published research papers, press releases, public job descriptions.</w:t>
            </w:r>
          </w:p>
        </w:tc>
        <w:tc>
          <w:tcPr>
            <w:tcW w:type="dxa" w:w="2405"/>
            <w:shd w:fill="F7F9FB"/>
            <w:tcMar>
              <w:top w:w="85" w:type="dxa"/>
              <w:bottom w:w="85" w:type="dxa"/>
              <w:left w:w="120" w:type="dxa"/>
              <w:right w:w="120" w:type="dxa"/>
            </w:tcMar>
          </w:tcPr>
          <w:p>
            <w:pPr>
              <w:spacing w:before="0" w:after="0"/>
            </w:pPr>
            <w:r>
              <w:rPr>
                <w:rFonts w:ascii="Calibri" w:hAnsi="Calibri"/>
                <w:color w:val="2D3237"/>
                <w:sz w:val="16"/>
              </w:rPr>
              <w:t>Standard TLS 1.2+ in transit; public cloud hosting permitted; no encryption at rest mandatory.</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Level 2: Internal Business</w:t>
            </w:r>
          </w:p>
        </w:tc>
        <w:tc>
          <w:tcPr>
            <w:tcW w:type="dxa" w:w="2448"/>
            <w:shd w:fill="FFFFFF"/>
            <w:tcMar>
              <w:top w:w="85" w:type="dxa"/>
              <w:bottom w:w="85" w:type="dxa"/>
              <w:left w:w="120" w:type="dxa"/>
              <w:right w:w="120" w:type="dxa"/>
            </w:tcMar>
          </w:tcPr>
          <w:p>
            <w:pPr>
              <w:spacing w:before="0" w:after="0"/>
            </w:pPr>
            <w:r>
              <w:rPr>
                <w:rFonts w:ascii="Calibri" w:hAnsi="Calibri"/>
                <w:color w:val="2D3237"/>
                <w:sz w:val="16"/>
              </w:rPr>
              <w:t>Information intended for general internal use by G42 personnel; unauthorized disclosure causes minor disruption.</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Internal wikis, sprint roadmaps, routine business emails, internal org charts, policy drafts.</w:t>
            </w:r>
          </w:p>
        </w:tc>
        <w:tc>
          <w:tcPr>
            <w:tcW w:type="dxa" w:w="2405"/>
            <w:shd w:fill="FFFFFF"/>
            <w:tcMar>
              <w:top w:w="85" w:type="dxa"/>
              <w:bottom w:w="85" w:type="dxa"/>
              <w:left w:w="120" w:type="dxa"/>
              <w:right w:w="120" w:type="dxa"/>
            </w:tcMar>
          </w:tcPr>
          <w:p>
            <w:pPr>
              <w:spacing w:before="0" w:after="0"/>
            </w:pPr>
            <w:r>
              <w:rPr>
                <w:rFonts w:ascii="Calibri" w:hAnsi="Calibri"/>
                <w:color w:val="2D3237"/>
                <w:sz w:val="16"/>
              </w:rPr>
              <w:t>AES-256 at rest, TLS 1.3 in transit; internal IAM authentication; standard DLP monitoring.</w:t>
            </w:r>
          </w:p>
        </w:tc>
      </w:tr>
      <w:tr>
        <w:tc>
          <w:tcPr>
            <w:tcW w:type="dxa" w:w="1872"/>
            <w:shd w:fill="F7F9FB"/>
            <w:tcMar>
              <w:top w:w="85" w:type="dxa"/>
              <w:bottom w:w="85" w:type="dxa"/>
              <w:left w:w="120" w:type="dxa"/>
              <w:right w:w="120" w:type="dxa"/>
            </w:tcMar>
          </w:tcPr>
          <w:p>
            <w:pPr>
              <w:spacing w:before="0" w:after="0"/>
            </w:pPr>
            <w:r>
              <w:rPr>
                <w:rFonts w:ascii="Calibri" w:hAnsi="Calibri"/>
                <w:color w:val="2D3237"/>
                <w:sz w:val="16"/>
              </w:rPr>
              <w:t>Level 3: Confidential / Restricted</w:t>
            </w:r>
          </w:p>
        </w:tc>
        <w:tc>
          <w:tcPr>
            <w:tcW w:type="dxa" w:w="2448"/>
            <w:shd w:fill="F7F9FB"/>
            <w:tcMar>
              <w:top w:w="85" w:type="dxa"/>
              <w:bottom w:w="85" w:type="dxa"/>
              <w:left w:w="120" w:type="dxa"/>
              <w:right w:w="120" w:type="dxa"/>
            </w:tcMar>
          </w:tcPr>
          <w:p>
            <w:pPr>
              <w:spacing w:before="0" w:after="0"/>
            </w:pPr>
            <w:r>
              <w:rPr>
                <w:rFonts w:ascii="Calibri" w:hAnsi="Calibri"/>
                <w:color w:val="2D3237"/>
                <w:sz w:val="16"/>
              </w:rPr>
              <w:t>Highly sensitive business, client, or financial information; disclosure causes severe commercial or legal harm.</w:t>
            </w:r>
          </w:p>
        </w:tc>
        <w:tc>
          <w:tcPr>
            <w:tcW w:type="dxa" w:w="2304"/>
            <w:shd w:fill="F7F9FB"/>
            <w:tcMar>
              <w:top w:w="85" w:type="dxa"/>
              <w:bottom w:w="85" w:type="dxa"/>
              <w:left w:w="120" w:type="dxa"/>
              <w:right w:w="120" w:type="dxa"/>
            </w:tcMar>
          </w:tcPr>
          <w:p>
            <w:pPr>
              <w:spacing w:before="0" w:after="0"/>
            </w:pPr>
            <w:r>
              <w:rPr>
                <w:rFonts w:ascii="Calibri" w:hAnsi="Calibri"/>
                <w:color w:val="2D3237"/>
                <w:sz w:val="16"/>
              </w:rPr>
              <w:t>Employee PII, non-public financials, customer telemetry, source code repositories, pre-trained model weights.</w:t>
            </w:r>
          </w:p>
        </w:tc>
        <w:tc>
          <w:tcPr>
            <w:tcW w:type="dxa" w:w="2405"/>
            <w:shd w:fill="F7F9FB"/>
            <w:tcMar>
              <w:top w:w="85" w:type="dxa"/>
              <w:bottom w:w="85" w:type="dxa"/>
              <w:left w:w="120" w:type="dxa"/>
              <w:right w:w="120" w:type="dxa"/>
            </w:tcMar>
          </w:tcPr>
          <w:p>
            <w:pPr>
              <w:spacing w:before="0" w:after="0"/>
            </w:pPr>
            <w:r>
              <w:rPr>
                <w:rFonts w:ascii="Calibri" w:hAnsi="Calibri"/>
                <w:color w:val="2D3237"/>
                <w:sz w:val="16"/>
              </w:rPr>
              <w:t>AES-256-GCM with tenant-specific keys, FIDO2 MFA, dynamic DLP watermarking, RBAC with session logging.</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Level 4: Sovereign / Top Secret</w:t>
            </w:r>
          </w:p>
        </w:tc>
        <w:tc>
          <w:tcPr>
            <w:tcW w:type="dxa" w:w="2448"/>
            <w:shd w:fill="FFFFFF"/>
            <w:tcMar>
              <w:top w:w="85" w:type="dxa"/>
              <w:bottom w:w="85" w:type="dxa"/>
              <w:left w:w="120" w:type="dxa"/>
              <w:right w:w="120" w:type="dxa"/>
            </w:tcMar>
          </w:tcPr>
          <w:p>
            <w:pPr>
              <w:spacing w:before="0" w:after="0"/>
            </w:pPr>
            <w:r>
              <w:rPr>
                <w:rFonts w:ascii="Calibri" w:hAnsi="Calibri"/>
                <w:color w:val="2D3237"/>
                <w:sz w:val="16"/>
              </w:rPr>
              <w:t>State-level datasets, critical national infrastructure telemetry, classified algorithms, and cryptographic root keys.</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National identity databases, sovereign healthcare genomics, defense-grade space telemetry, master HSM keys.</w:t>
            </w:r>
          </w:p>
        </w:tc>
        <w:tc>
          <w:tcPr>
            <w:tcW w:type="dxa" w:w="2405"/>
            <w:shd w:fill="FFFFFF"/>
            <w:tcMar>
              <w:top w:w="85" w:type="dxa"/>
              <w:bottom w:w="85" w:type="dxa"/>
              <w:left w:w="120" w:type="dxa"/>
              <w:right w:w="120" w:type="dxa"/>
            </w:tcMar>
          </w:tcPr>
          <w:p>
            <w:pPr>
              <w:spacing w:before="0" w:after="0"/>
            </w:pPr>
            <w:r>
              <w:rPr>
                <w:rFonts w:ascii="Calibri" w:hAnsi="Calibri"/>
                <w:color w:val="2D3237"/>
                <w:sz w:val="16"/>
              </w:rPr>
              <w:t>HSM-backed CMEK encryption, dedicated air-gapped sovereign cloud (Core42), zero internet egress, Dual-Key JIT.</w:t>
            </w:r>
          </w:p>
        </w:tc>
      </w:tr>
    </w:tbl>
    <w:p>
      <w:pPr>
        <w:spacing w:before="0" w:after="80"/>
      </w:pPr>
    </w:p>
    <w:p>
      <w:pPr>
        <w:keepNext/>
        <w:spacing w:before="180" w:after="40"/>
      </w:pPr>
      <w:r>
        <w:rPr>
          <w:rFonts w:ascii="Calibri" w:hAnsi="Calibri"/>
          <w:b/>
          <w:color w:val="0B2545"/>
          <w:sz w:val="20"/>
        </w:rPr>
        <w:t>3.3 Default Classification Rule (Fail-Secure)</w:t>
      </w:r>
    </w:p>
    <w:p>
      <w:pPr>
        <w:spacing w:before="0" w:after="100" w:line="276" w:lineRule="auto"/>
      </w:pPr>
      <w:r>
        <w:rPr>
          <w:rFonts w:ascii="Calibri" w:hAnsi="Calibri"/>
          <w:color w:val="2D3237"/>
          <w:sz w:val="19"/>
        </w:rPr>
        <w:t>Clause 3.3.1 — In accordance with the Fail-Secure doctrine, any unclassified, ambiguous, or newly created dataset is automatically designated as Level 3 (Confidential) by default until formally reviewed and classified by an authorized Data Steward.</w:t>
      </w:r>
    </w:p>
    <w:p>
      <w:r>
        <w:br w:type="page"/>
      </w:r>
    </w:p>
    <w:p>
      <w:pPr>
        <w:keepNext/>
        <w:spacing w:before="360" w:after="120"/>
      </w:pPr>
      <w:r>
        <w:rPr>
          <w:rFonts w:ascii="Calibri" w:hAnsi="Calibri"/>
          <w:b/>
          <w:color w:val="0B2545"/>
          <w:sz w:val="29"/>
        </w:rPr>
        <w:t>SECTION 4: DATA HANDLING, TAGGING &amp; AUTOMATED DLP SCHEMA</w:t>
      </w:r>
    </w:p>
    <w:p>
      <w:pPr>
        <w:keepNext/>
        <w:spacing w:before="260" w:after="80"/>
      </w:pPr>
      <w:r>
        <w:rPr>
          <w:rFonts w:ascii="Calibri" w:hAnsi="Calibri"/>
          <w:b/>
          <w:color w:val="136F63"/>
          <w:sz w:val="23"/>
        </w:rPr>
        <w:t>4.1 Mandatory Metadata Tagging Schema</w:t>
      </w:r>
    </w:p>
    <w:p>
      <w:pPr>
        <w:spacing w:before="0" w:after="100" w:line="276" w:lineRule="auto"/>
      </w:pPr>
      <w:r>
        <w:rPr>
          <w:rFonts w:ascii="Calibri" w:hAnsi="Calibri"/>
          <w:color w:val="2D3237"/>
          <w:sz w:val="19"/>
        </w:rPr>
        <w:t>Clause 4.1.1 — Every digital document, database record, object storage blob, and API payload must embed standardized machine-readable metadata tags formatted according to the G42 Enterprise Metadata Schema:</w:t>
      </w:r>
    </w:p>
    <w:p>
      <w:pPr>
        <w:pStyle w:val="ListBullet"/>
        <w:spacing w:before="0" w:after="50" w:line="276" w:lineRule="auto"/>
      </w:pPr>
      <w:r>
        <w:rPr>
          <w:rFonts w:ascii="Calibri" w:hAnsi="Calibri"/>
          <w:b/>
          <w:color w:val="2D3237"/>
          <w:sz w:val="19"/>
        </w:rPr>
        <w:t xml:space="preserve">ClassificationTag: </w:t>
      </w:r>
      <w:r>
        <w:rPr>
          <w:rFonts w:ascii="Calibri" w:hAnsi="Calibri"/>
          <w:color w:val="2D3237"/>
          <w:sz w:val="19"/>
        </w:rPr>
        <w:t>Specifies 'Level 1', 'Level 2', 'Level 3', or 'Level 4'.</w:t>
      </w:r>
    </w:p>
    <w:p>
      <w:pPr>
        <w:pStyle w:val="ListBullet"/>
        <w:spacing w:before="0" w:after="50" w:line="276" w:lineRule="auto"/>
      </w:pPr>
      <w:r>
        <w:rPr>
          <w:rFonts w:ascii="Calibri" w:hAnsi="Calibri"/>
          <w:b/>
          <w:color w:val="2D3237"/>
          <w:sz w:val="19"/>
        </w:rPr>
        <w:t xml:space="preserve">DataOwnerOpCo: </w:t>
      </w:r>
      <w:r>
        <w:rPr>
          <w:rFonts w:ascii="Calibri" w:hAnsi="Calibri"/>
          <w:color w:val="2D3237"/>
          <w:sz w:val="19"/>
        </w:rPr>
        <w:t>Specifies 'GROUP' or designated Operating Company ('Core42', 'Inception', 'Presight', 'AIQ', 'Khazna', 'Space42').</w:t>
      </w:r>
    </w:p>
    <w:p>
      <w:pPr>
        <w:pStyle w:val="ListBullet"/>
        <w:spacing w:before="0" w:after="50" w:line="276" w:lineRule="auto"/>
      </w:pPr>
      <w:r>
        <w:rPr>
          <w:rFonts w:ascii="Calibri" w:hAnsi="Calibri"/>
          <w:b/>
          <w:color w:val="2D3237"/>
          <w:sz w:val="19"/>
        </w:rPr>
        <w:t xml:space="preserve">ResidencyScope: </w:t>
      </w:r>
      <w:r>
        <w:rPr>
          <w:rFonts w:ascii="Calibri" w:hAnsi="Calibri"/>
          <w:color w:val="2D3237"/>
          <w:sz w:val="19"/>
        </w:rPr>
        <w:t>Specifies sovereign residency boundary (e.g., 'UAE-ONLY', 'MENA-REGIONAL', 'GLOBAL-PERMITTED').</w:t>
      </w:r>
    </w:p>
    <w:p>
      <w:pPr>
        <w:pStyle w:val="ListBullet"/>
        <w:spacing w:before="0" w:after="50" w:line="276" w:lineRule="auto"/>
      </w:pPr>
      <w:r>
        <w:rPr>
          <w:rFonts w:ascii="Calibri" w:hAnsi="Calibri"/>
          <w:b/>
          <w:color w:val="2D3237"/>
          <w:sz w:val="19"/>
        </w:rPr>
        <w:t xml:space="preserve">ContainsPII: </w:t>
      </w:r>
      <w:r>
        <w:rPr>
          <w:rFonts w:ascii="Calibri" w:hAnsi="Calibri"/>
          <w:color w:val="2D3237"/>
          <w:sz w:val="19"/>
        </w:rPr>
        <w:t>Boolean flag ('TRUE'/'FALSE') indicating presence of Personally Identifiable Information.</w:t>
      </w:r>
    </w:p>
    <w:p>
      <w:pPr>
        <w:pStyle w:val="ListBullet"/>
        <w:spacing w:before="0" w:after="50" w:line="276" w:lineRule="auto"/>
      </w:pPr>
      <w:r>
        <w:rPr>
          <w:rFonts w:ascii="Calibri" w:hAnsi="Calibri"/>
          <w:b/>
          <w:color w:val="2D3237"/>
          <w:sz w:val="19"/>
        </w:rPr>
        <w:t xml:space="preserve">RetentionExpiry: </w:t>
      </w:r>
      <w:r>
        <w:rPr>
          <w:rFonts w:ascii="Calibri" w:hAnsi="Calibri"/>
          <w:color w:val="2D3237"/>
          <w:sz w:val="19"/>
        </w:rPr>
        <w:t>ISO-8601 formatted date defining mandatory lifecycle review or sanitization date.</w:t>
      </w:r>
    </w:p>
    <w:p>
      <w:pPr>
        <w:keepNext/>
        <w:spacing w:before="260" w:after="80"/>
      </w:pPr>
      <w:r>
        <w:rPr>
          <w:rFonts w:ascii="Calibri" w:hAnsi="Calibri"/>
          <w:b/>
          <w:color w:val="136F63"/>
          <w:sz w:val="23"/>
        </w:rPr>
        <w:t>4.2 Automated Data Loss Prevention (DLP) &amp; Watermarking</w:t>
      </w:r>
    </w:p>
    <w:p>
      <w:pPr>
        <w:spacing w:before="0" w:after="100" w:line="276" w:lineRule="auto"/>
      </w:pPr>
      <w:r>
        <w:rPr>
          <w:rFonts w:ascii="Calibri" w:hAnsi="Calibri"/>
          <w:color w:val="2D3237"/>
          <w:sz w:val="19"/>
        </w:rPr>
        <w:t>Clause 4.2.1 — All outbound corporate emails, cloud file shares, and API endpoints must pass through automated DLP filters configured to inspect payloads for Level 3 and Level 4 classification tags, unencrypted PII, credit card numbers, and API tokens.</w:t>
      </w:r>
    </w:p>
    <w:p>
      <w:pPr>
        <w:spacing w:before="0" w:after="100" w:line="276" w:lineRule="auto"/>
      </w:pPr>
      <w:r>
        <w:rPr>
          <w:rFonts w:ascii="Calibri" w:hAnsi="Calibri"/>
          <w:color w:val="2D3237"/>
          <w:sz w:val="19"/>
        </w:rPr>
        <w:t>Clause 4.2.2 — Any Level 3 or Level 4 document exported, printed, or downloaded to an endpoint must automatically apply a dynamic, visible, and steganographic digital watermark displaying the user's Enterprise UID, timestamp, and IP address.</w:t>
      </w:r>
    </w:p>
    <w:p>
      <w:pPr>
        <w:keepNext/>
        <w:spacing w:before="180" w:after="40"/>
      </w:pPr>
      <w:r>
        <w:rPr>
          <w:rFonts w:ascii="Calibri" w:hAnsi="Calibri"/>
          <w:b/>
          <w:color w:val="0B2545"/>
          <w:sz w:val="20"/>
        </w:rPr>
        <w:t>4.3 Removable Media &amp; Physical Data Handling</w:t>
      </w:r>
    </w:p>
    <w:p>
      <w:pPr>
        <w:spacing w:before="0" w:after="100" w:line="276" w:lineRule="auto"/>
      </w:pPr>
      <w:r>
        <w:rPr>
          <w:rFonts w:ascii="Calibri" w:hAnsi="Calibri"/>
          <w:color w:val="2D3237"/>
          <w:sz w:val="19"/>
        </w:rPr>
        <w:t>Clause 4.3.1 — Storing Level 3 or Level 4 data on unencrypted removable USB media is strictly prohibited. Where physical data transfer is required for air-gapped sovereign environments, personnel must utilize hardware-encrypted, FIPS 140-3 Level 3 validated storage drives approved by the Group CISO.</w:t>
      </w:r>
    </w:p>
    <w:p>
      <w:r>
        <w:br w:type="page"/>
      </w:r>
    </w:p>
    <w:p>
      <w:pPr>
        <w:keepNext/>
        <w:spacing w:before="360" w:after="120"/>
      </w:pPr>
      <w:r>
        <w:rPr>
          <w:rFonts w:ascii="Calibri" w:hAnsi="Calibri"/>
          <w:b/>
          <w:color w:val="0B2545"/>
          <w:sz w:val="29"/>
        </w:rPr>
        <w:t>SECTION 5: DATA SOVEREIGNTY &amp; SOVEREIGN CLOUD PERIMETERS</w:t>
      </w:r>
    </w:p>
    <w:p>
      <w:pPr>
        <w:keepNext/>
        <w:spacing w:before="260" w:after="80"/>
      </w:pPr>
      <w:r>
        <w:rPr>
          <w:rFonts w:ascii="Calibri" w:hAnsi="Calibri"/>
          <w:b/>
          <w:color w:val="136F63"/>
          <w:sz w:val="23"/>
        </w:rPr>
        <w:t>5.1 National Sovereign Residency Directives</w:t>
      </w:r>
    </w:p>
    <w:p>
      <w:pPr>
        <w:spacing w:before="0" w:after="100" w:line="276" w:lineRule="auto"/>
      </w:pPr>
      <w:r>
        <w:rPr>
          <w:rFonts w:ascii="Calibri" w:hAnsi="Calibri"/>
          <w:color w:val="2D3237"/>
          <w:sz w:val="19"/>
        </w:rPr>
        <w:t>Clause 5.1.1 — Under UAE Federal Decree-Law No. 45/2021 and G42 Sovereign Directives, all Level 4 (Sovereign) data and sensitive Level 3 citizen datasets must reside permanently and exclusively within the physical and logical borders of the United Arab Emirates.</w:t>
      </w:r>
    </w:p>
    <w:p>
      <w:pPr>
        <w:spacing w:before="0" w:after="100" w:line="276" w:lineRule="auto"/>
      </w:pPr>
      <w:r>
        <w:rPr>
          <w:rFonts w:ascii="Calibri" w:hAnsi="Calibri"/>
          <w:color w:val="2D3237"/>
          <w:sz w:val="19"/>
        </w:rPr>
        <w:t>Clause 5.1.2 — Storing primary datasets, database replicas, backups, or telemetry derived from Level 4 data outside UAE sovereign boundaries is strictly prohibited. Cloud architectures must enforce geographic lockouts on cloud storage regions.</w:t>
      </w:r>
    </w:p>
    <w:p>
      <w:pPr>
        <w:keepNext/>
        <w:spacing w:before="260" w:after="80"/>
      </w:pPr>
      <w:r>
        <w:rPr>
          <w:rFonts w:ascii="Calibri" w:hAnsi="Calibri"/>
          <w:b/>
          <w:color w:val="136F63"/>
          <w:sz w:val="23"/>
        </w:rPr>
        <w:t>5.2 Core42 Sovereign Cloud Fabric Standards</w:t>
      </w:r>
    </w:p>
    <w:p>
      <w:pPr>
        <w:spacing w:before="0" w:after="100" w:line="276" w:lineRule="auto"/>
      </w:pPr>
      <w:r>
        <w:rPr>
          <w:rFonts w:ascii="Calibri" w:hAnsi="Calibri"/>
          <w:color w:val="2D3237"/>
          <w:sz w:val="19"/>
        </w:rPr>
        <w:t>Clause 5.2.1 — Sovereign workloads must be hosted exclusively within the Core42 Sovereign Cloud Fabric. The Sovereign Fabric enforces three architectural isolation boundaries:</w:t>
      </w:r>
    </w:p>
    <w:p>
      <w:pPr>
        <w:pStyle w:val="ListBullet"/>
        <w:spacing w:before="0" w:after="50" w:line="276" w:lineRule="auto"/>
      </w:pPr>
      <w:r>
        <w:rPr>
          <w:rFonts w:ascii="Calibri" w:hAnsi="Calibri"/>
          <w:b/>
          <w:color w:val="2D3237"/>
          <w:sz w:val="19"/>
        </w:rPr>
        <w:t xml:space="preserve">Physical Hall Isolation: </w:t>
      </w:r>
      <w:r>
        <w:rPr>
          <w:rFonts w:ascii="Calibri" w:hAnsi="Calibri"/>
          <w:color w:val="2D3237"/>
          <w:sz w:val="19"/>
        </w:rPr>
        <w:t>Sovereign compute nodes, storage racks, and network switches are physically segregated in dedicated, biometric-secured data halls within Khazna Tier-3+ data centers.</w:t>
      </w:r>
    </w:p>
    <w:p>
      <w:pPr>
        <w:pStyle w:val="ListBullet"/>
        <w:spacing w:before="0" w:after="50" w:line="276" w:lineRule="auto"/>
      </w:pPr>
      <w:r>
        <w:rPr>
          <w:rFonts w:ascii="Calibri" w:hAnsi="Calibri"/>
          <w:b/>
          <w:color w:val="2D3237"/>
          <w:sz w:val="19"/>
        </w:rPr>
        <w:t xml:space="preserve">Hypervisor Logical Isolation: </w:t>
      </w:r>
      <w:r>
        <w:rPr>
          <w:rFonts w:ascii="Calibri" w:hAnsi="Calibri"/>
          <w:color w:val="2D3237"/>
          <w:sz w:val="19"/>
        </w:rPr>
        <w:t>Sovereign tenancies operate on dedicated hypervisors with zero logical co-tenancy with commercial public cloud tenants.</w:t>
      </w:r>
    </w:p>
    <w:p>
      <w:pPr>
        <w:pStyle w:val="ListBullet"/>
        <w:spacing w:before="0" w:after="50" w:line="276" w:lineRule="auto"/>
      </w:pPr>
      <w:r>
        <w:rPr>
          <w:rFonts w:ascii="Calibri" w:hAnsi="Calibri"/>
          <w:b/>
          <w:color w:val="2D3237"/>
          <w:sz w:val="19"/>
        </w:rPr>
        <w:t xml:space="preserve">Personnel Clearance Mandate: </w:t>
      </w:r>
      <w:r>
        <w:rPr>
          <w:rFonts w:ascii="Calibri" w:hAnsi="Calibri"/>
          <w:color w:val="2D3237"/>
          <w:sz w:val="19"/>
        </w:rPr>
        <w:t>All cloud platform operations, maintenance, and technical support within the sovereign fabric must be performed exclusively by security-cleared UAE national engineers.</w:t>
      </w:r>
    </w:p>
    <w:p>
      <w:pPr>
        <w:keepNext/>
        <w:spacing w:before="180" w:after="40"/>
      </w:pPr>
      <w:r>
        <w:rPr>
          <w:rFonts w:ascii="Calibri" w:hAnsi="Calibri"/>
          <w:b/>
          <w:color w:val="0B2545"/>
          <w:sz w:val="20"/>
        </w:rPr>
        <w:t>5.3 Sovereign AI Supercomputing Enclaves (Condor Galaxy)</w:t>
      </w:r>
    </w:p>
    <w:p>
      <w:pPr>
        <w:spacing w:before="0" w:after="100" w:line="276" w:lineRule="auto"/>
      </w:pPr>
      <w:r>
        <w:rPr>
          <w:rFonts w:ascii="Calibri" w:hAnsi="Calibri"/>
          <w:color w:val="2D3237"/>
          <w:sz w:val="19"/>
        </w:rPr>
        <w:t>Clause 5.3.1 — Pre-training foundational models on sovereign datasets must occur within isolated high-performance computing (HPC) partitions. Compute nodes must operate with direct internet egress disabled and communicate via private, encrypted InfiniBand fabrics.</w:t>
      </w:r>
    </w:p>
    <w:p>
      <w:r>
        <w:br w:type="page"/>
      </w:r>
    </w:p>
    <w:p>
      <w:pPr>
        <w:keepNext/>
        <w:spacing w:before="360" w:after="120"/>
      </w:pPr>
      <w:r>
        <w:rPr>
          <w:rFonts w:ascii="Calibri" w:hAnsi="Calibri"/>
          <w:b/>
          <w:color w:val="0B2545"/>
          <w:sz w:val="29"/>
        </w:rPr>
        <w:t>SECTION 6: CROSS-BORDER TRANSFER CONTROLS &amp; ADEQUACY</w:t>
      </w:r>
    </w:p>
    <w:p>
      <w:pPr>
        <w:keepNext/>
        <w:spacing w:before="260" w:after="80"/>
      </w:pPr>
      <w:r>
        <w:rPr>
          <w:rFonts w:ascii="Calibri" w:hAnsi="Calibri"/>
          <w:b/>
          <w:color w:val="136F63"/>
          <w:sz w:val="23"/>
        </w:rPr>
        <w:t>6.1 Cross-Border Data Transfer Framework</w:t>
      </w:r>
    </w:p>
    <w:p>
      <w:pPr>
        <w:spacing w:before="0" w:after="100" w:line="276" w:lineRule="auto"/>
      </w:pPr>
      <w:r>
        <w:rPr>
          <w:rFonts w:ascii="Calibri" w:hAnsi="Calibri"/>
          <w:color w:val="2D3237"/>
          <w:sz w:val="19"/>
        </w:rPr>
        <w:t>Clause 6.1.1 — Transferring Level 3 (Confidential) data outside the United Arab Emirates is strictly prohibited unless the transfer satisfies statutory adequacy requirements under UAE Data Protection Law and is pre-authorized by the Group Data Governance Office.</w:t>
      </w:r>
    </w:p>
    <w:p>
      <w:pPr>
        <w:spacing w:before="0" w:after="100" w:line="276" w:lineRule="auto"/>
      </w:pPr>
      <w:r>
        <w:rPr>
          <w:rFonts w:ascii="Calibri" w:hAnsi="Calibri"/>
          <w:color w:val="2D3237"/>
          <w:sz w:val="19"/>
        </w:rPr>
        <w:t>Clause 6.1.2 — Level 4 (Sovereign) data is permanently barred from cross-border transmission under any technical or legal circumstance. Attempting to transfer Level 4 data across international borders constitutes gross misconduct resulting in immediate termination and criminal prosecution.</w:t>
      </w:r>
    </w:p>
    <w:p>
      <w:pPr>
        <w:keepNext/>
        <w:spacing w:before="260" w:after="80"/>
      </w:pPr>
      <w:r>
        <w:rPr>
          <w:rFonts w:ascii="Calibri" w:hAnsi="Calibri"/>
          <w:b/>
          <w:color w:val="136F63"/>
          <w:sz w:val="23"/>
        </w:rPr>
        <w:t>6.2 Approved Transfer Safeguards &amp; Mechanisms</w:t>
      </w:r>
    </w:p>
    <w:p>
      <w:pPr>
        <w:spacing w:before="0" w:after="100" w:line="276" w:lineRule="auto"/>
      </w:pPr>
      <w:r>
        <w:rPr>
          <w:rFonts w:ascii="Calibri" w:hAnsi="Calibri"/>
          <w:color w:val="2D3237"/>
          <w:sz w:val="19"/>
        </w:rPr>
        <w:t>Clause 6.2.1 — International data transfers of Level 2 and authorized Level 3 data must utilize one of three approved legal and technical mechanisms:</w:t>
      </w:r>
    </w:p>
    <w:p>
      <w:pPr>
        <w:pStyle w:val="ListBullet"/>
        <w:spacing w:before="0" w:after="50" w:line="276" w:lineRule="auto"/>
      </w:pPr>
      <w:r>
        <w:rPr>
          <w:rFonts w:ascii="Calibri" w:hAnsi="Calibri"/>
          <w:b/>
          <w:color w:val="2D3237"/>
          <w:sz w:val="19"/>
        </w:rPr>
        <w:t xml:space="preserve">Adequacy Decisions: </w:t>
      </w:r>
      <w:r>
        <w:rPr>
          <w:rFonts w:ascii="Calibri" w:hAnsi="Calibri"/>
          <w:color w:val="2D3237"/>
          <w:sz w:val="19"/>
        </w:rPr>
        <w:t>Transfers to countries formally recognized by the UAE Data Office as providing an adequate level of statutory protection.</w:t>
      </w:r>
    </w:p>
    <w:p>
      <w:pPr>
        <w:pStyle w:val="ListBullet"/>
        <w:spacing w:before="0" w:after="50" w:line="276" w:lineRule="auto"/>
      </w:pPr>
      <w:r>
        <w:rPr>
          <w:rFonts w:ascii="Calibri" w:hAnsi="Calibri"/>
          <w:b/>
          <w:color w:val="2D3237"/>
          <w:sz w:val="19"/>
        </w:rPr>
        <w:t xml:space="preserve">Standard Contractual Clauses (SCCs): </w:t>
      </w:r>
      <w:r>
        <w:rPr>
          <w:rFonts w:ascii="Calibri" w:hAnsi="Calibri"/>
          <w:color w:val="2D3237"/>
          <w:sz w:val="19"/>
        </w:rPr>
        <w:t>Execution of mandatory G42 Standard Contractual Clauses with overseas recipients, guaranteeing equivalent technical safeguards.</w:t>
      </w:r>
    </w:p>
    <w:p>
      <w:pPr>
        <w:pStyle w:val="ListBullet"/>
        <w:spacing w:before="0" w:after="50" w:line="276" w:lineRule="auto"/>
      </w:pPr>
      <w:r>
        <w:rPr>
          <w:rFonts w:ascii="Calibri" w:hAnsi="Calibri"/>
          <w:b/>
          <w:color w:val="2D3237"/>
          <w:sz w:val="19"/>
        </w:rPr>
        <w:t xml:space="preserve">Data Transfer Impact Assessment (DTIA): </w:t>
      </w:r>
      <w:r>
        <w:rPr>
          <w:rFonts w:ascii="Calibri" w:hAnsi="Calibri"/>
          <w:color w:val="2D3237"/>
          <w:sz w:val="19"/>
        </w:rPr>
        <w:t>Prior to transfer, business units must complete a Data Transfer Impact Assessment (DTIA) evaluating foreign surveillance laws and destination legal risks.</w:t>
      </w:r>
    </w:p>
    <w:p>
      <w:pPr>
        <w:keepNext/>
        <w:spacing w:before="180" w:after="40"/>
      </w:pPr>
      <w:r>
        <w:rPr>
          <w:rFonts w:ascii="Calibri" w:hAnsi="Calibri"/>
          <w:b/>
          <w:color w:val="0B2545"/>
          <w:sz w:val="20"/>
        </w:rPr>
        <w:t>6.3 Cross-Border Data Flow Matrix</w:t>
      </w:r>
    </w:p>
    <w:p>
      <w:pPr>
        <w:spacing w:before="0" w:after="100" w:line="276" w:lineRule="auto"/>
      </w:pPr>
      <w:r>
        <w:rPr>
          <w:rFonts w:ascii="Calibri" w:hAnsi="Calibri"/>
          <w:color w:val="2D3237"/>
          <w:sz w:val="19"/>
        </w:rPr>
        <w:t>Clause 6.3.1 — Permitted data flows across jurisdictions are codified in the following operational matrix:</w:t>
      </w:r>
    </w:p>
    <w:tbl>
      <w:tblPr>
        <w:tblW w:type="auto" w:w="0"/>
        <w:jc w:val="center"/>
        <w:tblLayout w:type="fixed"/>
        <w:tblLook w:firstColumn="1" w:firstRow="1" w:lastColumn="0" w:lastRow="0" w:noHBand="0" w:noVBand="1" w:val="04A0"/>
      </w:tblPr>
      <w:tblGrid>
        <w:gridCol w:w="1872"/>
        <w:gridCol w:w="2304"/>
        <w:gridCol w:w="3024"/>
        <w:gridCol w:w="1829"/>
      </w:tblGrid>
      <w:tr>
        <w:tc>
          <w:tcPr>
            <w:tcW w:type="dxa" w:w="1872"/>
            <w:shd w:fill="0B2545"/>
            <w:tcMar>
              <w:top w:w="110" w:type="dxa"/>
              <w:bottom w:w="110" w:type="dxa"/>
              <w:left w:w="120" w:type="dxa"/>
              <w:right w:w="120" w:type="dxa"/>
            </w:tcMar>
          </w:tcPr>
          <w:p>
            <w:pPr>
              <w:spacing w:before="0" w:after="0"/>
              <w:jc w:val="left"/>
            </w:pPr>
            <w:r>
              <w:rPr>
                <w:rFonts w:ascii="Calibri" w:hAnsi="Calibri"/>
                <w:b/>
                <w:color w:val="FFFFFF"/>
                <w:sz w:val="17"/>
              </w:rPr>
              <w:t>Data Level</w:t>
            </w:r>
          </w:p>
        </w:tc>
        <w:tc>
          <w:tcPr>
            <w:tcW w:type="dxa" w:w="2304"/>
            <w:shd w:fill="0B2545"/>
            <w:tcMar>
              <w:top w:w="110" w:type="dxa"/>
              <w:bottom w:w="110" w:type="dxa"/>
              <w:left w:w="120" w:type="dxa"/>
              <w:right w:w="120" w:type="dxa"/>
            </w:tcMar>
          </w:tcPr>
          <w:p>
            <w:pPr>
              <w:spacing w:before="0" w:after="0"/>
              <w:jc w:val="left"/>
            </w:pPr>
            <w:r>
              <w:rPr>
                <w:rFonts w:ascii="Calibri" w:hAnsi="Calibri"/>
                <w:b/>
                <w:color w:val="FFFFFF"/>
                <w:sz w:val="17"/>
              </w:rPr>
              <w:t>Target Jurisdiction</w:t>
            </w:r>
          </w:p>
        </w:tc>
        <w:tc>
          <w:tcPr>
            <w:tcW w:type="dxa" w:w="3024"/>
            <w:shd w:fill="0B2545"/>
            <w:tcMar>
              <w:top w:w="110" w:type="dxa"/>
              <w:bottom w:w="110" w:type="dxa"/>
              <w:left w:w="120" w:type="dxa"/>
              <w:right w:w="120" w:type="dxa"/>
            </w:tcMar>
          </w:tcPr>
          <w:p>
            <w:pPr>
              <w:spacing w:before="0" w:after="0"/>
              <w:jc w:val="left"/>
            </w:pPr>
            <w:r>
              <w:rPr>
                <w:rFonts w:ascii="Calibri" w:hAnsi="Calibri"/>
                <w:b/>
                <w:color w:val="FFFFFF"/>
                <w:sz w:val="17"/>
              </w:rPr>
              <w:t>Required Safeguard</w:t>
            </w:r>
          </w:p>
        </w:tc>
        <w:tc>
          <w:tcPr>
            <w:tcW w:type="dxa" w:w="1829"/>
            <w:shd w:fill="0B2545"/>
            <w:tcMar>
              <w:top w:w="110" w:type="dxa"/>
              <w:bottom w:w="110" w:type="dxa"/>
              <w:left w:w="120" w:type="dxa"/>
              <w:right w:w="120" w:type="dxa"/>
            </w:tcMar>
          </w:tcPr>
          <w:p>
            <w:pPr>
              <w:spacing w:before="0" w:after="0"/>
              <w:jc w:val="left"/>
            </w:pPr>
            <w:r>
              <w:rPr>
                <w:rFonts w:ascii="Calibri" w:hAnsi="Calibri"/>
                <w:b/>
                <w:color w:val="FFFFFF"/>
                <w:sz w:val="17"/>
              </w:rPr>
              <w:t>Approval Gateway</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Classification Tier</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Destination Jurisdiction</w:t>
            </w:r>
          </w:p>
        </w:tc>
        <w:tc>
          <w:tcPr>
            <w:tcW w:type="dxa" w:w="3024"/>
            <w:shd w:fill="FFFFFF"/>
            <w:tcMar>
              <w:top w:w="85" w:type="dxa"/>
              <w:bottom w:w="85" w:type="dxa"/>
              <w:left w:w="120" w:type="dxa"/>
              <w:right w:w="120" w:type="dxa"/>
            </w:tcMar>
          </w:tcPr>
          <w:p>
            <w:pPr>
              <w:spacing w:before="0" w:after="0"/>
            </w:pPr>
            <w:r>
              <w:rPr>
                <w:rFonts w:ascii="Calibri" w:hAnsi="Calibri"/>
                <w:color w:val="2D3237"/>
                <w:sz w:val="16"/>
              </w:rPr>
              <w:t>Mandatory Transfer Safeguard</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Approval Authority</w:t>
            </w:r>
          </w:p>
        </w:tc>
      </w:tr>
      <w:tr>
        <w:tc>
          <w:tcPr>
            <w:tcW w:type="dxa" w:w="1872"/>
            <w:shd w:fill="F7F9FB"/>
            <w:tcMar>
              <w:top w:w="85" w:type="dxa"/>
              <w:bottom w:w="85" w:type="dxa"/>
              <w:left w:w="120" w:type="dxa"/>
              <w:right w:w="120" w:type="dxa"/>
            </w:tcMar>
          </w:tcPr>
          <w:p>
            <w:pPr>
              <w:spacing w:before="0" w:after="0"/>
            </w:pPr>
            <w:r>
              <w:rPr>
                <w:rFonts w:ascii="Calibri" w:hAnsi="Calibri"/>
                <w:color w:val="2D3237"/>
                <w:sz w:val="16"/>
              </w:rPr>
              <w:t>Level 1: Public</w:t>
            </w:r>
          </w:p>
        </w:tc>
        <w:tc>
          <w:tcPr>
            <w:tcW w:type="dxa" w:w="2304"/>
            <w:shd w:fill="F7F9FB"/>
            <w:tcMar>
              <w:top w:w="85" w:type="dxa"/>
              <w:bottom w:w="85" w:type="dxa"/>
              <w:left w:w="120" w:type="dxa"/>
              <w:right w:w="120" w:type="dxa"/>
            </w:tcMar>
          </w:tcPr>
          <w:p>
            <w:pPr>
              <w:spacing w:before="0" w:after="0"/>
            </w:pPr>
            <w:r>
              <w:rPr>
                <w:rFonts w:ascii="Calibri" w:hAnsi="Calibri"/>
                <w:color w:val="2D3237"/>
                <w:sz w:val="16"/>
              </w:rPr>
              <w:t>Global / Any Destination</w:t>
            </w:r>
          </w:p>
        </w:tc>
        <w:tc>
          <w:tcPr>
            <w:tcW w:type="dxa" w:w="3024"/>
            <w:shd w:fill="F7F9FB"/>
            <w:tcMar>
              <w:top w:w="85" w:type="dxa"/>
              <w:bottom w:w="85" w:type="dxa"/>
              <w:left w:w="120" w:type="dxa"/>
              <w:right w:w="120" w:type="dxa"/>
            </w:tcMar>
          </w:tcPr>
          <w:p>
            <w:pPr>
              <w:spacing w:before="0" w:after="0"/>
            </w:pPr>
            <w:r>
              <w:rPr>
                <w:rFonts w:ascii="Calibri" w:hAnsi="Calibri"/>
                <w:color w:val="2D3237"/>
                <w:sz w:val="16"/>
              </w:rPr>
              <w:t>Standard TLS 1.2+ encryption in transit.</w:t>
            </w:r>
          </w:p>
        </w:tc>
        <w:tc>
          <w:tcPr>
            <w:tcW w:type="dxa" w:w="1829"/>
            <w:shd w:fill="F7F9FB"/>
            <w:tcMar>
              <w:top w:w="85" w:type="dxa"/>
              <w:bottom w:w="85" w:type="dxa"/>
              <w:left w:w="120" w:type="dxa"/>
              <w:right w:w="120" w:type="dxa"/>
            </w:tcMar>
          </w:tcPr>
          <w:p>
            <w:pPr>
              <w:spacing w:before="0" w:after="0"/>
            </w:pPr>
            <w:r>
              <w:rPr>
                <w:rFonts w:ascii="Calibri" w:hAnsi="Calibri"/>
                <w:color w:val="2D3237"/>
                <w:sz w:val="16"/>
              </w:rPr>
              <w:t>No approval required.</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Level 2: Internal</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G42 Overseas Subsidiaries</w:t>
            </w:r>
          </w:p>
        </w:tc>
        <w:tc>
          <w:tcPr>
            <w:tcW w:type="dxa" w:w="3024"/>
            <w:shd w:fill="FFFFFF"/>
            <w:tcMar>
              <w:top w:w="85" w:type="dxa"/>
              <w:bottom w:w="85" w:type="dxa"/>
              <w:left w:w="120" w:type="dxa"/>
              <w:right w:w="120" w:type="dxa"/>
            </w:tcMar>
          </w:tcPr>
          <w:p>
            <w:pPr>
              <w:spacing w:before="0" w:after="0"/>
            </w:pPr>
            <w:r>
              <w:rPr>
                <w:rFonts w:ascii="Calibri" w:hAnsi="Calibri"/>
                <w:color w:val="2D3237"/>
                <w:sz w:val="16"/>
              </w:rPr>
              <w:t>TLS 1.3, corporate IdP authentication, standard SCCs.</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Data Steward Notification.</w:t>
            </w:r>
          </w:p>
        </w:tc>
      </w:tr>
      <w:tr>
        <w:tc>
          <w:tcPr>
            <w:tcW w:type="dxa" w:w="1872"/>
            <w:shd w:fill="F7F9FB"/>
            <w:tcMar>
              <w:top w:w="85" w:type="dxa"/>
              <w:bottom w:w="85" w:type="dxa"/>
              <w:left w:w="120" w:type="dxa"/>
              <w:right w:w="120" w:type="dxa"/>
            </w:tcMar>
          </w:tcPr>
          <w:p>
            <w:pPr>
              <w:spacing w:before="0" w:after="0"/>
            </w:pPr>
            <w:r>
              <w:rPr>
                <w:rFonts w:ascii="Calibri" w:hAnsi="Calibri"/>
                <w:color w:val="2D3237"/>
                <w:sz w:val="16"/>
              </w:rPr>
              <w:t>Level 3: Confidential</w:t>
            </w:r>
          </w:p>
        </w:tc>
        <w:tc>
          <w:tcPr>
            <w:tcW w:type="dxa" w:w="2304"/>
            <w:shd w:fill="F7F9FB"/>
            <w:tcMar>
              <w:top w:w="85" w:type="dxa"/>
              <w:bottom w:w="85" w:type="dxa"/>
              <w:left w:w="120" w:type="dxa"/>
              <w:right w:w="120" w:type="dxa"/>
            </w:tcMar>
          </w:tcPr>
          <w:p>
            <w:pPr>
              <w:spacing w:before="0" w:after="0"/>
            </w:pPr>
            <w:r>
              <w:rPr>
                <w:rFonts w:ascii="Calibri" w:hAnsi="Calibri"/>
                <w:color w:val="2D3237"/>
                <w:sz w:val="16"/>
              </w:rPr>
              <w:t>Adequate Jurisdictions (EU, UK)</w:t>
            </w:r>
          </w:p>
        </w:tc>
        <w:tc>
          <w:tcPr>
            <w:tcW w:type="dxa" w:w="3024"/>
            <w:shd w:fill="F7F9FB"/>
            <w:tcMar>
              <w:top w:w="85" w:type="dxa"/>
              <w:bottom w:w="85" w:type="dxa"/>
              <w:left w:w="120" w:type="dxa"/>
              <w:right w:w="120" w:type="dxa"/>
            </w:tcMar>
          </w:tcPr>
          <w:p>
            <w:pPr>
              <w:spacing w:before="0" w:after="0"/>
            </w:pPr>
            <w:r>
              <w:rPr>
                <w:rFonts w:ascii="Calibri" w:hAnsi="Calibri"/>
                <w:color w:val="2D3237"/>
                <w:sz w:val="16"/>
              </w:rPr>
              <w:t>AES-256-GCM, CMEK, formal DTIA, executed SCCs.</w:t>
            </w:r>
          </w:p>
        </w:tc>
        <w:tc>
          <w:tcPr>
            <w:tcW w:type="dxa" w:w="1829"/>
            <w:shd w:fill="F7F9FB"/>
            <w:tcMar>
              <w:top w:w="85" w:type="dxa"/>
              <w:bottom w:w="85" w:type="dxa"/>
              <w:left w:w="120" w:type="dxa"/>
              <w:right w:w="120" w:type="dxa"/>
            </w:tcMar>
          </w:tcPr>
          <w:p>
            <w:pPr>
              <w:spacing w:before="0" w:after="0"/>
            </w:pPr>
            <w:r>
              <w:rPr>
                <w:rFonts w:ascii="Calibri" w:hAnsi="Calibri"/>
                <w:color w:val="2D3237"/>
                <w:sz w:val="16"/>
              </w:rPr>
              <w:t>OpCo DPO &amp; Group CDO Approval.</w:t>
            </w:r>
          </w:p>
        </w:tc>
      </w:tr>
      <w:tr>
        <w:tc>
          <w:tcPr>
            <w:tcW w:type="dxa" w:w="1872"/>
            <w:shd w:fill="FFFFFF"/>
            <w:tcMar>
              <w:top w:w="85" w:type="dxa"/>
              <w:bottom w:w="85" w:type="dxa"/>
              <w:left w:w="120" w:type="dxa"/>
              <w:right w:w="120" w:type="dxa"/>
            </w:tcMar>
          </w:tcPr>
          <w:p>
            <w:pPr>
              <w:spacing w:before="0" w:after="0"/>
            </w:pPr>
            <w:r>
              <w:rPr>
                <w:rFonts w:ascii="Calibri" w:hAnsi="Calibri"/>
                <w:color w:val="2D3237"/>
                <w:sz w:val="16"/>
              </w:rPr>
              <w:t>Level 3: Confidential</w:t>
            </w:r>
          </w:p>
        </w:tc>
        <w:tc>
          <w:tcPr>
            <w:tcW w:type="dxa" w:w="2304"/>
            <w:shd w:fill="FFFFFF"/>
            <w:tcMar>
              <w:top w:w="85" w:type="dxa"/>
              <w:bottom w:w="85" w:type="dxa"/>
              <w:left w:w="120" w:type="dxa"/>
              <w:right w:w="120" w:type="dxa"/>
            </w:tcMar>
          </w:tcPr>
          <w:p>
            <w:pPr>
              <w:spacing w:before="0" w:after="0"/>
            </w:pPr>
            <w:r>
              <w:rPr>
                <w:rFonts w:ascii="Calibri" w:hAnsi="Calibri"/>
                <w:color w:val="2D3237"/>
                <w:sz w:val="16"/>
              </w:rPr>
              <w:t>Non-Adequate Jurisdictions</w:t>
            </w:r>
          </w:p>
        </w:tc>
        <w:tc>
          <w:tcPr>
            <w:tcW w:type="dxa" w:w="3024"/>
            <w:shd w:fill="FFFFFF"/>
            <w:tcMar>
              <w:top w:w="85" w:type="dxa"/>
              <w:bottom w:w="85" w:type="dxa"/>
              <w:left w:w="120" w:type="dxa"/>
              <w:right w:w="120" w:type="dxa"/>
            </w:tcMar>
          </w:tcPr>
          <w:p>
            <w:pPr>
              <w:spacing w:before="0" w:after="0"/>
            </w:pPr>
            <w:r>
              <w:rPr>
                <w:rFonts w:ascii="Calibri" w:hAnsi="Calibri"/>
                <w:color w:val="2D3237"/>
                <w:sz w:val="16"/>
              </w:rPr>
              <w:t>Mandatory field-level pseudonymization, CMEK, DTIA.</w:t>
            </w:r>
          </w:p>
        </w:tc>
        <w:tc>
          <w:tcPr>
            <w:tcW w:type="dxa" w:w="1829"/>
            <w:shd w:fill="FFFFFF"/>
            <w:tcMar>
              <w:top w:w="85" w:type="dxa"/>
              <w:bottom w:w="85" w:type="dxa"/>
              <w:left w:w="120" w:type="dxa"/>
              <w:right w:w="120" w:type="dxa"/>
            </w:tcMar>
          </w:tcPr>
          <w:p>
            <w:pPr>
              <w:spacing w:before="0" w:after="0"/>
            </w:pPr>
            <w:r>
              <w:rPr>
                <w:rFonts w:ascii="Calibri" w:hAnsi="Calibri"/>
                <w:color w:val="2D3237"/>
                <w:sz w:val="16"/>
              </w:rPr>
              <w:t>Group General Counsel Approval.</w:t>
            </w:r>
          </w:p>
        </w:tc>
      </w:tr>
      <w:tr>
        <w:tc>
          <w:tcPr>
            <w:tcW w:type="dxa" w:w="1872"/>
            <w:shd w:fill="F7F9FB"/>
            <w:tcMar>
              <w:top w:w="85" w:type="dxa"/>
              <w:bottom w:w="85" w:type="dxa"/>
              <w:left w:w="120" w:type="dxa"/>
              <w:right w:w="120" w:type="dxa"/>
            </w:tcMar>
          </w:tcPr>
          <w:p>
            <w:pPr>
              <w:spacing w:before="0" w:after="0"/>
            </w:pPr>
            <w:r>
              <w:rPr>
                <w:rFonts w:ascii="Calibri" w:hAnsi="Calibri"/>
                <w:color w:val="2D3237"/>
                <w:sz w:val="16"/>
              </w:rPr>
              <w:t>Level 4: Sovereign</w:t>
            </w:r>
          </w:p>
        </w:tc>
        <w:tc>
          <w:tcPr>
            <w:tcW w:type="dxa" w:w="2304"/>
            <w:shd w:fill="F7F9FB"/>
            <w:tcMar>
              <w:top w:w="85" w:type="dxa"/>
              <w:bottom w:w="85" w:type="dxa"/>
              <w:left w:w="120" w:type="dxa"/>
              <w:right w:w="120" w:type="dxa"/>
            </w:tcMar>
          </w:tcPr>
          <w:p>
            <w:pPr>
              <w:spacing w:before="0" w:after="0"/>
            </w:pPr>
            <w:r>
              <w:rPr>
                <w:rFonts w:ascii="Calibri" w:hAnsi="Calibri"/>
                <w:color w:val="2D3237"/>
                <w:sz w:val="16"/>
              </w:rPr>
              <w:t>Any International Destination</w:t>
            </w:r>
          </w:p>
        </w:tc>
        <w:tc>
          <w:tcPr>
            <w:tcW w:type="dxa" w:w="3024"/>
            <w:shd w:fill="F7F9FB"/>
            <w:tcMar>
              <w:top w:w="85" w:type="dxa"/>
              <w:bottom w:w="85" w:type="dxa"/>
              <w:left w:w="120" w:type="dxa"/>
              <w:right w:w="120" w:type="dxa"/>
            </w:tcMar>
          </w:tcPr>
          <w:p>
            <w:pPr>
              <w:spacing w:before="0" w:after="0"/>
            </w:pPr>
            <w:r>
              <w:rPr>
                <w:rFonts w:ascii="Calibri" w:hAnsi="Calibri"/>
                <w:color w:val="2D3237"/>
                <w:sz w:val="16"/>
              </w:rPr>
              <w:t>HARD RESTRICTION: Cross-border transfer is strictly prohibited.</w:t>
            </w:r>
          </w:p>
        </w:tc>
        <w:tc>
          <w:tcPr>
            <w:tcW w:type="dxa" w:w="1829"/>
            <w:shd w:fill="F7F9FB"/>
            <w:tcMar>
              <w:top w:w="85" w:type="dxa"/>
              <w:bottom w:w="85" w:type="dxa"/>
              <w:left w:w="120" w:type="dxa"/>
              <w:right w:w="120" w:type="dxa"/>
            </w:tcMar>
          </w:tcPr>
          <w:p>
            <w:pPr>
              <w:spacing w:before="0" w:after="0"/>
            </w:pPr>
            <w:r>
              <w:rPr>
                <w:rFonts w:ascii="Calibri" w:hAnsi="Calibri"/>
                <w:color w:val="2D3237"/>
                <w:sz w:val="16"/>
              </w:rPr>
              <w:t>NO WAIVERS PERMITTED.</w:t>
            </w:r>
          </w:p>
        </w:tc>
      </w:tr>
    </w:tbl>
    <w:p>
      <w:pPr>
        <w:spacing w:before="0" w:after="80"/>
      </w:pPr>
    </w:p>
    <w:p>
      <w:r>
        <w:br w:type="page"/>
      </w:r>
    </w:p>
    <w:p>
      <w:pPr>
        <w:keepNext/>
        <w:spacing w:before="360" w:after="120"/>
      </w:pPr>
      <w:r>
        <w:rPr>
          <w:rFonts w:ascii="Calibri" w:hAnsi="Calibri"/>
          <w:b/>
          <w:color w:val="0B2545"/>
          <w:sz w:val="29"/>
        </w:rPr>
        <w:t>SECTION 7: CRYPTOGRAPHIC ARCHITECTURE, CMEK &amp; HSM CUSTODY</w:t>
      </w:r>
    </w:p>
    <w:p>
      <w:pPr>
        <w:keepNext/>
        <w:spacing w:before="260" w:after="80"/>
      </w:pPr>
      <w:r>
        <w:rPr>
          <w:rFonts w:ascii="Calibri" w:hAnsi="Calibri"/>
          <w:b/>
          <w:color w:val="136F63"/>
          <w:sz w:val="23"/>
        </w:rPr>
        <w:t>7.1 Enterprise Cryptographic Standards Baseline</w:t>
      </w:r>
    </w:p>
    <w:p>
      <w:pPr>
        <w:spacing w:before="0" w:after="100" w:line="276" w:lineRule="auto"/>
      </w:pPr>
      <w:r>
        <w:rPr>
          <w:rFonts w:ascii="Calibri" w:hAnsi="Calibri"/>
          <w:color w:val="2D3237"/>
          <w:sz w:val="19"/>
        </w:rPr>
        <w:t>Clause 7.1.1 — All data stored, processed, or transmitted across G42 infrastructure must be protected by robust, FIPS-approved cryptographic ciphers. Deprecated algorithms (including DES, 3DES, RC4, MD5, SHA-1, and RSA keys &lt; 2048 bits) are permanently banned.</w:t>
      </w:r>
    </w:p>
    <w:p>
      <w:pPr>
        <w:pStyle w:val="ListBullet"/>
        <w:spacing w:before="0" w:after="50" w:line="276" w:lineRule="auto"/>
      </w:pPr>
      <w:r>
        <w:rPr>
          <w:rFonts w:ascii="Calibri" w:hAnsi="Calibri"/>
          <w:b/>
          <w:color w:val="2D3237"/>
          <w:sz w:val="19"/>
        </w:rPr>
        <w:t xml:space="preserve">Encryption at Rest: </w:t>
      </w:r>
      <w:r>
        <w:rPr>
          <w:rFonts w:ascii="Calibri" w:hAnsi="Calibri"/>
          <w:color w:val="2D3237"/>
          <w:sz w:val="19"/>
        </w:rPr>
        <w:t>AES-256 in Galois/Counter Mode (GCM) or XTS mode with unique per-volume Data Encryption Keys (DEKs).</w:t>
      </w:r>
    </w:p>
    <w:p>
      <w:pPr>
        <w:pStyle w:val="ListBullet"/>
        <w:spacing w:before="0" w:after="50" w:line="276" w:lineRule="auto"/>
      </w:pPr>
      <w:r>
        <w:rPr>
          <w:rFonts w:ascii="Calibri" w:hAnsi="Calibri"/>
          <w:b/>
          <w:color w:val="2D3237"/>
          <w:sz w:val="19"/>
        </w:rPr>
        <w:t xml:space="preserve">Encryption in Transit: </w:t>
      </w:r>
      <w:r>
        <w:rPr>
          <w:rFonts w:ascii="Calibri" w:hAnsi="Calibri"/>
          <w:color w:val="2D3237"/>
          <w:sz w:val="19"/>
        </w:rPr>
        <w:t>TLS 1.3 exclusively with strong cipher suites (ECDHE-ECDSA-AES256-GCM-SHA384 or ChaCha20-Poly1305).</w:t>
      </w:r>
    </w:p>
    <w:p>
      <w:pPr>
        <w:pStyle w:val="ListBullet"/>
        <w:spacing w:before="0" w:after="50" w:line="276" w:lineRule="auto"/>
      </w:pPr>
      <w:r>
        <w:rPr>
          <w:rFonts w:ascii="Calibri" w:hAnsi="Calibri"/>
          <w:b/>
          <w:color w:val="2D3237"/>
          <w:sz w:val="19"/>
        </w:rPr>
        <w:t xml:space="preserve">Encryption in Use: </w:t>
      </w:r>
      <w:r>
        <w:rPr>
          <w:rFonts w:ascii="Calibri" w:hAnsi="Calibri"/>
          <w:color w:val="2D3237"/>
          <w:sz w:val="19"/>
        </w:rPr>
        <w:t>Secure multi-party computation (SMPC) or trusted execution environments (TEE / Intel SGX / AMD SEV) for sensitive compute.</w:t>
      </w:r>
    </w:p>
    <w:p>
      <w:pPr>
        <w:keepNext/>
        <w:spacing w:before="260" w:after="80"/>
      </w:pPr>
      <w:r>
        <w:rPr>
          <w:rFonts w:ascii="Calibri" w:hAnsi="Calibri"/>
          <w:b/>
          <w:color w:val="136F63"/>
          <w:sz w:val="23"/>
        </w:rPr>
        <w:t>7.2 Customer-Managed Encryption Keys (CMEK) Architecture</w:t>
      </w:r>
    </w:p>
    <w:p>
      <w:pPr>
        <w:spacing w:before="0" w:after="100" w:line="276" w:lineRule="auto"/>
      </w:pPr>
      <w:r>
        <w:rPr>
          <w:rFonts w:ascii="Calibri" w:hAnsi="Calibri"/>
          <w:color w:val="2D3237"/>
          <w:sz w:val="19"/>
        </w:rPr>
        <w:t>Clause 7.2.1 — All Level 3 and Level 4 data hosted in commercial or sovereign cloud environments must enforce Customer-Managed Encryption Keys (CMEK). Master Key Encryption Keys (KEKs) must be generated and stored exclusively within G42-owned Hardware Security Modules (HSMs). Cloud service providers must never possess access to unencrypted master keys.</w:t>
      </w:r>
    </w:p>
    <w:p>
      <w:pPr>
        <w:keepNext/>
        <w:spacing w:before="180" w:after="40"/>
      </w:pPr>
      <w:r>
        <w:rPr>
          <w:rFonts w:ascii="Calibri" w:hAnsi="Calibri"/>
          <w:b/>
          <w:color w:val="0B2545"/>
          <w:sz w:val="20"/>
        </w:rPr>
        <w:t>7.3 Hardware Security Module (HSM) Custody Standards</w:t>
      </w:r>
    </w:p>
    <w:p>
      <w:pPr>
        <w:spacing w:before="0" w:after="100" w:line="276" w:lineRule="auto"/>
      </w:pPr>
      <w:r>
        <w:rPr>
          <w:rFonts w:ascii="Calibri" w:hAnsi="Calibri"/>
          <w:color w:val="2D3237"/>
          <w:sz w:val="19"/>
        </w:rPr>
        <w:t>Clause 7.3.1 — HSM appliances must be certified to FIPS 140-2/3 Level 3 standards. Key generation, backup, and recovery ceremonies require M-of-N multi-party quorum authorization (minimum 3 of 5 authorized key custodians present).</w:t>
      </w:r>
    </w:p>
    <w:p>
      <w:r>
        <w:br w:type="page"/>
      </w:r>
    </w:p>
    <w:p>
      <w:pPr>
        <w:keepNext/>
        <w:spacing w:before="360" w:after="120"/>
      </w:pPr>
      <w:r>
        <w:rPr>
          <w:rFonts w:ascii="Calibri" w:hAnsi="Calibri"/>
          <w:b/>
          <w:color w:val="0B2545"/>
          <w:sz w:val="29"/>
        </w:rPr>
        <w:t>SECTION 8: KEY LIFECYCLE MANAGEMENT &amp; POST-QUANTUM READINESS</w:t>
      </w:r>
    </w:p>
    <w:p>
      <w:pPr>
        <w:keepNext/>
        <w:spacing w:before="260" w:after="80"/>
      </w:pPr>
      <w:r>
        <w:rPr>
          <w:rFonts w:ascii="Calibri" w:hAnsi="Calibri"/>
          <w:b/>
          <w:color w:val="136F63"/>
          <w:sz w:val="23"/>
        </w:rPr>
        <w:t>8.1 Cryptographic Key Lifecycle Standards</w:t>
      </w:r>
    </w:p>
    <w:p>
      <w:pPr>
        <w:spacing w:before="0" w:after="100" w:line="276" w:lineRule="auto"/>
      </w:pPr>
      <w:r>
        <w:rPr>
          <w:rFonts w:ascii="Calibri" w:hAnsi="Calibri"/>
          <w:color w:val="2D3237"/>
          <w:sz w:val="19"/>
        </w:rPr>
        <w:t>Clause 8.1.1 — Cryptographic keys must be managed through automated, audited lifecycles across four discrete operational stages:</w:t>
      </w:r>
    </w:p>
    <w:p>
      <w:pPr>
        <w:pStyle w:val="ListBullet"/>
        <w:spacing w:before="0" w:after="50" w:line="276" w:lineRule="auto"/>
      </w:pPr>
      <w:r>
        <w:rPr>
          <w:rFonts w:ascii="Calibri" w:hAnsi="Calibri"/>
          <w:b/>
          <w:color w:val="2D3237"/>
          <w:sz w:val="19"/>
        </w:rPr>
        <w:t xml:space="preserve">Key Generation: </w:t>
      </w:r>
      <w:r>
        <w:rPr>
          <w:rFonts w:ascii="Calibri" w:hAnsi="Calibri"/>
          <w:color w:val="2D3237"/>
          <w:sz w:val="19"/>
        </w:rPr>
        <w:t>Keys generated inside FIPS 140-3 HSMs utilizing true hardware random number generators (TRNG).</w:t>
      </w:r>
    </w:p>
    <w:p>
      <w:pPr>
        <w:pStyle w:val="ListBullet"/>
        <w:spacing w:before="0" w:after="50" w:line="276" w:lineRule="auto"/>
      </w:pPr>
      <w:r>
        <w:rPr>
          <w:rFonts w:ascii="Calibri" w:hAnsi="Calibri"/>
          <w:b/>
          <w:color w:val="2D3237"/>
          <w:sz w:val="19"/>
        </w:rPr>
        <w:t xml:space="preserve">Key Rotation: </w:t>
      </w:r>
      <w:r>
        <w:rPr>
          <w:rFonts w:ascii="Calibri" w:hAnsi="Calibri"/>
          <w:color w:val="2D3237"/>
          <w:sz w:val="19"/>
        </w:rPr>
        <w:t>Data Encryption Keys (DEKs) rotate automatically every 90 days; Master Key Encryption Keys (KEKs) rotate annually.</w:t>
      </w:r>
    </w:p>
    <w:p>
      <w:pPr>
        <w:pStyle w:val="ListBullet"/>
        <w:spacing w:before="0" w:after="50" w:line="276" w:lineRule="auto"/>
      </w:pPr>
      <w:r>
        <w:rPr>
          <w:rFonts w:ascii="Calibri" w:hAnsi="Calibri"/>
          <w:b/>
          <w:color w:val="2D3237"/>
          <w:sz w:val="19"/>
        </w:rPr>
        <w:t xml:space="preserve">Key Revocation &amp; Breach SLA: </w:t>
      </w:r>
      <w:r>
        <w:rPr>
          <w:rFonts w:ascii="Calibri" w:hAnsi="Calibri"/>
          <w:color w:val="2D3237"/>
          <w:sz w:val="19"/>
        </w:rPr>
        <w:t>Automated emergency re-keying playbooks must re-encrypt compromised data stores within 4 hours of confirmed breach.</w:t>
      </w:r>
    </w:p>
    <w:p>
      <w:pPr>
        <w:pStyle w:val="ListBullet"/>
        <w:spacing w:before="0" w:after="50" w:line="276" w:lineRule="auto"/>
      </w:pPr>
      <w:r>
        <w:rPr>
          <w:rFonts w:ascii="Calibri" w:hAnsi="Calibri"/>
          <w:b/>
          <w:color w:val="2D3237"/>
          <w:sz w:val="19"/>
        </w:rPr>
        <w:t xml:space="preserve">Key Destruction: </w:t>
      </w:r>
      <w:r>
        <w:rPr>
          <w:rFonts w:ascii="Calibri" w:hAnsi="Calibri"/>
          <w:color w:val="2D3237"/>
          <w:sz w:val="19"/>
        </w:rPr>
        <w:t>Retired key material must be cryptographically shredded using zeroization procedures preventing key recovery.</w:t>
      </w:r>
    </w:p>
    <w:p>
      <w:pPr>
        <w:keepNext/>
        <w:spacing w:before="260" w:after="80"/>
      </w:pPr>
      <w:r>
        <w:rPr>
          <w:rFonts w:ascii="Calibri" w:hAnsi="Calibri"/>
          <w:b/>
          <w:color w:val="136F63"/>
          <w:sz w:val="23"/>
        </w:rPr>
        <w:t>8.2 Post-Quantum Cryptography (PQC) Transition Roadmap</w:t>
      </w:r>
    </w:p>
    <w:p>
      <w:pPr>
        <w:spacing w:before="0" w:after="100" w:line="276" w:lineRule="auto"/>
      </w:pPr>
      <w:r>
        <w:rPr>
          <w:rFonts w:ascii="Calibri" w:hAnsi="Calibri"/>
          <w:color w:val="2D3237"/>
          <w:sz w:val="19"/>
        </w:rPr>
        <w:t>Clause 8.2.1 — To defend against quantum computing decryption threats ('Harvest Now, Decrypt Later'), G42 mandates the implementation of NIST-standardized Post-Quantum Cryptographic algorithms across foundational systems:</w:t>
      </w:r>
    </w:p>
    <w:p>
      <w:pPr>
        <w:pStyle w:val="ListBullet"/>
        <w:spacing w:before="0" w:after="50" w:line="276" w:lineRule="auto"/>
      </w:pPr>
      <w:r>
        <w:rPr>
          <w:rFonts w:ascii="Calibri" w:hAnsi="Calibri"/>
          <w:b/>
          <w:color w:val="2D3237"/>
          <w:sz w:val="19"/>
        </w:rPr>
        <w:t xml:space="preserve">Post-Quantum Key Encapsulation: </w:t>
      </w:r>
      <w:r>
        <w:rPr>
          <w:rFonts w:ascii="Calibri" w:hAnsi="Calibri"/>
          <w:color w:val="2D3237"/>
          <w:sz w:val="19"/>
        </w:rPr>
        <w:t>Implementation of FIPS 203 ML-KEM (Kyber) for post-quantum key encapsulation in TLS handshakes.</w:t>
      </w:r>
    </w:p>
    <w:p>
      <w:pPr>
        <w:pStyle w:val="ListBullet"/>
        <w:spacing w:before="0" w:after="50" w:line="276" w:lineRule="auto"/>
      </w:pPr>
      <w:r>
        <w:rPr>
          <w:rFonts w:ascii="Calibri" w:hAnsi="Calibri"/>
          <w:b/>
          <w:color w:val="2D3237"/>
          <w:sz w:val="19"/>
        </w:rPr>
        <w:t xml:space="preserve">Post-Quantum Digital Signatures: </w:t>
      </w:r>
      <w:r>
        <w:rPr>
          <w:rFonts w:ascii="Calibri" w:hAnsi="Calibri"/>
          <w:color w:val="2D3237"/>
          <w:sz w:val="19"/>
        </w:rPr>
        <w:t>Implementation of FIPS 204 ML-DSA (Dilithium) for digital signing of software binaries and model weights.</w:t>
      </w:r>
    </w:p>
    <w:p>
      <w:pPr>
        <w:pStyle w:val="ListBullet"/>
        <w:spacing w:before="0" w:after="50" w:line="276" w:lineRule="auto"/>
      </w:pPr>
      <w:r>
        <w:rPr>
          <w:rFonts w:ascii="Calibri" w:hAnsi="Calibri"/>
          <w:b/>
          <w:color w:val="2D3237"/>
          <w:sz w:val="19"/>
        </w:rPr>
        <w:t xml:space="preserve">Hybrid PQC Sovereign Archival: </w:t>
      </w:r>
      <w:r>
        <w:rPr>
          <w:rFonts w:ascii="Calibri" w:hAnsi="Calibri"/>
          <w:color w:val="2D3237"/>
          <w:sz w:val="19"/>
        </w:rPr>
        <w:t>All Level 4 sovereign archival storage with retention horizons exceeding 10 years must be encrypted using hybrid classical/post-quantum ciphers by Q4 2026.</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[CRYPTOGRAPHIC EMERGENCY SLA]</w:t>
              <w:br/>
            </w:r>
            <w:r>
              <w:rPr>
                <w:rFonts w:ascii="Calibri" w:hAnsi="Calibri"/>
                <w:color w:val="2D3237"/>
                <w:sz w:val="19"/>
              </w:rPr>
              <w:t>EMERGENCY RE-KEYING DIRECTIVE (CLAUSE 8.1.2): In the event of suspected HSM master key compromise, the Cloud Cryptography Lead is authorized to trigger automated emergency key revocation, re-encrypting all Level 3 and Level 4 storage volumes within 4 hours.</w:t>
            </w:r>
          </w:p>
        </w:tc>
      </w:tr>
    </w:tbl>
    <w:p>
      <w:pPr>
        <w:spacing w:before="0" w:after="80"/>
      </w:pPr>
    </w:p>
    <w:p>
      <w:r>
        <w:br w:type="page"/>
      </w:r>
    </w:p>
    <w:p>
      <w:pPr>
        <w:keepNext/>
        <w:spacing w:before="360" w:after="120"/>
      </w:pPr>
      <w:r>
        <w:rPr>
          <w:rFonts w:ascii="Calibri" w:hAnsi="Calibri"/>
          <w:b/>
          <w:color w:val="0B2545"/>
          <w:sz w:val="29"/>
        </w:rPr>
        <w:t>SECTION 9: AUTONOMOUS AGENT DATA CUSTODY (SAGE AGENT)</w:t>
      </w:r>
    </w:p>
    <w:p>
      <w:pPr>
        <w:keepNext/>
        <w:spacing w:before="260" w:after="80"/>
      </w:pPr>
      <w:r>
        <w:rPr>
          <w:rFonts w:ascii="Calibri" w:hAnsi="Calibri"/>
          <w:b/>
          <w:color w:val="136F63"/>
          <w:sz w:val="23"/>
        </w:rPr>
        <w:t>9.1 Machine Identity &amp; Access Scoping for Autonomous Agents</w:t>
      </w:r>
    </w:p>
    <w:p>
      <w:pPr>
        <w:spacing w:before="0" w:after="100" w:line="276" w:lineRule="auto"/>
      </w:pPr>
      <w:r>
        <w:rPr>
          <w:rFonts w:ascii="Calibri" w:hAnsi="Calibri"/>
          <w:color w:val="2D3237"/>
          <w:sz w:val="19"/>
        </w:rPr>
        <w:t>Clause 9.1.1 — Autonomous cognitive systems—specifically including Sage Agent and multi-agent RAG pipelines—are classified as Synthetic Enterprise Actors. Agents must operate under dedicated Service Principal Names (SPN) and Machine Identity Certificates (MIC) registered in the enterprise directory.</w:t>
      </w:r>
    </w:p>
    <w:p>
      <w:pPr>
        <w:keepNext/>
        <w:spacing w:before="260" w:after="80"/>
      </w:pPr>
      <w:r>
        <w:rPr>
          <w:rFonts w:ascii="Calibri" w:hAnsi="Calibri"/>
          <w:b/>
          <w:color w:val="136F63"/>
          <w:sz w:val="23"/>
        </w:rPr>
        <w:t>9.2 Cross-OpCo Isolation &amp; Memory Sandboxing</w:t>
      </w:r>
    </w:p>
    <w:p>
      <w:pPr>
        <w:spacing w:before="0" w:after="100" w:line="276" w:lineRule="auto"/>
      </w:pPr>
      <w:r>
        <w:rPr>
          <w:rFonts w:ascii="Calibri" w:hAnsi="Calibri"/>
          <w:color w:val="2D3237"/>
          <w:sz w:val="19"/>
        </w:rPr>
        <w:t>Clause 9.2.1 — Sage Agent and all autonomous reasoning workflows must strictly adhere to the Cross-OpCo Memory Isolation Standard:</w:t>
      </w:r>
    </w:p>
    <w:p>
      <w:pPr>
        <w:pStyle w:val="ListBullet"/>
        <w:spacing w:before="0" w:after="50" w:line="276" w:lineRule="auto"/>
      </w:pPr>
      <w:r>
        <w:rPr>
          <w:rFonts w:ascii="Calibri" w:hAnsi="Calibri"/>
          <w:b/>
          <w:color w:val="2D3237"/>
          <w:sz w:val="19"/>
        </w:rPr>
        <w:t xml:space="preserve">Strict Tenant Isolation: </w:t>
      </w:r>
      <w:r>
        <w:rPr>
          <w:rFonts w:ascii="Calibri" w:hAnsi="Calibri"/>
          <w:color w:val="2D3237"/>
          <w:sz w:val="19"/>
        </w:rPr>
        <w:t>Sage Agent is strictly prohibited from accessing another Operating Company's confidential corpus. A user from Core42 querying Sage Agent can never retrieve Inception or Presight documents.</w:t>
      </w:r>
    </w:p>
    <w:p>
      <w:pPr>
        <w:pStyle w:val="ListBullet"/>
        <w:spacing w:before="0" w:after="50" w:line="276" w:lineRule="auto"/>
      </w:pPr>
      <w:r>
        <w:rPr>
          <w:rFonts w:ascii="Calibri" w:hAnsi="Calibri"/>
          <w:b/>
          <w:color w:val="2D3237"/>
          <w:sz w:val="19"/>
        </w:rPr>
        <w:t xml:space="preserve">Session Memory Scoping: </w:t>
      </w:r>
      <w:r>
        <w:rPr>
          <w:rFonts w:ascii="Calibri" w:hAnsi="Calibri"/>
          <w:color w:val="2D3237"/>
          <w:sz w:val="19"/>
        </w:rPr>
        <w:t>Conversation memory, contextual buffers, and dynamic vector lookups are strictly bound to the authenticated user's session and OpCo identity.</w:t>
      </w:r>
    </w:p>
    <w:p>
      <w:pPr>
        <w:pStyle w:val="ListBullet"/>
        <w:spacing w:before="0" w:after="50" w:line="276" w:lineRule="auto"/>
      </w:pPr>
      <w:r>
        <w:rPr>
          <w:rFonts w:ascii="Calibri" w:hAnsi="Calibri"/>
          <w:b/>
          <w:color w:val="2D3237"/>
          <w:sz w:val="19"/>
        </w:rPr>
        <w:t xml:space="preserve">Automated Memory Purge: </w:t>
      </w:r>
      <w:r>
        <w:rPr>
          <w:rFonts w:ascii="Calibri" w:hAnsi="Calibri"/>
          <w:color w:val="2D3237"/>
          <w:sz w:val="19"/>
        </w:rPr>
        <w:t>Upon session termination or user logout, ephemeral conversational memory buffers must be cryptographically purged within 30 seconds.</w:t>
      </w:r>
    </w:p>
    <w:p>
      <w:pPr>
        <w:keepNext/>
        <w:spacing w:before="180" w:after="40"/>
      </w:pPr>
      <w:r>
        <w:rPr>
          <w:rFonts w:ascii="Calibri" w:hAnsi="Calibri"/>
          <w:b/>
          <w:color w:val="0B2545"/>
          <w:sz w:val="20"/>
        </w:rPr>
        <w:t>9.3 Ephemeral Credentialing &amp; Tool Execution Boundaries</w:t>
      </w:r>
    </w:p>
    <w:p>
      <w:pPr>
        <w:spacing w:before="0" w:after="100" w:line="276" w:lineRule="auto"/>
      </w:pPr>
      <w:r>
        <w:rPr>
          <w:rFonts w:ascii="Calibri" w:hAnsi="Calibri"/>
          <w:color w:val="2D3237"/>
          <w:sz w:val="19"/>
        </w:rPr>
        <w:t>Clause 9.3.1 — All API keys, database tokens, and service credentials issued to Sage Agent must be dynamically generated via HashiCorp Vault with an absolute Time-To-Live (TTL) of 3,600 seconds (1 hour). Static secrets in agent prompts are strictly banned.</w:t>
      </w:r>
    </w:p>
    <w:p>
      <w:r>
        <w:br w:type="page"/>
      </w:r>
    </w:p>
    <w:p>
      <w:pPr>
        <w:keepNext/>
        <w:spacing w:before="360" w:after="120"/>
      </w:pPr>
      <w:r>
        <w:rPr>
          <w:rFonts w:ascii="Calibri" w:hAnsi="Calibri"/>
          <w:b/>
          <w:color w:val="0B2545"/>
          <w:sz w:val="29"/>
        </w:rPr>
        <w:t>SECTION 10: DATA RETENTION, ARCHIVAL &amp; DESTRUCTION LIFECYCLE</w:t>
      </w:r>
    </w:p>
    <w:p>
      <w:pPr>
        <w:keepNext/>
        <w:spacing w:before="260" w:after="80"/>
      </w:pPr>
      <w:r>
        <w:rPr>
          <w:rFonts w:ascii="Calibri" w:hAnsi="Calibri"/>
          <w:b/>
          <w:color w:val="136F63"/>
          <w:sz w:val="23"/>
        </w:rPr>
        <w:t>10.1 Statutory Data Retention Schedules</w:t>
      </w:r>
    </w:p>
    <w:p>
      <w:pPr>
        <w:spacing w:before="0" w:after="100" w:line="276" w:lineRule="auto"/>
      </w:pPr>
      <w:r>
        <w:rPr>
          <w:rFonts w:ascii="Calibri" w:hAnsi="Calibri"/>
          <w:color w:val="2D3237"/>
          <w:sz w:val="19"/>
        </w:rPr>
        <w:t>Clause 10.1.1 — All enterprise data assets must be retained in accordance with statutory mandates, business necessity, and statutory limitation periods, after which they must be securely purged:</w:t>
      </w:r>
    </w:p>
    <w:tbl>
      <w:tblPr>
        <w:tblW w:type="auto" w:w="0"/>
        <w:jc w:val="center"/>
        <w:tblLayout w:type="fixed"/>
        <w:tblLook w:firstColumn="1" w:firstRow="1" w:lastColumn="0" w:lastRow="0" w:noHBand="0" w:noVBand="1" w:val="04A0"/>
      </w:tblPr>
      <w:tblGrid>
        <w:gridCol w:w="2160"/>
        <w:gridCol w:w="2592"/>
        <w:gridCol w:w="2016"/>
        <w:gridCol w:w="2261"/>
      </w:tblGrid>
      <w:tr>
        <w:tc>
          <w:tcPr>
            <w:tcW w:type="dxa" w:w="2160"/>
            <w:shd w:fill="0B2545"/>
            <w:tcMar>
              <w:top w:w="110" w:type="dxa"/>
              <w:bottom w:w="110" w:type="dxa"/>
              <w:left w:w="120" w:type="dxa"/>
              <w:right w:w="120" w:type="dxa"/>
            </w:tcMar>
          </w:tcPr>
          <w:p>
            <w:pPr>
              <w:spacing w:before="0" w:after="0"/>
              <w:jc w:val="left"/>
            </w:pPr>
            <w:r>
              <w:rPr>
                <w:rFonts w:ascii="Calibri" w:hAnsi="Calibri"/>
                <w:b/>
                <w:color w:val="FFFFFF"/>
                <w:sz w:val="17"/>
              </w:rPr>
              <w:t>Data Category</w:t>
            </w:r>
          </w:p>
        </w:tc>
        <w:tc>
          <w:tcPr>
            <w:tcW w:type="dxa" w:w="2592"/>
            <w:shd w:fill="0B2545"/>
            <w:tcMar>
              <w:top w:w="110" w:type="dxa"/>
              <w:bottom w:w="110" w:type="dxa"/>
              <w:left w:w="120" w:type="dxa"/>
              <w:right w:w="120" w:type="dxa"/>
            </w:tcMar>
          </w:tcPr>
          <w:p>
            <w:pPr>
              <w:spacing w:before="0" w:after="0"/>
              <w:jc w:val="left"/>
            </w:pPr>
            <w:r>
              <w:rPr>
                <w:rFonts w:ascii="Calibri" w:hAnsi="Calibri"/>
                <w:b/>
                <w:color w:val="FFFFFF"/>
                <w:sz w:val="17"/>
              </w:rPr>
              <w:t>Statutory Baseline</w:t>
            </w:r>
          </w:p>
        </w:tc>
        <w:tc>
          <w:tcPr>
            <w:tcW w:type="dxa" w:w="2016"/>
            <w:shd w:fill="0B2545"/>
            <w:tcMar>
              <w:top w:w="110" w:type="dxa"/>
              <w:bottom w:w="110" w:type="dxa"/>
              <w:left w:w="120" w:type="dxa"/>
              <w:right w:w="120" w:type="dxa"/>
            </w:tcMar>
          </w:tcPr>
          <w:p>
            <w:pPr>
              <w:spacing w:before="0" w:after="0"/>
              <w:jc w:val="left"/>
            </w:pPr>
            <w:r>
              <w:rPr>
                <w:rFonts w:ascii="Calibri" w:hAnsi="Calibri"/>
                <w:b/>
                <w:color w:val="FFFFFF"/>
                <w:sz w:val="17"/>
              </w:rPr>
              <w:t>Retention Period</w:t>
            </w:r>
          </w:p>
        </w:tc>
        <w:tc>
          <w:tcPr>
            <w:tcW w:type="dxa" w:w="2261"/>
            <w:shd w:fill="0B2545"/>
            <w:tcMar>
              <w:top w:w="110" w:type="dxa"/>
              <w:bottom w:w="110" w:type="dxa"/>
              <w:left w:w="120" w:type="dxa"/>
              <w:right w:w="120" w:type="dxa"/>
            </w:tcMar>
          </w:tcPr>
          <w:p>
            <w:pPr>
              <w:spacing w:before="0" w:after="0"/>
              <w:jc w:val="left"/>
            </w:pPr>
            <w:r>
              <w:rPr>
                <w:rFonts w:ascii="Calibri" w:hAnsi="Calibri"/>
                <w:b/>
                <w:color w:val="FFFFFF"/>
                <w:sz w:val="17"/>
              </w:rPr>
              <w:t>Disposal Protocol</w:t>
            </w:r>
          </w:p>
        </w:tc>
      </w:tr>
      <w:tr>
        <w:tc>
          <w:tcPr>
            <w:tcW w:type="dxa" w:w="2160"/>
            <w:shd w:fill="FFFFFF"/>
            <w:tcMar>
              <w:top w:w="85" w:type="dxa"/>
              <w:bottom w:w="85" w:type="dxa"/>
              <w:left w:w="120" w:type="dxa"/>
              <w:right w:w="120" w:type="dxa"/>
            </w:tcMar>
          </w:tcPr>
          <w:p>
            <w:pPr>
              <w:spacing w:before="0" w:after="0"/>
            </w:pPr>
            <w:r>
              <w:rPr>
                <w:rFonts w:ascii="Calibri" w:hAnsi="Calibri"/>
                <w:color w:val="2D3237"/>
                <w:sz w:val="16"/>
              </w:rPr>
              <w:t>Data Category</w:t>
            </w:r>
          </w:p>
        </w:tc>
        <w:tc>
          <w:tcPr>
            <w:tcW w:type="dxa" w:w="2592"/>
            <w:shd w:fill="FFFFFF"/>
            <w:tcMar>
              <w:top w:w="85" w:type="dxa"/>
              <w:bottom w:w="85" w:type="dxa"/>
              <w:left w:w="120" w:type="dxa"/>
              <w:right w:w="120" w:type="dxa"/>
            </w:tcMar>
          </w:tcPr>
          <w:p>
            <w:pPr>
              <w:spacing w:before="0" w:after="0"/>
            </w:pPr>
            <w:r>
              <w:rPr>
                <w:rFonts w:ascii="Calibri" w:hAnsi="Calibri"/>
                <w:color w:val="2D3237"/>
                <w:sz w:val="16"/>
              </w:rPr>
              <w:t>Statutory Framework Baseline</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Mandatory Retention Period</w:t>
            </w:r>
          </w:p>
        </w:tc>
        <w:tc>
          <w:tcPr>
            <w:tcW w:type="dxa" w:w="2261"/>
            <w:shd w:fill="FFFFFF"/>
            <w:tcMar>
              <w:top w:w="85" w:type="dxa"/>
              <w:bottom w:w="85" w:type="dxa"/>
              <w:left w:w="120" w:type="dxa"/>
              <w:right w:w="120" w:type="dxa"/>
            </w:tcMar>
          </w:tcPr>
          <w:p>
            <w:pPr>
              <w:spacing w:before="0" w:after="0"/>
            </w:pPr>
            <w:r>
              <w:rPr>
                <w:rFonts w:ascii="Calibri" w:hAnsi="Calibri"/>
                <w:color w:val="2D3237"/>
                <w:sz w:val="16"/>
              </w:rPr>
              <w:t>Authorized Disposal Method</w:t>
            </w:r>
          </w:p>
        </w:tc>
      </w:tr>
      <w:tr>
        <w:tc>
          <w:tcPr>
            <w:tcW w:type="dxa" w:w="2160"/>
            <w:shd w:fill="F7F9FB"/>
            <w:tcMar>
              <w:top w:w="85" w:type="dxa"/>
              <w:bottom w:w="85" w:type="dxa"/>
              <w:left w:w="120" w:type="dxa"/>
              <w:right w:w="120" w:type="dxa"/>
            </w:tcMar>
          </w:tcPr>
          <w:p>
            <w:pPr>
              <w:spacing w:before="0" w:after="0"/>
            </w:pPr>
            <w:r>
              <w:rPr>
                <w:rFonts w:ascii="Calibri" w:hAnsi="Calibri"/>
                <w:color w:val="2D3237"/>
                <w:sz w:val="16"/>
              </w:rPr>
              <w:t>Corporate Governance &amp; Board Minutes</w:t>
            </w:r>
          </w:p>
        </w:tc>
        <w:tc>
          <w:tcPr>
            <w:tcW w:type="dxa" w:w="2592"/>
            <w:shd w:fill="F7F9FB"/>
            <w:tcMar>
              <w:top w:w="85" w:type="dxa"/>
              <w:bottom w:w="85" w:type="dxa"/>
              <w:left w:w="120" w:type="dxa"/>
              <w:right w:w="120" w:type="dxa"/>
            </w:tcMar>
          </w:tcPr>
          <w:p>
            <w:pPr>
              <w:spacing w:before="0" w:after="0"/>
            </w:pPr>
            <w:r>
              <w:rPr>
                <w:rFonts w:ascii="Calibri" w:hAnsi="Calibri"/>
                <w:color w:val="2D3237"/>
                <w:sz w:val="16"/>
              </w:rPr>
              <w:t>UAE Commercial Companies Law</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Permanent (Indefinite WORM Archival)</w:t>
            </w:r>
          </w:p>
        </w:tc>
        <w:tc>
          <w:tcPr>
            <w:tcW w:type="dxa" w:w="2261"/>
            <w:shd w:fill="F7F9FB"/>
            <w:tcMar>
              <w:top w:w="85" w:type="dxa"/>
              <w:bottom w:w="85" w:type="dxa"/>
              <w:left w:w="120" w:type="dxa"/>
              <w:right w:w="120" w:type="dxa"/>
            </w:tcMar>
          </w:tcPr>
          <w:p>
            <w:pPr>
              <w:spacing w:before="0" w:after="0"/>
            </w:pPr>
            <w:r>
              <w:rPr>
                <w:rFonts w:ascii="Calibri" w:hAnsi="Calibri"/>
                <w:color w:val="2D3237"/>
                <w:sz w:val="16"/>
              </w:rPr>
              <w:t>Immature deletion prohibited.</w:t>
            </w:r>
          </w:p>
        </w:tc>
      </w:tr>
      <w:tr>
        <w:tc>
          <w:tcPr>
            <w:tcW w:type="dxa" w:w="2160"/>
            <w:shd w:fill="FFFFFF"/>
            <w:tcMar>
              <w:top w:w="85" w:type="dxa"/>
              <w:bottom w:w="85" w:type="dxa"/>
              <w:left w:w="120" w:type="dxa"/>
              <w:right w:w="120" w:type="dxa"/>
            </w:tcMar>
          </w:tcPr>
          <w:p>
            <w:pPr>
              <w:spacing w:before="0" w:after="0"/>
            </w:pPr>
            <w:r>
              <w:rPr>
                <w:rFonts w:ascii="Calibri" w:hAnsi="Calibri"/>
                <w:color w:val="2D3237"/>
                <w:sz w:val="16"/>
              </w:rPr>
              <w:t>Financial Records, Invoices &amp; Tax</w:t>
            </w:r>
          </w:p>
        </w:tc>
        <w:tc>
          <w:tcPr>
            <w:tcW w:type="dxa" w:w="2592"/>
            <w:shd w:fill="FFFFFF"/>
            <w:tcMar>
              <w:top w:w="85" w:type="dxa"/>
              <w:bottom w:w="85" w:type="dxa"/>
              <w:left w:w="120" w:type="dxa"/>
              <w:right w:w="120" w:type="dxa"/>
            </w:tcMar>
          </w:tcPr>
          <w:p>
            <w:pPr>
              <w:spacing w:before="0" w:after="0"/>
            </w:pPr>
            <w:r>
              <w:rPr>
                <w:rFonts w:ascii="Calibri" w:hAnsi="Calibri"/>
                <w:color w:val="2D3237"/>
                <w:sz w:val="16"/>
              </w:rPr>
              <w:t>UAE Federal Tax Authority (FTA) Law</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7 Years from Financial Year Closure</w:t>
            </w:r>
          </w:p>
        </w:tc>
        <w:tc>
          <w:tcPr>
            <w:tcW w:type="dxa" w:w="2261"/>
            <w:shd w:fill="FFFFFF"/>
            <w:tcMar>
              <w:top w:w="85" w:type="dxa"/>
              <w:bottom w:w="85" w:type="dxa"/>
              <w:left w:w="120" w:type="dxa"/>
              <w:right w:w="120" w:type="dxa"/>
            </w:tcMar>
          </w:tcPr>
          <w:p>
            <w:pPr>
              <w:spacing w:before="0" w:after="0"/>
            </w:pPr>
            <w:r>
              <w:rPr>
                <w:rFonts w:ascii="Calibri" w:hAnsi="Calibri"/>
                <w:color w:val="2D3237"/>
                <w:sz w:val="16"/>
              </w:rPr>
              <w:t>Cryptographic erasure + WORM purge.</w:t>
            </w:r>
          </w:p>
        </w:tc>
      </w:tr>
      <w:tr>
        <w:tc>
          <w:tcPr>
            <w:tcW w:type="dxa" w:w="2160"/>
            <w:shd w:fill="F7F9FB"/>
            <w:tcMar>
              <w:top w:w="85" w:type="dxa"/>
              <w:bottom w:w="85" w:type="dxa"/>
              <w:left w:w="120" w:type="dxa"/>
              <w:right w:w="120" w:type="dxa"/>
            </w:tcMar>
          </w:tcPr>
          <w:p>
            <w:pPr>
              <w:spacing w:before="0" w:after="0"/>
            </w:pPr>
            <w:r>
              <w:rPr>
                <w:rFonts w:ascii="Calibri" w:hAnsi="Calibri"/>
                <w:color w:val="2D3237"/>
                <w:sz w:val="16"/>
              </w:rPr>
              <w:t>Employee Personnel Files &amp; Contracts</w:t>
            </w:r>
          </w:p>
        </w:tc>
        <w:tc>
          <w:tcPr>
            <w:tcW w:type="dxa" w:w="2592"/>
            <w:shd w:fill="F7F9FB"/>
            <w:tcMar>
              <w:top w:w="85" w:type="dxa"/>
              <w:bottom w:w="85" w:type="dxa"/>
              <w:left w:w="120" w:type="dxa"/>
              <w:right w:w="120" w:type="dxa"/>
            </w:tcMar>
          </w:tcPr>
          <w:p>
            <w:pPr>
              <w:spacing w:before="0" w:after="0"/>
            </w:pPr>
            <w:r>
              <w:rPr>
                <w:rFonts w:ascii="Calibri" w:hAnsi="Calibri"/>
                <w:color w:val="2D3237"/>
                <w:sz w:val="16"/>
              </w:rPr>
              <w:t>UAE Federal Labor Law No. 33/2021</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5 Years following Employee Termination</w:t>
            </w:r>
          </w:p>
        </w:tc>
        <w:tc>
          <w:tcPr>
            <w:tcW w:type="dxa" w:w="2261"/>
            <w:shd w:fill="F7F9FB"/>
            <w:tcMar>
              <w:top w:w="85" w:type="dxa"/>
              <w:bottom w:w="85" w:type="dxa"/>
              <w:left w:w="120" w:type="dxa"/>
              <w:right w:w="120" w:type="dxa"/>
            </w:tcMar>
          </w:tcPr>
          <w:p>
            <w:pPr>
              <w:spacing w:before="0" w:after="0"/>
            </w:pPr>
            <w:r>
              <w:rPr>
                <w:rFonts w:ascii="Calibri" w:hAnsi="Calibri"/>
                <w:color w:val="2D3237"/>
                <w:sz w:val="16"/>
              </w:rPr>
              <w:t>NIST SP 800-88 Media Sanitization.</w:t>
            </w:r>
          </w:p>
        </w:tc>
      </w:tr>
      <w:tr>
        <w:tc>
          <w:tcPr>
            <w:tcW w:type="dxa" w:w="2160"/>
            <w:shd w:fill="FFFFFF"/>
            <w:tcMar>
              <w:top w:w="85" w:type="dxa"/>
              <w:bottom w:w="85" w:type="dxa"/>
              <w:left w:w="120" w:type="dxa"/>
              <w:right w:w="120" w:type="dxa"/>
            </w:tcMar>
          </w:tcPr>
          <w:p>
            <w:pPr>
              <w:spacing w:before="0" w:after="0"/>
            </w:pPr>
            <w:r>
              <w:rPr>
                <w:rFonts w:ascii="Calibri" w:hAnsi="Calibri"/>
                <w:color w:val="2D3237"/>
                <w:sz w:val="16"/>
              </w:rPr>
              <w:t>AI Training Corpora &amp; Model Lineage</w:t>
            </w:r>
          </w:p>
        </w:tc>
        <w:tc>
          <w:tcPr>
            <w:tcW w:type="dxa" w:w="2592"/>
            <w:shd w:fill="FFFFFF"/>
            <w:tcMar>
              <w:top w:w="85" w:type="dxa"/>
              <w:bottom w:w="85" w:type="dxa"/>
              <w:left w:w="120" w:type="dxa"/>
              <w:right w:w="120" w:type="dxa"/>
            </w:tcMar>
          </w:tcPr>
          <w:p>
            <w:pPr>
              <w:spacing w:before="0" w:after="0"/>
            </w:pPr>
            <w:r>
              <w:rPr>
                <w:rFonts w:ascii="Calibri" w:hAnsi="Calibri"/>
                <w:color w:val="2D3237"/>
                <w:sz w:val="16"/>
              </w:rPr>
              <w:t>ISO/IEC 42001 &amp; G42 AI Governance</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Lifecycle of Model + 3 Years</w:t>
            </w:r>
          </w:p>
        </w:tc>
        <w:tc>
          <w:tcPr>
            <w:tcW w:type="dxa" w:w="2261"/>
            <w:shd w:fill="FFFFFF"/>
            <w:tcMar>
              <w:top w:w="85" w:type="dxa"/>
              <w:bottom w:w="85" w:type="dxa"/>
              <w:left w:w="120" w:type="dxa"/>
              <w:right w:w="120" w:type="dxa"/>
            </w:tcMar>
          </w:tcPr>
          <w:p>
            <w:pPr>
              <w:spacing w:before="0" w:after="0"/>
            </w:pPr>
            <w:r>
              <w:rPr>
                <w:rFonts w:ascii="Calibri" w:hAnsi="Calibri"/>
                <w:color w:val="2D3237"/>
                <w:sz w:val="16"/>
              </w:rPr>
              <w:t>Secure file shredding + key zeroization.</w:t>
            </w:r>
          </w:p>
        </w:tc>
      </w:tr>
      <w:tr>
        <w:tc>
          <w:tcPr>
            <w:tcW w:type="dxa" w:w="2160"/>
            <w:shd w:fill="F7F9FB"/>
            <w:tcMar>
              <w:top w:w="85" w:type="dxa"/>
              <w:bottom w:w="85" w:type="dxa"/>
              <w:left w:w="120" w:type="dxa"/>
              <w:right w:w="120" w:type="dxa"/>
            </w:tcMar>
          </w:tcPr>
          <w:p>
            <w:pPr>
              <w:spacing w:before="0" w:after="0"/>
            </w:pPr>
            <w:r>
              <w:rPr>
                <w:rFonts w:ascii="Calibri" w:hAnsi="Calibri"/>
                <w:color w:val="2D3237"/>
                <w:sz w:val="16"/>
              </w:rPr>
              <w:t>Security Operations Center (CSOC) Logs</w:t>
            </w:r>
          </w:p>
        </w:tc>
        <w:tc>
          <w:tcPr>
            <w:tcW w:type="dxa" w:w="2592"/>
            <w:shd w:fill="F7F9FB"/>
            <w:tcMar>
              <w:top w:w="85" w:type="dxa"/>
              <w:bottom w:w="85" w:type="dxa"/>
              <w:left w:w="120" w:type="dxa"/>
              <w:right w:w="120" w:type="dxa"/>
            </w:tcMar>
          </w:tcPr>
          <w:p>
            <w:pPr>
              <w:spacing w:before="0" w:after="0"/>
            </w:pPr>
            <w:r>
              <w:rPr>
                <w:rFonts w:ascii="Calibri" w:hAnsi="Calibri"/>
                <w:color w:val="2D3237"/>
                <w:sz w:val="16"/>
              </w:rPr>
              <w:t>UAE NESA IAS &amp; National Cyber Directives</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Minimum 365 Calendar Days (1 Year)</w:t>
            </w:r>
          </w:p>
        </w:tc>
        <w:tc>
          <w:tcPr>
            <w:tcW w:type="dxa" w:w="2261"/>
            <w:shd w:fill="F7F9FB"/>
            <w:tcMar>
              <w:top w:w="85" w:type="dxa"/>
              <w:bottom w:w="85" w:type="dxa"/>
              <w:left w:w="120" w:type="dxa"/>
              <w:right w:w="120" w:type="dxa"/>
            </w:tcMar>
          </w:tcPr>
          <w:p>
            <w:pPr>
              <w:spacing w:before="0" w:after="0"/>
            </w:pPr>
            <w:r>
              <w:rPr>
                <w:rFonts w:ascii="Calibri" w:hAnsi="Calibri"/>
                <w:color w:val="2D3237"/>
                <w:sz w:val="16"/>
              </w:rPr>
              <w:t>Automated SIEM rollover + cryptographic purge.</w:t>
            </w:r>
          </w:p>
        </w:tc>
      </w:tr>
    </w:tbl>
    <w:p>
      <w:pPr>
        <w:spacing w:before="0" w:after="80"/>
      </w:pPr>
    </w:p>
    <w:p>
      <w:pPr>
        <w:keepNext/>
        <w:spacing w:before="260" w:after="80"/>
      </w:pPr>
      <w:r>
        <w:rPr>
          <w:rFonts w:ascii="Calibri" w:hAnsi="Calibri"/>
          <w:b/>
          <w:color w:val="136F63"/>
          <w:sz w:val="23"/>
        </w:rPr>
        <w:t>10.2 Immutable Archival Storage (WORM)</w:t>
      </w:r>
    </w:p>
    <w:p>
      <w:pPr>
        <w:spacing w:before="0" w:after="100" w:line="276" w:lineRule="auto"/>
      </w:pPr>
      <w:r>
        <w:rPr>
          <w:rFonts w:ascii="Calibri" w:hAnsi="Calibri"/>
          <w:color w:val="2D3237"/>
          <w:sz w:val="19"/>
        </w:rPr>
        <w:t>Clause 10.2.1 — Archival data subject to statutory retention mandates must be stored in Object Storage configured with Object Lock in Compliance Mode (Write Once, Read Many). Immature deletion is technically impossible, even by cloud root administrators.</w:t>
      </w:r>
    </w:p>
    <w:p>
      <w:pPr>
        <w:keepNext/>
        <w:spacing w:before="180" w:after="40"/>
      </w:pPr>
      <w:r>
        <w:rPr>
          <w:rFonts w:ascii="Calibri" w:hAnsi="Calibri"/>
          <w:b/>
          <w:color w:val="0B2545"/>
          <w:sz w:val="20"/>
        </w:rPr>
        <w:t>10.3 Sanitization &amp; Secure Media Destruction</w:t>
      </w:r>
    </w:p>
    <w:p>
      <w:pPr>
        <w:spacing w:before="0" w:after="100" w:line="276" w:lineRule="auto"/>
      </w:pPr>
      <w:r>
        <w:rPr>
          <w:rFonts w:ascii="Calibri" w:hAnsi="Calibri"/>
          <w:color w:val="2D3237"/>
          <w:sz w:val="19"/>
        </w:rPr>
        <w:t>Clause 10.3.1 — Electronic media decommissioning must follow NIST SP 800-88 Guidelines for Media Sanitization (Cryptographic Erase or physical degaussing/shredding of hard drives into particles &lt;= 2mm).</w:t>
      </w:r>
    </w:p>
    <w:p>
      <w:r>
        <w:br w:type="page"/>
      </w:r>
    </w:p>
    <w:p>
      <w:pPr>
        <w:keepNext/>
        <w:spacing w:before="360" w:after="120"/>
      </w:pPr>
      <w:r>
        <w:rPr>
          <w:rFonts w:ascii="Calibri" w:hAnsi="Calibri"/>
          <w:b/>
          <w:color w:val="0B2545"/>
          <w:sz w:val="29"/>
        </w:rPr>
        <w:t>SECTION 11: PRIVACY SAFEGUARDS, PII ANONYMIZATION &amp; SYNTHETIC DATA</w:t>
      </w:r>
    </w:p>
    <w:p>
      <w:pPr>
        <w:keepNext/>
        <w:spacing w:before="260" w:after="80"/>
      </w:pPr>
      <w:r>
        <w:rPr>
          <w:rFonts w:ascii="Calibri" w:hAnsi="Calibri"/>
          <w:b/>
          <w:color w:val="136F63"/>
          <w:sz w:val="23"/>
        </w:rPr>
        <w:t>11.1 Personally Identifiable Information (PII) Safeguards</w:t>
      </w:r>
    </w:p>
    <w:p>
      <w:pPr>
        <w:spacing w:before="0" w:after="100" w:line="276" w:lineRule="auto"/>
      </w:pPr>
      <w:r>
        <w:rPr>
          <w:rFonts w:ascii="Calibri" w:hAnsi="Calibri"/>
          <w:color w:val="2D3237"/>
          <w:sz w:val="19"/>
        </w:rPr>
        <w:t>Clause 11.1.1 — Processing of Personal Data (PII) must comply strictly with UAE Federal Decree-Law No. 45/2021. Personal data must be collected only for specified, explicit, and legitimate purposes with automated data minimization enforced across all ingestion pipelines.</w:t>
      </w:r>
    </w:p>
    <w:p>
      <w:pPr>
        <w:keepNext/>
        <w:spacing w:before="260" w:after="80"/>
      </w:pPr>
      <w:r>
        <w:rPr>
          <w:rFonts w:ascii="Calibri" w:hAnsi="Calibri"/>
          <w:b/>
          <w:color w:val="136F63"/>
          <w:sz w:val="23"/>
        </w:rPr>
        <w:t>11.2 De-Identification, Pseudonymization &amp; Differential Privacy</w:t>
      </w:r>
    </w:p>
    <w:p>
      <w:pPr>
        <w:spacing w:before="0" w:after="100" w:line="276" w:lineRule="auto"/>
      </w:pPr>
      <w:r>
        <w:rPr>
          <w:rFonts w:ascii="Calibri" w:hAnsi="Calibri"/>
          <w:color w:val="2D3237"/>
          <w:sz w:val="19"/>
        </w:rPr>
        <w:t>Clause 11.2.1 — Datasets utilized for AI model fine-tuning, analytics, or testing must undergo automated de-identification prior to pipeline ingestion:</w:t>
      </w:r>
    </w:p>
    <w:p>
      <w:pPr>
        <w:pStyle w:val="ListBullet"/>
        <w:spacing w:before="0" w:after="50" w:line="276" w:lineRule="auto"/>
      </w:pPr>
      <w:r>
        <w:rPr>
          <w:rFonts w:ascii="Calibri" w:hAnsi="Calibri"/>
          <w:b/>
          <w:color w:val="2D3237"/>
          <w:sz w:val="19"/>
        </w:rPr>
        <w:t xml:space="preserve">Automated Pseudonymization: </w:t>
      </w:r>
      <w:r>
        <w:rPr>
          <w:rFonts w:ascii="Calibri" w:hAnsi="Calibri"/>
          <w:color w:val="2D3237"/>
          <w:sz w:val="19"/>
        </w:rPr>
        <w:t>All direct identifiers (names, passport numbers, email addresses, phone numbers) must be replaced with cryptographically salted pseudo-random tokens.</w:t>
      </w:r>
    </w:p>
    <w:p>
      <w:pPr>
        <w:pStyle w:val="ListBullet"/>
        <w:spacing w:before="0" w:after="50" w:line="276" w:lineRule="auto"/>
      </w:pPr>
      <w:r>
        <w:rPr>
          <w:rFonts w:ascii="Calibri" w:hAnsi="Calibri"/>
          <w:b/>
          <w:color w:val="2D3237"/>
          <w:sz w:val="19"/>
        </w:rPr>
        <w:t xml:space="preserve">k-Anonymity &amp; l-Diversity: </w:t>
      </w:r>
      <w:r>
        <w:rPr>
          <w:rFonts w:ascii="Calibri" w:hAnsi="Calibri"/>
          <w:color w:val="2D3237"/>
          <w:sz w:val="19"/>
        </w:rPr>
        <w:t>Quasi-identifiers (age, postal codes, job titles) must be generalized to achieve a minimum k-anonymity score of k &gt;= 5.</w:t>
      </w:r>
    </w:p>
    <w:p>
      <w:pPr>
        <w:pStyle w:val="ListBullet"/>
        <w:spacing w:before="0" w:after="50" w:line="276" w:lineRule="auto"/>
      </w:pPr>
      <w:r>
        <w:rPr>
          <w:rFonts w:ascii="Calibri" w:hAnsi="Calibri"/>
          <w:b/>
          <w:color w:val="2D3237"/>
          <w:sz w:val="19"/>
        </w:rPr>
        <w:t xml:space="preserve">Differential Privacy Guarantees: </w:t>
      </w:r>
      <w:r>
        <w:rPr>
          <w:rFonts w:ascii="Calibri" w:hAnsi="Calibri"/>
          <w:color w:val="2D3237"/>
          <w:sz w:val="19"/>
        </w:rPr>
        <w:t>Statistical queries against aggregate analytics platforms must inject calibrated Laplace/Gaussian noise ensuring mathematical privacy guarantees (epsilon &lt;= 1.0).</w:t>
      </w:r>
    </w:p>
    <w:p>
      <w:pPr>
        <w:keepNext/>
        <w:spacing w:before="180" w:after="40"/>
      </w:pPr>
      <w:r>
        <w:rPr>
          <w:rFonts w:ascii="Calibri" w:hAnsi="Calibri"/>
          <w:b/>
          <w:color w:val="0B2545"/>
          <w:sz w:val="20"/>
        </w:rPr>
        <w:t>11.3 Synthetic Data Generation &amp; Hygiene Standards</w:t>
      </w:r>
    </w:p>
    <w:p>
      <w:pPr>
        <w:spacing w:before="0" w:after="100" w:line="276" w:lineRule="auto"/>
      </w:pPr>
      <w:r>
        <w:rPr>
          <w:rFonts w:ascii="Calibri" w:hAnsi="Calibri"/>
          <w:color w:val="2D3237"/>
          <w:sz w:val="19"/>
        </w:rPr>
        <w:t>Clause 11.3.1 — Synthetic datasets generated by upstream AI models must be explicitly watermarked and tagged as synthetic in metadata. Synthetic data pipelines must undergo automated privacy leakage scanning (Membership Inference Attacks) to ensure synthetic records do not inadvertently reproduce real-world training records.</w:t>
      </w:r>
    </w:p>
    <w:p>
      <w:r>
        <w:br w:type="page"/>
      </w:r>
    </w:p>
    <w:p>
      <w:pPr>
        <w:keepNext/>
        <w:spacing w:before="360" w:after="120"/>
      </w:pPr>
      <w:r>
        <w:rPr>
          <w:rFonts w:ascii="Calibri" w:hAnsi="Calibri"/>
          <w:b/>
          <w:color w:val="0B2545"/>
          <w:sz w:val="29"/>
        </w:rPr>
        <w:t>SECTION 12: COMPLIANCE AUDITING &amp; DISCIPLINARY FRAMEWORK</w:t>
      </w:r>
    </w:p>
    <w:p>
      <w:pPr>
        <w:keepNext/>
        <w:spacing w:before="260" w:after="80"/>
      </w:pPr>
      <w:r>
        <w:rPr>
          <w:rFonts w:ascii="Calibri" w:hAnsi="Calibri"/>
          <w:b/>
          <w:color w:val="136F63"/>
          <w:sz w:val="23"/>
        </w:rPr>
        <w:t>12.1 Continuous Automated Data Discovery &amp; Auditing</w:t>
      </w:r>
    </w:p>
    <w:p>
      <w:pPr>
        <w:spacing w:before="0" w:after="100" w:line="276" w:lineRule="auto"/>
      </w:pPr>
      <w:r>
        <w:rPr>
          <w:rFonts w:ascii="Calibri" w:hAnsi="Calibri"/>
          <w:color w:val="2D3237"/>
          <w:sz w:val="19"/>
        </w:rPr>
        <w:t>Clause 12.1.1 — Compliance with this policy is enforced through continuous automated data discovery and classification engines (Microsoft Purview / BigID). Scanners inspect cloud buckets, databases, and code repositories continuously to detect unencrypted PII or misclassified Level 4 data.</w:t>
      </w:r>
    </w:p>
    <w:p>
      <w:pPr>
        <w:keepNext/>
        <w:spacing w:before="260" w:after="80"/>
      </w:pPr>
      <w:r>
        <w:rPr>
          <w:rFonts w:ascii="Calibri" w:hAnsi="Calibri"/>
          <w:b/>
          <w:color w:val="136F63"/>
          <w:sz w:val="23"/>
        </w:rPr>
        <w:t>12.2 Progressive Disciplinary Framework</w:t>
      </w:r>
    </w:p>
    <w:p>
      <w:pPr>
        <w:spacing w:before="0" w:after="100" w:line="276" w:lineRule="auto"/>
      </w:pPr>
      <w:r>
        <w:rPr>
          <w:rFonts w:ascii="Calibri" w:hAnsi="Calibri"/>
          <w:color w:val="2D3237"/>
          <w:sz w:val="19"/>
        </w:rPr>
        <w:t>Clause 12.2.1 — Violations of this policy shall result in formal disciplinary action administered under the Data Governance Severity Matrix:</w:t>
      </w:r>
    </w:p>
    <w:tbl>
      <w:tblPr>
        <w:tblW w:type="auto" w:w="0"/>
        <w:jc w:val="center"/>
        <w:tblLayout w:type="fixed"/>
        <w:tblLook w:firstColumn="1" w:firstRow="1" w:lastColumn="0" w:lastRow="0" w:noHBand="0" w:noVBand="1" w:val="04A0"/>
      </w:tblPr>
      <w:tblGrid>
        <w:gridCol w:w="2016"/>
        <w:gridCol w:w="3456"/>
        <w:gridCol w:w="3557"/>
      </w:tblGrid>
      <w:tr>
        <w:tc>
          <w:tcPr>
            <w:tcW w:type="dxa" w:w="2016"/>
            <w:shd w:fill="0B2545"/>
            <w:tcMar>
              <w:top w:w="110" w:type="dxa"/>
              <w:bottom w:w="110" w:type="dxa"/>
              <w:left w:w="120" w:type="dxa"/>
              <w:right w:w="120" w:type="dxa"/>
            </w:tcMar>
          </w:tcPr>
          <w:p>
            <w:pPr>
              <w:spacing w:before="0" w:after="0"/>
              <w:jc w:val="left"/>
            </w:pPr>
            <w:r>
              <w:rPr>
                <w:rFonts w:ascii="Calibri" w:hAnsi="Calibri"/>
                <w:b/>
                <w:color w:val="FFFFFF"/>
                <w:sz w:val="17"/>
              </w:rPr>
              <w:t>Violation Tier</w:t>
            </w:r>
          </w:p>
        </w:tc>
        <w:tc>
          <w:tcPr>
            <w:tcW w:type="dxa" w:w="3456"/>
            <w:shd w:fill="0B2545"/>
            <w:tcMar>
              <w:top w:w="110" w:type="dxa"/>
              <w:bottom w:w="110" w:type="dxa"/>
              <w:left w:w="120" w:type="dxa"/>
              <w:right w:w="120" w:type="dxa"/>
            </w:tcMar>
          </w:tcPr>
          <w:p>
            <w:pPr>
              <w:spacing w:before="0" w:after="0"/>
              <w:jc w:val="left"/>
            </w:pPr>
            <w:r>
              <w:rPr>
                <w:rFonts w:ascii="Calibri" w:hAnsi="Calibri"/>
                <w:b/>
                <w:color w:val="FFFFFF"/>
                <w:sz w:val="17"/>
              </w:rPr>
              <w:t>Infraction Profile</w:t>
            </w:r>
          </w:p>
        </w:tc>
        <w:tc>
          <w:tcPr>
            <w:tcW w:type="dxa" w:w="3557"/>
            <w:shd w:fill="0B2545"/>
            <w:tcMar>
              <w:top w:w="110" w:type="dxa"/>
              <w:bottom w:w="110" w:type="dxa"/>
              <w:left w:w="120" w:type="dxa"/>
              <w:right w:w="120" w:type="dxa"/>
            </w:tcMar>
          </w:tcPr>
          <w:p>
            <w:pPr>
              <w:spacing w:before="0" w:after="0"/>
              <w:jc w:val="left"/>
            </w:pPr>
            <w:r>
              <w:rPr>
                <w:rFonts w:ascii="Calibri" w:hAnsi="Calibri"/>
                <w:b/>
                <w:color w:val="FFFFFF"/>
                <w:sz w:val="17"/>
              </w:rPr>
              <w:t>Prescribed Disciplinary &amp; Legal Sanctions</w:t>
            </w:r>
          </w:p>
        </w:tc>
      </w:tr>
      <w:tr>
        <w:tc>
          <w:tcPr>
            <w:tcW w:type="dxa" w:w="2016"/>
            <w:shd w:fill="FFFFFF"/>
            <w:tcMar>
              <w:top w:w="85" w:type="dxa"/>
              <w:bottom w:w="85" w:type="dxa"/>
              <w:left w:w="120" w:type="dxa"/>
              <w:right w:w="120" w:type="dxa"/>
            </w:tcMar>
          </w:tcPr>
          <w:p>
            <w:pPr>
              <w:spacing w:before="0" w:after="0"/>
            </w:pPr>
            <w:r>
              <w:rPr>
                <w:rFonts w:ascii="Calibri" w:hAnsi="Calibri"/>
                <w:color w:val="2D3237"/>
                <w:sz w:val="16"/>
              </w:rPr>
              <w:t>Infraction Tier</w:t>
            </w:r>
          </w:p>
        </w:tc>
        <w:tc>
          <w:tcPr>
            <w:tcW w:type="dxa" w:w="3456"/>
            <w:shd w:fill="FFFFFF"/>
            <w:tcMar>
              <w:top w:w="85" w:type="dxa"/>
              <w:bottom w:w="85" w:type="dxa"/>
              <w:left w:w="120" w:type="dxa"/>
              <w:right w:w="120" w:type="dxa"/>
            </w:tcMar>
          </w:tcPr>
          <w:p>
            <w:pPr>
              <w:spacing w:before="0" w:after="0"/>
            </w:pPr>
            <w:r>
              <w:rPr>
                <w:rFonts w:ascii="Calibri" w:hAnsi="Calibri"/>
                <w:color w:val="2D3237"/>
                <w:sz w:val="16"/>
              </w:rPr>
              <w:t>Violation Description</w:t>
            </w:r>
          </w:p>
        </w:tc>
        <w:tc>
          <w:tcPr>
            <w:tcW w:type="dxa" w:w="3557"/>
            <w:shd w:fill="FFFFFF"/>
            <w:tcMar>
              <w:top w:w="85" w:type="dxa"/>
              <w:bottom w:w="85" w:type="dxa"/>
              <w:left w:w="120" w:type="dxa"/>
              <w:right w:w="120" w:type="dxa"/>
            </w:tcMar>
          </w:tcPr>
          <w:p>
            <w:pPr>
              <w:spacing w:before="0" w:after="0"/>
            </w:pPr>
            <w:r>
              <w:rPr>
                <w:rFonts w:ascii="Calibri" w:hAnsi="Calibri"/>
                <w:color w:val="2D3237"/>
                <w:sz w:val="16"/>
              </w:rPr>
              <w:t>Mandatory Disciplinary Sanctions</w:t>
            </w:r>
          </w:p>
        </w:tc>
      </w:tr>
      <w:tr>
        <w:tc>
          <w:tcPr>
            <w:tcW w:type="dxa" w:w="2016"/>
            <w:shd w:fill="F7F9FB"/>
            <w:tcMar>
              <w:top w:w="85" w:type="dxa"/>
              <w:bottom w:w="85" w:type="dxa"/>
              <w:left w:w="120" w:type="dxa"/>
              <w:right w:w="120" w:type="dxa"/>
            </w:tcMar>
          </w:tcPr>
          <w:p>
            <w:pPr>
              <w:spacing w:before="0" w:after="0"/>
            </w:pPr>
            <w:r>
              <w:rPr>
                <w:rFonts w:ascii="Calibri" w:hAnsi="Calibri"/>
                <w:color w:val="2D3237"/>
                <w:sz w:val="16"/>
              </w:rPr>
              <w:t>Level 1: Minor Administrative</w:t>
            </w:r>
          </w:p>
        </w:tc>
        <w:tc>
          <w:tcPr>
            <w:tcW w:type="dxa" w:w="3456"/>
            <w:shd w:fill="F7F9FB"/>
            <w:tcMar>
              <w:top w:w="85" w:type="dxa"/>
              <w:bottom w:w="85" w:type="dxa"/>
              <w:left w:w="120" w:type="dxa"/>
              <w:right w:w="120" w:type="dxa"/>
            </w:tcMar>
          </w:tcPr>
          <w:p>
            <w:pPr>
              <w:spacing w:before="0" w:after="0"/>
            </w:pPr>
            <w:r>
              <w:rPr>
                <w:rFonts w:ascii="Calibri" w:hAnsi="Calibri"/>
                <w:color w:val="2D3237"/>
                <w:sz w:val="16"/>
              </w:rPr>
              <w:t>Failure to apply metadata classification tags to internal documents; minor delay in archiving non-sensitive project files.</w:t>
            </w:r>
          </w:p>
        </w:tc>
        <w:tc>
          <w:tcPr>
            <w:tcW w:type="dxa" w:w="3557"/>
            <w:shd w:fill="F7F9FB"/>
            <w:tcMar>
              <w:top w:w="85" w:type="dxa"/>
              <w:bottom w:w="85" w:type="dxa"/>
              <w:left w:w="120" w:type="dxa"/>
              <w:right w:w="120" w:type="dxa"/>
            </w:tcMar>
          </w:tcPr>
          <w:p>
            <w:pPr>
              <w:spacing w:before="0" w:after="0"/>
            </w:pPr>
            <w:r>
              <w:rPr>
                <w:rFonts w:ascii="Calibri" w:hAnsi="Calibri"/>
                <w:color w:val="2D3237"/>
                <w:sz w:val="16"/>
              </w:rPr>
              <w:t>Written counseling, mandatory completion of Data Governance refresher training.</w:t>
            </w:r>
          </w:p>
        </w:tc>
      </w:tr>
      <w:tr>
        <w:tc>
          <w:tcPr>
            <w:tcW w:type="dxa" w:w="2016"/>
            <w:shd w:fill="FFFFFF"/>
            <w:tcMar>
              <w:top w:w="85" w:type="dxa"/>
              <w:bottom w:w="85" w:type="dxa"/>
              <w:left w:w="120" w:type="dxa"/>
              <w:right w:w="120" w:type="dxa"/>
            </w:tcMar>
          </w:tcPr>
          <w:p>
            <w:pPr>
              <w:spacing w:before="0" w:after="0"/>
            </w:pPr>
            <w:r>
              <w:rPr>
                <w:rFonts w:ascii="Calibri" w:hAnsi="Calibri"/>
                <w:color w:val="2D3237"/>
                <w:sz w:val="16"/>
              </w:rPr>
              <w:t>Level 2: Serious Operational</w:t>
            </w:r>
          </w:p>
        </w:tc>
        <w:tc>
          <w:tcPr>
            <w:tcW w:type="dxa" w:w="3456"/>
            <w:shd w:fill="FFFFFF"/>
            <w:tcMar>
              <w:top w:w="85" w:type="dxa"/>
              <w:bottom w:w="85" w:type="dxa"/>
              <w:left w:w="120" w:type="dxa"/>
              <w:right w:w="120" w:type="dxa"/>
            </w:tcMar>
          </w:tcPr>
          <w:p>
            <w:pPr>
              <w:spacing w:before="0" w:after="0"/>
            </w:pPr>
            <w:r>
              <w:rPr>
                <w:rFonts w:ascii="Calibri" w:hAnsi="Calibri"/>
                <w:color w:val="2D3237"/>
                <w:sz w:val="16"/>
              </w:rPr>
              <w:t>Storing Level 3 confidential data in unencrypted staging bucket; sharing internal datasets with unauthorized internal team.</w:t>
            </w:r>
          </w:p>
        </w:tc>
        <w:tc>
          <w:tcPr>
            <w:tcW w:type="dxa" w:w="3557"/>
            <w:shd w:fill="FFFFFF"/>
            <w:tcMar>
              <w:top w:w="85" w:type="dxa"/>
              <w:bottom w:w="85" w:type="dxa"/>
              <w:left w:w="120" w:type="dxa"/>
              <w:right w:w="120" w:type="dxa"/>
            </w:tcMar>
          </w:tcPr>
          <w:p>
            <w:pPr>
              <w:spacing w:before="0" w:after="0"/>
            </w:pPr>
            <w:r>
              <w:rPr>
                <w:rFonts w:ascii="Calibri" w:hAnsi="Calibri"/>
                <w:color w:val="2D3237"/>
                <w:sz w:val="16"/>
              </w:rPr>
              <w:t>Formal written reprimand, forfeiture of quarterly performance bonus, 90-day suspension of cloud provisioning access.</w:t>
            </w:r>
          </w:p>
        </w:tc>
      </w:tr>
      <w:tr>
        <w:tc>
          <w:tcPr>
            <w:tcW w:type="dxa" w:w="2016"/>
            <w:shd w:fill="F7F9FB"/>
            <w:tcMar>
              <w:top w:w="85" w:type="dxa"/>
              <w:bottom w:w="85" w:type="dxa"/>
              <w:left w:w="120" w:type="dxa"/>
              <w:right w:w="120" w:type="dxa"/>
            </w:tcMar>
          </w:tcPr>
          <w:p>
            <w:pPr>
              <w:spacing w:before="0" w:after="0"/>
            </w:pPr>
            <w:r>
              <w:rPr>
                <w:rFonts w:ascii="Calibri" w:hAnsi="Calibri"/>
                <w:color w:val="2D3237"/>
                <w:sz w:val="16"/>
              </w:rPr>
              <w:t>Level 3: Severe Violation</w:t>
            </w:r>
          </w:p>
        </w:tc>
        <w:tc>
          <w:tcPr>
            <w:tcW w:type="dxa" w:w="3456"/>
            <w:shd w:fill="F7F9FB"/>
            <w:tcMar>
              <w:top w:w="85" w:type="dxa"/>
              <w:bottom w:w="85" w:type="dxa"/>
              <w:left w:w="120" w:type="dxa"/>
              <w:right w:w="120" w:type="dxa"/>
            </w:tcMar>
          </w:tcPr>
          <w:p>
            <w:pPr>
              <w:spacing w:before="0" w:after="0"/>
            </w:pPr>
            <w:r>
              <w:rPr>
                <w:rFonts w:ascii="Calibri" w:hAnsi="Calibri"/>
                <w:color w:val="2D3237"/>
                <w:sz w:val="16"/>
              </w:rPr>
              <w:t>Bypassing CMEK encryption; transferring Level 3 customer PII across international borders without approved SCCs/DTIA.</w:t>
            </w:r>
          </w:p>
        </w:tc>
        <w:tc>
          <w:tcPr>
            <w:tcW w:type="dxa" w:w="3557"/>
            <w:shd w:fill="F7F9FB"/>
            <w:tcMar>
              <w:top w:w="85" w:type="dxa"/>
              <w:bottom w:w="85" w:type="dxa"/>
              <w:left w:w="120" w:type="dxa"/>
              <w:right w:w="120" w:type="dxa"/>
            </w:tcMar>
          </w:tcPr>
          <w:p>
            <w:pPr>
              <w:spacing w:before="0" w:after="0"/>
            </w:pPr>
            <w:r>
              <w:rPr>
                <w:rFonts w:ascii="Calibri" w:hAnsi="Calibri"/>
                <w:color w:val="2D3237"/>
                <w:sz w:val="16"/>
              </w:rPr>
              <w:t>Final written warning, immediate demotion, suspension without pay for up to 30 days, LTIP clawback review.</w:t>
            </w:r>
          </w:p>
        </w:tc>
      </w:tr>
      <w:tr>
        <w:tc>
          <w:tcPr>
            <w:tcW w:type="dxa" w:w="2016"/>
            <w:shd w:fill="FFFFFF"/>
            <w:tcMar>
              <w:top w:w="85" w:type="dxa"/>
              <w:bottom w:w="85" w:type="dxa"/>
              <w:left w:w="120" w:type="dxa"/>
              <w:right w:w="120" w:type="dxa"/>
            </w:tcMar>
          </w:tcPr>
          <w:p>
            <w:pPr>
              <w:spacing w:before="0" w:after="0"/>
            </w:pPr>
            <w:r>
              <w:rPr>
                <w:rFonts w:ascii="Calibri" w:hAnsi="Calibri"/>
                <w:color w:val="2D3237"/>
                <w:sz w:val="16"/>
              </w:rPr>
              <w:t>Level 4: Gross Misconduct</w:t>
            </w:r>
          </w:p>
        </w:tc>
        <w:tc>
          <w:tcPr>
            <w:tcW w:type="dxa" w:w="3456"/>
            <w:shd w:fill="FFFFFF"/>
            <w:tcMar>
              <w:top w:w="85" w:type="dxa"/>
              <w:bottom w:w="85" w:type="dxa"/>
              <w:left w:w="120" w:type="dxa"/>
              <w:right w:w="120" w:type="dxa"/>
            </w:tcMar>
          </w:tcPr>
          <w:p>
            <w:pPr>
              <w:spacing w:before="0" w:after="0"/>
            </w:pPr>
            <w:r>
              <w:rPr>
                <w:rFonts w:ascii="Calibri" w:hAnsi="Calibri"/>
                <w:color w:val="2D3237"/>
                <w:sz w:val="16"/>
              </w:rPr>
              <w:t>Intentional exfiltration of Level 4 Sovereign data; unauthorized sale of corporate datasets; disabling sovereign isolation perimeters.</w:t>
            </w:r>
          </w:p>
        </w:tc>
        <w:tc>
          <w:tcPr>
            <w:tcW w:type="dxa" w:w="3557"/>
            <w:shd w:fill="FFFFFF"/>
            <w:tcMar>
              <w:top w:w="85" w:type="dxa"/>
              <w:bottom w:w="85" w:type="dxa"/>
              <w:left w:w="120" w:type="dxa"/>
              <w:right w:w="120" w:type="dxa"/>
            </w:tcMar>
          </w:tcPr>
          <w:p>
            <w:pPr>
              <w:spacing w:before="0" w:after="0"/>
            </w:pPr>
            <w:r>
              <w:rPr>
                <w:rFonts w:ascii="Calibri" w:hAnsi="Calibri"/>
                <w:color w:val="2D3237"/>
                <w:sz w:val="16"/>
              </w:rPr>
              <w:t>Immediate summary termination for gross misconduct, complete LTIP equity cancellation, civil litigation, and criminal prosecution.</w:t>
            </w:r>
          </w:p>
        </w:tc>
      </w:tr>
    </w:tbl>
    <w:p>
      <w:pPr>
        <w:spacing w:before="0" w:after="80"/>
      </w:pPr>
    </w:p>
    <w:p>
      <w:pPr>
        <w:keepNext/>
        <w:spacing w:before="180" w:after="40"/>
      </w:pPr>
      <w:r>
        <w:rPr>
          <w:rFonts w:ascii="Calibri" w:hAnsi="Calibri"/>
          <w:b/>
          <w:color w:val="0B2545"/>
          <w:sz w:val="20"/>
        </w:rPr>
        <w:t>12.3 Whistleblower Safe Harbor (EthicsPoint)</w:t>
      </w:r>
    </w:p>
    <w:p>
      <w:pPr>
        <w:spacing w:before="0" w:after="100" w:line="276" w:lineRule="auto"/>
      </w:pPr>
      <w:r>
        <w:rPr>
          <w:rFonts w:ascii="Calibri" w:hAnsi="Calibri"/>
          <w:color w:val="2D3237"/>
          <w:sz w:val="19"/>
        </w:rPr>
        <w:t>Clause 12.3.1 — Personnel who observe unauthorized data transfers, sovereign boundary breaches, or data tampering are protected under the G42 Whistleblower Safe Harbor Policy. Reports can be submitted 24/7 confidentially via EthicsPoint at ethics.g42.ai or via phone at +971-2-GOV-G42.</w:t>
      </w:r>
    </w:p>
    <w:p>
      <w:r>
        <w:br w:type="page"/>
      </w:r>
    </w:p>
    <w:p>
      <w:pPr>
        <w:keepNext/>
        <w:spacing w:before="360" w:after="120"/>
      </w:pPr>
      <w:r>
        <w:rPr>
          <w:rFonts w:ascii="Calibri" w:hAnsi="Calibri"/>
          <w:b/>
          <w:color w:val="0B2545"/>
          <w:sz w:val="29"/>
        </w:rPr>
        <w:t>SECTION 13: APPENDIX A — STATUTORY &amp; REGULATORY CONCORDANCE</w:t>
      </w:r>
    </w:p>
    <w:p>
      <w:pPr>
        <w:spacing w:before="0" w:after="100" w:line="276" w:lineRule="auto"/>
      </w:pPr>
      <w:r>
        <w:rPr>
          <w:rFonts w:ascii="Calibri" w:hAnsi="Calibri"/>
          <w:color w:val="2D3237"/>
          <w:sz w:val="19"/>
        </w:rPr>
        <w:t>Clause 13.1.1 — The G42 Group Data Classification, Sovereignty &amp; Cryptography Policy is harmonized against leading national statutes, regional decrees, and international information security standards:</w:t>
      </w:r>
    </w:p>
    <w:tbl>
      <w:tblPr>
        <w:tblW w:type="auto" w:w="0"/>
        <w:jc w:val="center"/>
        <w:tblLayout w:type="fixed"/>
        <w:tblLook w:firstColumn="1" w:firstRow="1" w:lastColumn="0" w:lastRow="0" w:noHBand="0" w:noVBand="1" w:val="04A0"/>
      </w:tblPr>
      <w:tblGrid>
        <w:gridCol w:w="2304"/>
        <w:gridCol w:w="1872"/>
        <w:gridCol w:w="2016"/>
        <w:gridCol w:w="2837"/>
      </w:tblGrid>
      <w:tr>
        <w:tc>
          <w:tcPr>
            <w:tcW w:type="dxa" w:w="2304"/>
            <w:shd w:fill="0B2545"/>
            <w:tcMar>
              <w:top w:w="110" w:type="dxa"/>
              <w:bottom w:w="110" w:type="dxa"/>
              <w:left w:w="120" w:type="dxa"/>
              <w:right w:w="120" w:type="dxa"/>
            </w:tcMar>
          </w:tcPr>
          <w:p>
            <w:pPr>
              <w:spacing w:before="0" w:after="0"/>
              <w:jc w:val="left"/>
            </w:pPr>
            <w:r>
              <w:rPr>
                <w:rFonts w:ascii="Calibri" w:hAnsi="Calibri"/>
                <w:b/>
                <w:color w:val="FFFFFF"/>
                <w:sz w:val="17"/>
              </w:rPr>
              <w:t>Regulatory Framework</w:t>
            </w:r>
          </w:p>
        </w:tc>
        <w:tc>
          <w:tcPr>
            <w:tcW w:type="dxa" w:w="1872"/>
            <w:shd w:fill="0B2545"/>
            <w:tcMar>
              <w:top w:w="110" w:type="dxa"/>
              <w:bottom w:w="110" w:type="dxa"/>
              <w:left w:w="120" w:type="dxa"/>
              <w:right w:w="120" w:type="dxa"/>
            </w:tcMar>
          </w:tcPr>
          <w:p>
            <w:pPr>
              <w:spacing w:before="0" w:after="0"/>
              <w:jc w:val="left"/>
            </w:pPr>
            <w:r>
              <w:rPr>
                <w:rFonts w:ascii="Calibri" w:hAnsi="Calibri"/>
                <w:b/>
                <w:color w:val="FFFFFF"/>
                <w:sz w:val="17"/>
              </w:rPr>
              <w:t>Issuing Authority</w:t>
            </w:r>
          </w:p>
        </w:tc>
        <w:tc>
          <w:tcPr>
            <w:tcW w:type="dxa" w:w="2016"/>
            <w:shd w:fill="0B2545"/>
            <w:tcMar>
              <w:top w:w="110" w:type="dxa"/>
              <w:bottom w:w="110" w:type="dxa"/>
              <w:left w:w="120" w:type="dxa"/>
              <w:right w:w="120" w:type="dxa"/>
            </w:tcMar>
          </w:tcPr>
          <w:p>
            <w:pPr>
              <w:spacing w:before="0" w:after="0"/>
              <w:jc w:val="left"/>
            </w:pPr>
            <w:r>
              <w:rPr>
                <w:rFonts w:ascii="Calibri" w:hAnsi="Calibri"/>
                <w:b/>
                <w:color w:val="FFFFFF"/>
                <w:sz w:val="17"/>
              </w:rPr>
              <w:t>Aligned Sections</w:t>
            </w:r>
          </w:p>
        </w:tc>
        <w:tc>
          <w:tcPr>
            <w:tcW w:type="dxa" w:w="2837"/>
            <w:shd w:fill="0B2545"/>
            <w:tcMar>
              <w:top w:w="110" w:type="dxa"/>
              <w:bottom w:w="110" w:type="dxa"/>
              <w:left w:w="120" w:type="dxa"/>
              <w:right w:w="120" w:type="dxa"/>
            </w:tcMar>
          </w:tcPr>
          <w:p>
            <w:pPr>
              <w:spacing w:before="0" w:after="0"/>
              <w:jc w:val="left"/>
            </w:pPr>
            <w:r>
              <w:rPr>
                <w:rFonts w:ascii="Calibri" w:hAnsi="Calibri"/>
                <w:b/>
                <w:color w:val="FFFFFF"/>
                <w:sz w:val="17"/>
              </w:rPr>
              <w:t>Core Statutory Compliance Mandate</w:t>
            </w:r>
          </w:p>
        </w:tc>
      </w:tr>
      <w:tr>
        <w:tc>
          <w:tcPr>
            <w:tcW w:type="dxa" w:w="2304"/>
            <w:shd w:fill="FFFFFF"/>
            <w:tcMar>
              <w:top w:w="85" w:type="dxa"/>
              <w:bottom w:w="85" w:type="dxa"/>
              <w:left w:w="120" w:type="dxa"/>
              <w:right w:w="120" w:type="dxa"/>
            </w:tcMar>
          </w:tcPr>
          <w:p>
            <w:pPr>
              <w:spacing w:before="0" w:after="0"/>
            </w:pPr>
            <w:r>
              <w:rPr>
                <w:rFonts w:ascii="Calibri" w:hAnsi="Calibri"/>
                <w:color w:val="2D3237"/>
                <w:sz w:val="16"/>
              </w:rPr>
              <w:t>Statutory / Industry Standard</w:t>
            </w:r>
          </w:p>
        </w:tc>
        <w:tc>
          <w:tcPr>
            <w:tcW w:type="dxa" w:w="1872"/>
            <w:shd w:fill="FFFFFF"/>
            <w:tcMar>
              <w:top w:w="85" w:type="dxa"/>
              <w:bottom w:w="85" w:type="dxa"/>
              <w:left w:w="120" w:type="dxa"/>
              <w:right w:w="120" w:type="dxa"/>
            </w:tcMar>
          </w:tcPr>
          <w:p>
            <w:pPr>
              <w:spacing w:before="0" w:after="0"/>
            </w:pPr>
            <w:r>
              <w:rPr>
                <w:rFonts w:ascii="Calibri" w:hAnsi="Calibri"/>
                <w:color w:val="2D3237"/>
                <w:sz w:val="16"/>
              </w:rPr>
              <w:t>Governing Regulatory Body</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G42 Policy Section Alignment</w:t>
            </w:r>
          </w:p>
        </w:tc>
        <w:tc>
          <w:tcPr>
            <w:tcW w:type="dxa" w:w="2837"/>
            <w:shd w:fill="FFFFFF"/>
            <w:tcMar>
              <w:top w:w="85" w:type="dxa"/>
              <w:bottom w:w="85" w:type="dxa"/>
              <w:left w:w="120" w:type="dxa"/>
              <w:right w:w="120" w:type="dxa"/>
            </w:tcMar>
          </w:tcPr>
          <w:p>
            <w:pPr>
              <w:spacing w:before="0" w:after="0"/>
            </w:pPr>
            <w:r>
              <w:rPr>
                <w:rFonts w:ascii="Calibri" w:hAnsi="Calibri"/>
                <w:color w:val="2D3237"/>
                <w:sz w:val="16"/>
              </w:rPr>
              <w:t>Core Compliance Mandate</w:t>
            </w:r>
          </w:p>
        </w:tc>
      </w:tr>
      <w:tr>
        <w:tc>
          <w:tcPr>
            <w:tcW w:type="dxa" w:w="2304"/>
            <w:shd w:fill="F7F9FB"/>
            <w:tcMar>
              <w:top w:w="85" w:type="dxa"/>
              <w:bottom w:w="85" w:type="dxa"/>
              <w:left w:w="120" w:type="dxa"/>
              <w:right w:w="120" w:type="dxa"/>
            </w:tcMar>
          </w:tcPr>
          <w:p>
            <w:pPr>
              <w:spacing w:before="0" w:after="0"/>
            </w:pPr>
            <w:r>
              <w:rPr>
                <w:rFonts w:ascii="Calibri" w:hAnsi="Calibri"/>
                <w:color w:val="2D3237"/>
                <w:sz w:val="16"/>
              </w:rPr>
              <w:t>UAE Federal Decree-Law No. 45/2021 (Personal Data Protection)</w:t>
            </w:r>
          </w:p>
        </w:tc>
        <w:tc>
          <w:tcPr>
            <w:tcW w:type="dxa" w:w="1872"/>
            <w:shd w:fill="F7F9FB"/>
            <w:tcMar>
              <w:top w:w="85" w:type="dxa"/>
              <w:bottom w:w="85" w:type="dxa"/>
              <w:left w:w="120" w:type="dxa"/>
              <w:right w:w="120" w:type="dxa"/>
            </w:tcMar>
          </w:tcPr>
          <w:p>
            <w:pPr>
              <w:spacing w:before="0" w:after="0"/>
            </w:pPr>
            <w:r>
              <w:rPr>
                <w:rFonts w:ascii="Calibri" w:hAnsi="Calibri"/>
                <w:color w:val="2D3237"/>
                <w:sz w:val="16"/>
              </w:rPr>
              <w:t>UAE Data Office</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Section 3.2, Section 5.1, Section 6.1, Section 11.1</w:t>
            </w:r>
          </w:p>
        </w:tc>
        <w:tc>
          <w:tcPr>
            <w:tcW w:type="dxa" w:w="2837"/>
            <w:shd w:fill="F7F9FB"/>
            <w:tcMar>
              <w:top w:w="85" w:type="dxa"/>
              <w:bottom w:w="85" w:type="dxa"/>
              <w:left w:w="120" w:type="dxa"/>
              <w:right w:w="120" w:type="dxa"/>
            </w:tcMar>
          </w:tcPr>
          <w:p>
            <w:pPr>
              <w:spacing w:before="0" w:after="0"/>
            </w:pPr>
            <w:r>
              <w:rPr>
                <w:rFonts w:ascii="Calibri" w:hAnsi="Calibri"/>
                <w:color w:val="2D3237"/>
                <w:sz w:val="16"/>
              </w:rPr>
              <w:t>Sovereign residency, PII processing consent, cross-border transfer controls, mandatory breach notification.</w:t>
            </w:r>
          </w:p>
        </w:tc>
      </w:tr>
      <w:tr>
        <w:tc>
          <w:tcPr>
            <w:tcW w:type="dxa" w:w="2304"/>
            <w:shd w:fill="FFFFFF"/>
            <w:tcMar>
              <w:top w:w="85" w:type="dxa"/>
              <w:bottom w:w="85" w:type="dxa"/>
              <w:left w:w="120" w:type="dxa"/>
              <w:right w:w="120" w:type="dxa"/>
            </w:tcMar>
          </w:tcPr>
          <w:p>
            <w:pPr>
              <w:spacing w:before="0" w:after="0"/>
            </w:pPr>
            <w:r>
              <w:rPr>
                <w:rFonts w:ascii="Calibri" w:hAnsi="Calibri"/>
                <w:color w:val="2D3237"/>
                <w:sz w:val="16"/>
              </w:rPr>
              <w:t>UAE National Electronic Security Authority (NESA IAS)</w:t>
            </w:r>
          </w:p>
        </w:tc>
        <w:tc>
          <w:tcPr>
            <w:tcW w:type="dxa" w:w="1872"/>
            <w:shd w:fill="FFFFFF"/>
            <w:tcMar>
              <w:top w:w="85" w:type="dxa"/>
              <w:bottom w:w="85" w:type="dxa"/>
              <w:left w:w="120" w:type="dxa"/>
              <w:right w:w="120" w:type="dxa"/>
            </w:tcMar>
          </w:tcPr>
          <w:p>
            <w:pPr>
              <w:spacing w:before="0" w:after="0"/>
            </w:pPr>
            <w:r>
              <w:rPr>
                <w:rFonts w:ascii="Calibri" w:hAnsi="Calibri"/>
                <w:color w:val="2D3237"/>
                <w:sz w:val="16"/>
              </w:rPr>
              <w:t>UAE TDRA</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Section 5.2, Section 7.1, Section 10.1</w:t>
            </w:r>
          </w:p>
        </w:tc>
        <w:tc>
          <w:tcPr>
            <w:tcW w:type="dxa" w:w="2837"/>
            <w:shd w:fill="FFFFFF"/>
            <w:tcMar>
              <w:top w:w="85" w:type="dxa"/>
              <w:bottom w:w="85" w:type="dxa"/>
              <w:left w:w="120" w:type="dxa"/>
              <w:right w:w="120" w:type="dxa"/>
            </w:tcMar>
          </w:tcPr>
          <w:p>
            <w:pPr>
              <w:spacing w:before="0" w:after="0"/>
            </w:pPr>
            <w:r>
              <w:rPr>
                <w:rFonts w:ascii="Calibri" w:hAnsi="Calibri"/>
                <w:color w:val="2D3237"/>
                <w:sz w:val="16"/>
              </w:rPr>
              <w:t>National critical information infrastructure protection, cryptographic controls, 365-day audit logging.</w:t>
            </w:r>
          </w:p>
        </w:tc>
      </w:tr>
      <w:tr>
        <w:tc>
          <w:tcPr>
            <w:tcW w:type="dxa" w:w="2304"/>
            <w:shd w:fill="F7F9FB"/>
            <w:tcMar>
              <w:top w:w="85" w:type="dxa"/>
              <w:bottom w:w="85" w:type="dxa"/>
              <w:left w:w="120" w:type="dxa"/>
              <w:right w:w="120" w:type="dxa"/>
            </w:tcMar>
          </w:tcPr>
          <w:p>
            <w:pPr>
              <w:spacing w:before="0" w:after="0"/>
            </w:pPr>
            <w:r>
              <w:rPr>
                <w:rFonts w:ascii="Calibri" w:hAnsi="Calibri"/>
                <w:color w:val="2D3237"/>
                <w:sz w:val="16"/>
              </w:rPr>
              <w:t>ISO/IEC 27701:2019 (Privacy Information Management)</w:t>
            </w:r>
          </w:p>
        </w:tc>
        <w:tc>
          <w:tcPr>
            <w:tcW w:type="dxa" w:w="1872"/>
            <w:shd w:fill="F7F9FB"/>
            <w:tcMar>
              <w:top w:w="85" w:type="dxa"/>
              <w:bottom w:w="85" w:type="dxa"/>
              <w:left w:w="120" w:type="dxa"/>
              <w:right w:w="120" w:type="dxa"/>
            </w:tcMar>
          </w:tcPr>
          <w:p>
            <w:pPr>
              <w:spacing w:before="0" w:after="0"/>
            </w:pPr>
            <w:r>
              <w:rPr>
                <w:rFonts w:ascii="Calibri" w:hAnsi="Calibri"/>
                <w:color w:val="2D3237"/>
                <w:sz w:val="16"/>
              </w:rPr>
              <w:t>ISO</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Section 4.1, Section 10.1, Section 11.2</w:t>
            </w:r>
          </w:p>
        </w:tc>
        <w:tc>
          <w:tcPr>
            <w:tcW w:type="dxa" w:w="2837"/>
            <w:shd w:fill="F7F9FB"/>
            <w:tcMar>
              <w:top w:w="85" w:type="dxa"/>
              <w:bottom w:w="85" w:type="dxa"/>
              <w:left w:w="120" w:type="dxa"/>
              <w:right w:w="120" w:type="dxa"/>
            </w:tcMar>
          </w:tcPr>
          <w:p>
            <w:pPr>
              <w:spacing w:before="0" w:after="0"/>
            </w:pPr>
            <w:r>
              <w:rPr>
                <w:rFonts w:ascii="Calibri" w:hAnsi="Calibri"/>
                <w:color w:val="2D3237"/>
                <w:sz w:val="16"/>
              </w:rPr>
              <w:t>PIMS certification, automated data lifecycle governance, data controller/processor obligations.</w:t>
            </w:r>
          </w:p>
        </w:tc>
      </w:tr>
      <w:tr>
        <w:tc>
          <w:tcPr>
            <w:tcW w:type="dxa" w:w="2304"/>
            <w:shd w:fill="FFFFFF"/>
            <w:tcMar>
              <w:top w:w="85" w:type="dxa"/>
              <w:bottom w:w="85" w:type="dxa"/>
              <w:left w:w="120" w:type="dxa"/>
              <w:right w:w="120" w:type="dxa"/>
            </w:tcMar>
          </w:tcPr>
          <w:p>
            <w:pPr>
              <w:spacing w:before="0" w:after="0"/>
            </w:pPr>
            <w:r>
              <w:rPr>
                <w:rFonts w:ascii="Calibri" w:hAnsi="Calibri"/>
                <w:color w:val="2D3237"/>
                <w:sz w:val="16"/>
              </w:rPr>
              <w:t>ISO/IEC 42001:2023 (AI Management System)</w:t>
            </w:r>
          </w:p>
        </w:tc>
        <w:tc>
          <w:tcPr>
            <w:tcW w:type="dxa" w:w="1872"/>
            <w:shd w:fill="FFFFFF"/>
            <w:tcMar>
              <w:top w:w="85" w:type="dxa"/>
              <w:bottom w:w="85" w:type="dxa"/>
              <w:left w:w="120" w:type="dxa"/>
              <w:right w:w="120" w:type="dxa"/>
            </w:tcMar>
          </w:tcPr>
          <w:p>
            <w:pPr>
              <w:spacing w:before="0" w:after="0"/>
            </w:pPr>
            <w:r>
              <w:rPr>
                <w:rFonts w:ascii="Calibri" w:hAnsi="Calibri"/>
                <w:color w:val="2D3237"/>
                <w:sz w:val="16"/>
              </w:rPr>
              <w:t>ISO</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Section 9.1, Section 10.1, Section 11.3</w:t>
            </w:r>
          </w:p>
        </w:tc>
        <w:tc>
          <w:tcPr>
            <w:tcW w:type="dxa" w:w="2837"/>
            <w:shd w:fill="FFFFFF"/>
            <w:tcMar>
              <w:top w:w="85" w:type="dxa"/>
              <w:bottom w:w="85" w:type="dxa"/>
              <w:left w:w="120" w:type="dxa"/>
              <w:right w:w="120" w:type="dxa"/>
            </w:tcMar>
          </w:tcPr>
          <w:p>
            <w:pPr>
              <w:spacing w:before="0" w:after="0"/>
            </w:pPr>
            <w:r>
              <w:rPr>
                <w:rFonts w:ascii="Calibri" w:hAnsi="Calibri"/>
                <w:color w:val="2D3237"/>
                <w:sz w:val="16"/>
              </w:rPr>
              <w:t>AI training data lineage, synthetic data governance, algorithmic provenance verification.</w:t>
            </w:r>
          </w:p>
        </w:tc>
      </w:tr>
      <w:tr>
        <w:tc>
          <w:tcPr>
            <w:tcW w:type="dxa" w:w="2304"/>
            <w:shd w:fill="F7F9FB"/>
            <w:tcMar>
              <w:top w:w="85" w:type="dxa"/>
              <w:bottom w:w="85" w:type="dxa"/>
              <w:left w:w="120" w:type="dxa"/>
              <w:right w:w="120" w:type="dxa"/>
            </w:tcMar>
          </w:tcPr>
          <w:p>
            <w:pPr>
              <w:spacing w:before="0" w:after="0"/>
            </w:pPr>
            <w:r>
              <w:rPr>
                <w:rFonts w:ascii="Calibri" w:hAnsi="Calibri"/>
                <w:color w:val="2D3237"/>
                <w:sz w:val="16"/>
              </w:rPr>
              <w:t>European Union General Data Protection Regulation (GDPR)</w:t>
            </w:r>
          </w:p>
        </w:tc>
        <w:tc>
          <w:tcPr>
            <w:tcW w:type="dxa" w:w="1872"/>
            <w:shd w:fill="F7F9FB"/>
            <w:tcMar>
              <w:top w:w="85" w:type="dxa"/>
              <w:bottom w:w="85" w:type="dxa"/>
              <w:left w:w="120" w:type="dxa"/>
              <w:right w:w="120" w:type="dxa"/>
            </w:tcMar>
          </w:tcPr>
          <w:p>
            <w:pPr>
              <w:spacing w:before="0" w:after="0"/>
            </w:pPr>
            <w:r>
              <w:rPr>
                <w:rFonts w:ascii="Calibri" w:hAnsi="Calibri"/>
                <w:color w:val="2D3237"/>
                <w:sz w:val="16"/>
              </w:rPr>
              <w:t>European Data Protection Board</w:t>
            </w:r>
          </w:p>
        </w:tc>
        <w:tc>
          <w:tcPr>
            <w:tcW w:type="dxa" w:w="2016"/>
            <w:shd w:fill="F7F9FB"/>
            <w:tcMar>
              <w:top w:w="85" w:type="dxa"/>
              <w:bottom w:w="85" w:type="dxa"/>
              <w:left w:w="120" w:type="dxa"/>
              <w:right w:w="120" w:type="dxa"/>
            </w:tcMar>
          </w:tcPr>
          <w:p>
            <w:pPr>
              <w:spacing w:before="0" w:after="0"/>
            </w:pPr>
            <w:r>
              <w:rPr>
                <w:rFonts w:ascii="Calibri" w:hAnsi="Calibri"/>
                <w:color w:val="2D3237"/>
                <w:sz w:val="16"/>
              </w:rPr>
              <w:t>Section 6.1, Section 6.2, Section 11.2</w:t>
            </w:r>
          </w:p>
        </w:tc>
        <w:tc>
          <w:tcPr>
            <w:tcW w:type="dxa" w:w="2837"/>
            <w:shd w:fill="F7F9FB"/>
            <w:tcMar>
              <w:top w:w="85" w:type="dxa"/>
              <w:bottom w:w="85" w:type="dxa"/>
              <w:left w:w="120" w:type="dxa"/>
              <w:right w:w="120" w:type="dxa"/>
            </w:tcMar>
          </w:tcPr>
          <w:p>
            <w:pPr>
              <w:spacing w:before="0" w:after="0"/>
            </w:pPr>
            <w:r>
              <w:rPr>
                <w:rFonts w:ascii="Calibri" w:hAnsi="Calibri"/>
                <w:color w:val="2D3237"/>
                <w:sz w:val="16"/>
              </w:rPr>
              <w:t>Standard Contractual Clauses (SCCs), transfer impact assessments, k-anonymity privacy baselines.</w:t>
            </w:r>
          </w:p>
        </w:tc>
      </w:tr>
      <w:tr>
        <w:tc>
          <w:tcPr>
            <w:tcW w:type="dxa" w:w="2304"/>
            <w:shd w:fill="FFFFFF"/>
            <w:tcMar>
              <w:top w:w="85" w:type="dxa"/>
              <w:bottom w:w="85" w:type="dxa"/>
              <w:left w:w="120" w:type="dxa"/>
              <w:right w:w="120" w:type="dxa"/>
            </w:tcMar>
          </w:tcPr>
          <w:p>
            <w:pPr>
              <w:spacing w:before="0" w:after="0"/>
            </w:pPr>
            <w:r>
              <w:rPr>
                <w:rFonts w:ascii="Calibri" w:hAnsi="Calibri"/>
                <w:color w:val="2D3237"/>
                <w:sz w:val="16"/>
              </w:rPr>
              <w:t>FIPS 140-2 / 140-3 Cryptographic Standards</w:t>
            </w:r>
          </w:p>
        </w:tc>
        <w:tc>
          <w:tcPr>
            <w:tcW w:type="dxa" w:w="1872"/>
            <w:shd w:fill="FFFFFF"/>
            <w:tcMar>
              <w:top w:w="85" w:type="dxa"/>
              <w:bottom w:w="85" w:type="dxa"/>
              <w:left w:w="120" w:type="dxa"/>
              <w:right w:w="120" w:type="dxa"/>
            </w:tcMar>
          </w:tcPr>
          <w:p>
            <w:pPr>
              <w:spacing w:before="0" w:after="0"/>
            </w:pPr>
            <w:r>
              <w:rPr>
                <w:rFonts w:ascii="Calibri" w:hAnsi="Calibri"/>
                <w:color w:val="2D3237"/>
                <w:sz w:val="16"/>
              </w:rPr>
              <w:t>US NIST</w:t>
            </w:r>
          </w:p>
        </w:tc>
        <w:tc>
          <w:tcPr>
            <w:tcW w:type="dxa" w:w="2016"/>
            <w:shd w:fill="FFFFFF"/>
            <w:tcMar>
              <w:top w:w="85" w:type="dxa"/>
              <w:bottom w:w="85" w:type="dxa"/>
              <w:left w:w="120" w:type="dxa"/>
              <w:right w:w="120" w:type="dxa"/>
            </w:tcMar>
          </w:tcPr>
          <w:p>
            <w:pPr>
              <w:spacing w:before="0" w:after="0"/>
            </w:pPr>
            <w:r>
              <w:rPr>
                <w:rFonts w:ascii="Calibri" w:hAnsi="Calibri"/>
                <w:color w:val="2D3237"/>
                <w:sz w:val="16"/>
              </w:rPr>
              <w:t>Section 7.1, Section 7.3, Section 8.1</w:t>
            </w:r>
          </w:p>
        </w:tc>
        <w:tc>
          <w:tcPr>
            <w:tcW w:type="dxa" w:w="2837"/>
            <w:shd w:fill="FFFFFF"/>
            <w:tcMar>
              <w:top w:w="85" w:type="dxa"/>
              <w:bottom w:w="85" w:type="dxa"/>
              <w:left w:w="120" w:type="dxa"/>
              <w:right w:w="120" w:type="dxa"/>
            </w:tcMar>
          </w:tcPr>
          <w:p>
            <w:pPr>
              <w:spacing w:before="0" w:after="0"/>
            </w:pPr>
            <w:r>
              <w:rPr>
                <w:rFonts w:ascii="Calibri" w:hAnsi="Calibri"/>
                <w:color w:val="2D3237"/>
                <w:sz w:val="16"/>
              </w:rPr>
              <w:t>Hardware Security Module (HSM) validation, AES-256-GCM, Customer-Managed Keys (CMEK).</w:t>
            </w:r>
          </w:p>
        </w:tc>
      </w:tr>
    </w:tbl>
    <w:p>
      <w:pPr>
        <w:spacing w:before="0" w:after="80"/>
      </w:pPr>
    </w:p>
    <w:p>
      <w:r>
        <w:br w:type="page"/>
      </w:r>
    </w:p>
    <w:p>
      <w:pPr>
        <w:keepNext/>
        <w:spacing w:before="360" w:after="120"/>
      </w:pPr>
      <w:r>
        <w:rPr>
          <w:rFonts w:ascii="Calibri" w:hAnsi="Calibri"/>
          <w:b/>
          <w:color w:val="0B2545"/>
          <w:sz w:val="29"/>
        </w:rPr>
        <w:t>SECTION 14: APPENDIX B — MANDATORY DATA ATTESTATION REGISTRY</w:t>
      </w:r>
    </w:p>
    <w:p>
      <w:pPr>
        <w:spacing w:before="0" w:after="100" w:line="276" w:lineRule="auto"/>
      </w:pPr>
      <w:r>
        <w:rPr>
          <w:rFonts w:ascii="Calibri" w:hAnsi="Calibri"/>
          <w:color w:val="2D3237"/>
          <w:sz w:val="19"/>
        </w:rPr>
        <w:t>Clause 14.1.1 — All newly appointed Data Stewards, Cloud Architects, MLOps Engineers, Database Administrators, and Autonomous Agent Owners must digitally execute this formal attestation within 14 calendar days of appointment. Failure to execute initiates automated credential suspension under Enterprise Security Directive ISD-402.</w:t>
      </w:r>
    </w:p>
    <w:tbl>
      <w:tblPr>
        <w:tblW w:type="auto" w:w="0"/>
        <w:jc w:val="center"/>
        <w:tblLayout w:type="fixed"/>
        <w:tblLook w:firstColumn="1" w:firstRow="1" w:lastColumn="0" w:lastRow="0" w:noHBand="0" w:noVBand="1" w:val="04A0"/>
      </w:tblPr>
      <w:tblGrid>
        <w:gridCol w:w="4507"/>
        <w:gridCol w:w="4522"/>
      </w:tblGrid>
      <w:tr>
        <w:tc>
          <w:tcPr>
            <w:tcW w:type="dxa" w:w="4507"/>
            <w:shd w:fill="F7F9FB"/>
            <w:tcMar>
              <w:top w:w="100" w:type="dxa"/>
              <w:bottom w:w="100" w:type="dxa"/>
              <w:left w:w="120" w:type="dxa"/>
              <w:right w:w="120" w:type="dxa"/>
            </w:tcMar>
          </w:tcPr>
          <w:p>
            <w:pPr>
              <w:spacing w:before="0" w:after="0"/>
            </w:pPr>
            <w:r>
              <w:rPr>
                <w:rFonts w:ascii="Calibri" w:hAnsi="Calibri"/>
                <w:color w:val="2D3237"/>
                <w:sz w:val="17"/>
              </w:rPr>
              <w:t>Full Legal Employee Name: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Operating Company / Subsidiary Entity: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Enterprise ID / Global Employee UID:</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Job Title / Data Stewardship Role:</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Assigned Data Domain / Cluster Scope: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Highest Data Classification Handled (Tier 1-4):</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Designated CMEK Key Vault / Subnet ID:</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Autonomous Agent / Tool Name (if applicable):</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Digital Cryptographic Signature: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Date of Formal Attestation (DD/MM/YYYY):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Authorizing OpCo CDO / Manager Name:</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Counter-Signature &amp; Date:</w:t>
              <w:br/>
              <w:br/>
              <w:t>____________________________________________</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CLASSIFICATION: CONFIDENTIAL (LEVEL 3)  |  TAXONOMY: [GROUP-LEVEL]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G42 GROUP POLICY  |  G42-POL-DAT-003  |  DATA GOVERNANCE, SOVEREIGNTY &amp; CRYPTO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