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0"/>
      </w:pPr>
      <w:r>
        <w:rPr>
          <w:rFonts w:ascii="Calibri" w:hAnsi="Calibri"/>
          <w:b/>
          <w:color w:val="136F63"/>
          <w:sz w:val="22"/>
        </w:rPr>
        <w:t>G42 HOLDING LLC  |  GROUP CYBERSECURITY &amp; INFORMATION ASSURANCE</w:t>
      </w:r>
    </w:p>
    <w:p>
      <w:pPr>
        <w:spacing w:before="80" w:after="160"/>
      </w:pPr>
      <w:r>
        <w:rPr>
          <w:rFonts w:ascii="Calibri" w:hAnsi="Calibri"/>
          <w:b/>
          <w:color w:val="0B2545"/>
          <w:sz w:val="44"/>
        </w:rPr>
        <w:t>GROUP ENTERPRISE INFORMATION SECURITY &amp; ZERO TRUST ARCHITECTURE POLICY</w:t>
      </w:r>
    </w:p>
    <w:p>
      <w:pPr>
        <w:spacing w:before="0" w:after="400"/>
      </w:pPr>
      <w:r>
        <w:rPr>
          <w:rFonts w:ascii="Calibri" w:hAnsi="Calibri"/>
          <w:color w:val="465A6E"/>
          <w:sz w:val="21"/>
        </w:rPr>
        <w:t>A mandatory, comprehensive enterprise cybersecurity directive establishing Zero Trust Architecture (ZTA), hardware-enforced multi-factor authentication (FIDO2/WebAuthn), ephemeral Just-In-Time (JIT) privileged access, software-defined micro-segmentation, sovereign endpoint containment, cryptographic perimeter defense, autonomous agent identity guardrails (Sage Agent), and 24/7 Security Operations Center (CSOC) incident escalation across G42 and all subsidiary ecosystems.</w:t>
      </w:r>
    </w:p>
    <w:tbl>
      <w:tblPr>
        <w:tblW w:type="auto" w:w="0"/>
        <w:jc w:val="center"/>
        <w:tblLayout w:type="fixed"/>
        <w:tblLook w:firstColumn="1" w:firstRow="1" w:lastColumn="0" w:lastRow="0" w:noHBand="0" w:noVBand="1" w:val="04A0"/>
      </w:tblPr>
      <w:tblGrid>
        <w:gridCol w:w="3024"/>
        <w:gridCol w:w="6005"/>
      </w:tblGrid>
      <w:tr>
        <w:tc>
          <w:tcPr>
            <w:tcW w:type="dxa" w:w="3024"/>
            <w:shd w:fill="0B2545"/>
            <w:tcMar>
              <w:top w:w="120" w:type="dxa"/>
              <w:bottom w:w="120" w:type="dxa"/>
              <w:left w:w="130" w:type="dxa"/>
              <w:right w:w="130" w:type="dxa"/>
            </w:tcMar>
          </w:tcPr>
          <w:p>
            <w:pPr>
              <w:spacing w:before="0" w:after="0"/>
              <w:jc w:val="left"/>
            </w:pPr>
            <w:r>
              <w:rPr>
                <w:rFonts w:ascii="Calibri" w:hAnsi="Calibri"/>
                <w:b/>
                <w:color w:val="FFFFFF"/>
                <w:sz w:val="18"/>
              </w:rPr>
              <w:t>Metadata Schema Attribute</w:t>
            </w:r>
          </w:p>
        </w:tc>
        <w:tc>
          <w:tcPr>
            <w:tcW w:type="dxa" w:w="6005"/>
            <w:shd w:fill="0B2545"/>
            <w:tcMar>
              <w:top w:w="120" w:type="dxa"/>
              <w:bottom w:w="120" w:type="dxa"/>
              <w:left w:w="130" w:type="dxa"/>
              <w:right w:w="130" w:type="dxa"/>
            </w:tcMar>
          </w:tcPr>
          <w:p>
            <w:pPr>
              <w:spacing w:before="0" w:after="0"/>
              <w:jc w:val="left"/>
            </w:pPr>
            <w:r>
              <w:rPr>
                <w:rFonts w:ascii="Calibri" w:hAnsi="Calibri"/>
                <w:b/>
                <w:color w:val="FFFFFF"/>
                <w:sz w:val="18"/>
              </w:rPr>
              <w:t>Enterprise Policy Specification Value</w:t>
            </w:r>
          </w:p>
        </w:tc>
      </w:tr>
      <w:tr>
        <w:tc>
          <w:tcPr>
            <w:tcW w:type="dxa" w:w="3024"/>
            <w:shd w:fill="FFFFFF"/>
            <w:tcMar>
              <w:top w:w="95" w:type="dxa"/>
              <w:bottom w:w="95" w:type="dxa"/>
              <w:left w:w="130" w:type="dxa"/>
              <w:right w:w="130" w:type="dxa"/>
            </w:tcMar>
          </w:tcPr>
          <w:p>
            <w:pPr>
              <w:spacing w:before="0" w:after="0"/>
            </w:pPr>
            <w:r>
              <w:rPr>
                <w:rFonts w:ascii="Calibri" w:hAnsi="Calibri"/>
                <w:color w:val="2D3237"/>
                <w:sz w:val="17"/>
              </w:rPr>
              <w:t>Document Identifier</w:t>
            </w:r>
          </w:p>
        </w:tc>
        <w:tc>
          <w:tcPr>
            <w:tcW w:type="dxa" w:w="6005"/>
            <w:shd w:fill="FFFFFF"/>
            <w:tcMar>
              <w:top w:w="95" w:type="dxa"/>
              <w:bottom w:w="95" w:type="dxa"/>
              <w:left w:w="130" w:type="dxa"/>
              <w:right w:w="130" w:type="dxa"/>
            </w:tcMar>
          </w:tcPr>
          <w:p>
            <w:pPr>
              <w:spacing w:before="0" w:after="0"/>
            </w:pPr>
            <w:r>
              <w:rPr>
                <w:rFonts w:ascii="Calibri" w:hAnsi="Calibri"/>
                <w:color w:val="2D3237"/>
                <w:sz w:val="17"/>
              </w:rPr>
              <w:t>G42-POL-SEC-002</w:t>
            </w:r>
          </w:p>
        </w:tc>
      </w:tr>
      <w:tr>
        <w:tc>
          <w:tcPr>
            <w:tcW w:type="dxa" w:w="3024"/>
            <w:shd w:fill="F7F9FB"/>
            <w:tcMar>
              <w:top w:w="95" w:type="dxa"/>
              <w:bottom w:w="95" w:type="dxa"/>
              <w:left w:w="130" w:type="dxa"/>
              <w:right w:w="130" w:type="dxa"/>
            </w:tcMar>
          </w:tcPr>
          <w:p>
            <w:pPr>
              <w:spacing w:before="0" w:after="0"/>
            </w:pPr>
            <w:r>
              <w:rPr>
                <w:rFonts w:ascii="Calibri" w:hAnsi="Calibri"/>
                <w:color w:val="2D3237"/>
                <w:sz w:val="17"/>
              </w:rPr>
              <w:t>Document Title</w:t>
            </w:r>
          </w:p>
        </w:tc>
        <w:tc>
          <w:tcPr>
            <w:tcW w:type="dxa" w:w="6005"/>
            <w:shd w:fill="F7F9FB"/>
            <w:tcMar>
              <w:top w:w="95" w:type="dxa"/>
              <w:bottom w:w="95" w:type="dxa"/>
              <w:left w:w="130" w:type="dxa"/>
              <w:right w:w="130" w:type="dxa"/>
            </w:tcMar>
          </w:tcPr>
          <w:p>
            <w:pPr>
              <w:spacing w:before="0" w:after="0"/>
            </w:pPr>
            <w:r>
              <w:rPr>
                <w:rFonts w:ascii="Calibri" w:hAnsi="Calibri"/>
                <w:color w:val="2D3237"/>
                <w:sz w:val="17"/>
              </w:rPr>
              <w:t>Group Enterprise Information Security &amp; Zero Trust Architecture Policy</w:t>
            </w:r>
          </w:p>
        </w:tc>
      </w:tr>
      <w:tr>
        <w:tc>
          <w:tcPr>
            <w:tcW w:type="dxa" w:w="3024"/>
            <w:shd w:fill="FFFFFF"/>
            <w:tcMar>
              <w:top w:w="95" w:type="dxa"/>
              <w:bottom w:w="95" w:type="dxa"/>
              <w:left w:w="130" w:type="dxa"/>
              <w:right w:w="130" w:type="dxa"/>
            </w:tcMar>
          </w:tcPr>
          <w:p>
            <w:pPr>
              <w:spacing w:before="0" w:after="0"/>
            </w:pPr>
            <w:r>
              <w:rPr>
                <w:rFonts w:ascii="Calibri" w:hAnsi="Calibri"/>
                <w:color w:val="2D3237"/>
                <w:sz w:val="17"/>
              </w:rPr>
              <w:t>Document Type</w:t>
            </w:r>
          </w:p>
        </w:tc>
        <w:tc>
          <w:tcPr>
            <w:tcW w:type="dxa" w:w="6005"/>
            <w:shd w:fill="FFFFFF"/>
            <w:tcMar>
              <w:top w:w="95" w:type="dxa"/>
              <w:bottom w:w="95" w:type="dxa"/>
              <w:left w:w="130" w:type="dxa"/>
              <w:right w:w="130" w:type="dxa"/>
            </w:tcMar>
          </w:tcPr>
          <w:p>
            <w:pPr>
              <w:spacing w:before="0" w:after="0"/>
            </w:pPr>
            <w:r>
              <w:rPr>
                <w:rFonts w:ascii="Calibri" w:hAnsi="Calibri"/>
                <w:color w:val="2D3237"/>
                <w:sz w:val="17"/>
              </w:rPr>
              <w:t>Group Enterprise Policy (Mandatory Tier-1 Cybersecurity Standard)</w:t>
            </w:r>
          </w:p>
        </w:tc>
      </w:tr>
      <w:tr>
        <w:tc>
          <w:tcPr>
            <w:tcW w:type="dxa" w:w="3024"/>
            <w:shd w:fill="F7F9FB"/>
            <w:tcMar>
              <w:top w:w="95" w:type="dxa"/>
              <w:bottom w:w="95" w:type="dxa"/>
              <w:left w:w="130" w:type="dxa"/>
              <w:right w:w="130" w:type="dxa"/>
            </w:tcMar>
          </w:tcPr>
          <w:p>
            <w:pPr>
              <w:spacing w:before="0" w:after="0"/>
            </w:pPr>
            <w:r>
              <w:rPr>
                <w:rFonts w:ascii="Calibri" w:hAnsi="Calibri"/>
                <w:color w:val="2D3237"/>
                <w:sz w:val="17"/>
              </w:rPr>
              <w:t>Taxonomy Classification</w:t>
            </w:r>
          </w:p>
        </w:tc>
        <w:tc>
          <w:tcPr>
            <w:tcW w:type="dxa" w:w="6005"/>
            <w:shd w:fill="F7F9FB"/>
            <w:tcMar>
              <w:top w:w="95" w:type="dxa"/>
              <w:bottom w:w="95" w:type="dxa"/>
              <w:left w:w="130" w:type="dxa"/>
              <w:right w:w="130" w:type="dxa"/>
            </w:tcMar>
          </w:tcPr>
          <w:p>
            <w:pPr>
              <w:spacing w:before="0" w:after="0"/>
            </w:pPr>
            <w:r>
              <w:rPr>
                <w:rFonts w:ascii="Calibri" w:hAnsi="Calibri"/>
                <w:color w:val="2D3237"/>
                <w:sz w:val="17"/>
              </w:rPr>
              <w:t>GROUP-LEVEL (Universally Applicable Across Group &amp; All OpCos)</w:t>
            </w:r>
          </w:p>
        </w:tc>
      </w:tr>
      <w:tr>
        <w:tc>
          <w:tcPr>
            <w:tcW w:type="dxa" w:w="3024"/>
            <w:shd w:fill="FFFFFF"/>
            <w:tcMar>
              <w:top w:w="95" w:type="dxa"/>
              <w:bottom w:w="95" w:type="dxa"/>
              <w:left w:w="130" w:type="dxa"/>
              <w:right w:w="130" w:type="dxa"/>
            </w:tcMar>
          </w:tcPr>
          <w:p>
            <w:pPr>
              <w:spacing w:before="0" w:after="0"/>
            </w:pPr>
            <w:r>
              <w:rPr>
                <w:rFonts w:ascii="Calibri" w:hAnsi="Calibri"/>
                <w:color w:val="2D3237"/>
                <w:sz w:val="17"/>
              </w:rPr>
              <w:t>Document Owner</w:t>
            </w:r>
          </w:p>
        </w:tc>
        <w:tc>
          <w:tcPr>
            <w:tcW w:type="dxa" w:w="6005"/>
            <w:shd w:fill="FFFFFF"/>
            <w:tcMar>
              <w:top w:w="95" w:type="dxa"/>
              <w:bottom w:w="95" w:type="dxa"/>
              <w:left w:w="130" w:type="dxa"/>
              <w:right w:w="130" w:type="dxa"/>
            </w:tcMar>
          </w:tcPr>
          <w:p>
            <w:pPr>
              <w:spacing w:before="0" w:after="0"/>
            </w:pPr>
            <w:r>
              <w:rPr>
                <w:rFonts w:ascii="Calibri" w:hAnsi="Calibri"/>
                <w:color w:val="2D3237"/>
                <w:sz w:val="17"/>
              </w:rPr>
              <w:t>Group Chief Information Security Officer (CISO) / Group Cybersecurity Council</w:t>
            </w:r>
          </w:p>
        </w:tc>
      </w:tr>
      <w:tr>
        <w:tc>
          <w:tcPr>
            <w:tcW w:type="dxa" w:w="3024"/>
            <w:shd w:fill="F7F9FB"/>
            <w:tcMar>
              <w:top w:w="95" w:type="dxa"/>
              <w:bottom w:w="95" w:type="dxa"/>
              <w:left w:w="130" w:type="dxa"/>
              <w:right w:w="130" w:type="dxa"/>
            </w:tcMar>
          </w:tcPr>
          <w:p>
            <w:pPr>
              <w:spacing w:before="0" w:after="0"/>
            </w:pPr>
            <w:r>
              <w:rPr>
                <w:rFonts w:ascii="Calibri" w:hAnsi="Calibri"/>
                <w:color w:val="2D3237"/>
                <w:sz w:val="17"/>
              </w:rPr>
              <w:t>Issuing Body</w:t>
            </w:r>
          </w:p>
        </w:tc>
        <w:tc>
          <w:tcPr>
            <w:tcW w:type="dxa" w:w="6005"/>
            <w:shd w:fill="F7F9FB"/>
            <w:tcMar>
              <w:top w:w="95" w:type="dxa"/>
              <w:bottom w:w="95" w:type="dxa"/>
              <w:left w:w="130" w:type="dxa"/>
              <w:right w:w="130" w:type="dxa"/>
            </w:tcMar>
          </w:tcPr>
          <w:p>
            <w:pPr>
              <w:spacing w:before="0" w:after="0"/>
            </w:pPr>
            <w:r>
              <w:rPr>
                <w:rFonts w:ascii="Calibri" w:hAnsi="Calibri"/>
                <w:color w:val="2D3237"/>
                <w:sz w:val="17"/>
              </w:rPr>
              <w:t>G42 Group Executive Committee &amp; Board Risk Governance Council</w:t>
            </w:r>
          </w:p>
        </w:tc>
      </w:tr>
      <w:tr>
        <w:tc>
          <w:tcPr>
            <w:tcW w:type="dxa" w:w="3024"/>
            <w:shd w:fill="FFFFFF"/>
            <w:tcMar>
              <w:top w:w="95" w:type="dxa"/>
              <w:bottom w:w="95" w:type="dxa"/>
              <w:left w:w="130" w:type="dxa"/>
              <w:right w:w="130" w:type="dxa"/>
            </w:tcMar>
          </w:tcPr>
          <w:p>
            <w:pPr>
              <w:spacing w:before="0" w:after="0"/>
            </w:pPr>
            <w:r>
              <w:rPr>
                <w:rFonts w:ascii="Calibri" w:hAnsi="Calibri"/>
                <w:color w:val="2D3237"/>
                <w:sz w:val="17"/>
              </w:rPr>
              <w:t>Approval Status</w:t>
            </w:r>
          </w:p>
        </w:tc>
        <w:tc>
          <w:tcPr>
            <w:tcW w:type="dxa" w:w="6005"/>
            <w:shd w:fill="FFFFFF"/>
            <w:tcMar>
              <w:top w:w="95" w:type="dxa"/>
              <w:bottom w:w="95" w:type="dxa"/>
              <w:left w:w="130" w:type="dxa"/>
              <w:right w:w="130" w:type="dxa"/>
            </w:tcMar>
          </w:tcPr>
          <w:p>
            <w:pPr>
              <w:spacing w:before="0" w:after="0"/>
            </w:pPr>
            <w:r>
              <w:rPr>
                <w:rFonts w:ascii="Calibri" w:hAnsi="Calibri"/>
                <w:color w:val="2D3237"/>
                <w:sz w:val="17"/>
              </w:rPr>
              <w:t>Approved &amp; Formally Ratified</w:t>
            </w:r>
          </w:p>
        </w:tc>
      </w:tr>
      <w:tr>
        <w:tc>
          <w:tcPr>
            <w:tcW w:type="dxa" w:w="3024"/>
            <w:shd w:fill="F7F9FB"/>
            <w:tcMar>
              <w:top w:w="95" w:type="dxa"/>
              <w:bottom w:w="95" w:type="dxa"/>
              <w:left w:w="130" w:type="dxa"/>
              <w:right w:w="130" w:type="dxa"/>
            </w:tcMar>
          </w:tcPr>
          <w:p>
            <w:pPr>
              <w:spacing w:before="0" w:after="0"/>
            </w:pPr>
            <w:r>
              <w:rPr>
                <w:rFonts w:ascii="Calibri" w:hAnsi="Calibri"/>
                <w:color w:val="2D3237"/>
                <w:sz w:val="17"/>
              </w:rPr>
              <w:t>Effective Date</w:t>
            </w:r>
          </w:p>
        </w:tc>
        <w:tc>
          <w:tcPr>
            <w:tcW w:type="dxa" w:w="6005"/>
            <w:shd w:fill="F7F9FB"/>
            <w:tcMar>
              <w:top w:w="95" w:type="dxa"/>
              <w:bottom w:w="95" w:type="dxa"/>
              <w:left w:w="130" w:type="dxa"/>
              <w:right w:w="130" w:type="dxa"/>
            </w:tcMar>
          </w:tcPr>
          <w:p>
            <w:pPr>
              <w:spacing w:before="0" w:after="0"/>
            </w:pPr>
            <w:r>
              <w:rPr>
                <w:rFonts w:ascii="Calibri" w:hAnsi="Calibri"/>
                <w:color w:val="2D3237"/>
                <w:sz w:val="17"/>
              </w:rPr>
              <w:t>January 15, 2026</w:t>
            </w:r>
          </w:p>
        </w:tc>
      </w:tr>
      <w:tr>
        <w:tc>
          <w:tcPr>
            <w:tcW w:type="dxa" w:w="3024"/>
            <w:shd w:fill="FFFFFF"/>
            <w:tcMar>
              <w:top w:w="95" w:type="dxa"/>
              <w:bottom w:w="95" w:type="dxa"/>
              <w:left w:w="130" w:type="dxa"/>
              <w:right w:w="130" w:type="dxa"/>
            </w:tcMar>
          </w:tcPr>
          <w:p>
            <w:pPr>
              <w:spacing w:before="0" w:after="0"/>
            </w:pPr>
            <w:r>
              <w:rPr>
                <w:rFonts w:ascii="Calibri" w:hAnsi="Calibri"/>
                <w:color w:val="2D3237"/>
                <w:sz w:val="17"/>
              </w:rPr>
              <w:t>Last Review Date</w:t>
            </w:r>
          </w:p>
        </w:tc>
        <w:tc>
          <w:tcPr>
            <w:tcW w:type="dxa" w:w="6005"/>
            <w:shd w:fill="FFFFFF"/>
            <w:tcMar>
              <w:top w:w="95" w:type="dxa"/>
              <w:bottom w:w="95" w:type="dxa"/>
              <w:left w:w="130" w:type="dxa"/>
              <w:right w:w="130" w:type="dxa"/>
            </w:tcMar>
          </w:tcPr>
          <w:p>
            <w:pPr>
              <w:spacing w:before="0" w:after="0"/>
            </w:pPr>
            <w:r>
              <w:rPr>
                <w:rFonts w:ascii="Calibri" w:hAnsi="Calibri"/>
                <w:color w:val="2D3237"/>
                <w:sz w:val="17"/>
              </w:rPr>
              <w:t>January 10, 2026</w:t>
            </w:r>
          </w:p>
        </w:tc>
      </w:tr>
      <w:tr>
        <w:tc>
          <w:tcPr>
            <w:tcW w:type="dxa" w:w="3024"/>
            <w:shd w:fill="F7F9FB"/>
            <w:tcMar>
              <w:top w:w="95" w:type="dxa"/>
              <w:bottom w:w="95" w:type="dxa"/>
              <w:left w:w="130" w:type="dxa"/>
              <w:right w:w="130" w:type="dxa"/>
            </w:tcMar>
          </w:tcPr>
          <w:p>
            <w:pPr>
              <w:spacing w:before="0" w:after="0"/>
            </w:pPr>
            <w:r>
              <w:rPr>
                <w:rFonts w:ascii="Calibri" w:hAnsi="Calibri"/>
                <w:color w:val="2D3237"/>
                <w:sz w:val="17"/>
              </w:rPr>
              <w:t>Next Mandatory Review</w:t>
            </w:r>
          </w:p>
        </w:tc>
        <w:tc>
          <w:tcPr>
            <w:tcW w:type="dxa" w:w="6005"/>
            <w:shd w:fill="F7F9FB"/>
            <w:tcMar>
              <w:top w:w="95" w:type="dxa"/>
              <w:bottom w:w="95" w:type="dxa"/>
              <w:left w:w="130" w:type="dxa"/>
              <w:right w:w="130" w:type="dxa"/>
            </w:tcMar>
          </w:tcPr>
          <w:p>
            <w:pPr>
              <w:spacing w:before="0" w:after="0"/>
            </w:pPr>
            <w:r>
              <w:rPr>
                <w:rFonts w:ascii="Calibri" w:hAnsi="Calibri"/>
                <w:color w:val="2D3237"/>
                <w:sz w:val="17"/>
              </w:rPr>
              <w:t>January 15, 2027 (Annual Cycle or upon Triggering Zero-Day/Regulatory Event)</w:t>
            </w:r>
          </w:p>
        </w:tc>
      </w:tr>
      <w:tr>
        <w:tc>
          <w:tcPr>
            <w:tcW w:type="dxa" w:w="3024"/>
            <w:shd w:fill="FFFFFF"/>
            <w:tcMar>
              <w:top w:w="95" w:type="dxa"/>
              <w:bottom w:w="95" w:type="dxa"/>
              <w:left w:w="130" w:type="dxa"/>
              <w:right w:w="130" w:type="dxa"/>
            </w:tcMar>
          </w:tcPr>
          <w:p>
            <w:pPr>
              <w:spacing w:before="0" w:after="0"/>
            </w:pPr>
            <w:r>
              <w:rPr>
                <w:rFonts w:ascii="Calibri" w:hAnsi="Calibri"/>
                <w:color w:val="2D3237"/>
                <w:sz w:val="17"/>
              </w:rPr>
              <w:t>Target Entities / Scope</w:t>
            </w:r>
          </w:p>
        </w:tc>
        <w:tc>
          <w:tcPr>
            <w:tcW w:type="dxa" w:w="6005"/>
            <w:shd w:fill="FFFFFF"/>
            <w:tcMar>
              <w:top w:w="95" w:type="dxa"/>
              <w:bottom w:w="95" w:type="dxa"/>
              <w:left w:w="130" w:type="dxa"/>
              <w:right w:w="130" w:type="dxa"/>
            </w:tcMar>
          </w:tcPr>
          <w:p>
            <w:pPr>
              <w:spacing w:before="0" w:after="0"/>
            </w:pPr>
            <w:r>
              <w:rPr>
                <w:rFonts w:ascii="Calibri" w:hAnsi="Calibri"/>
                <w:color w:val="2D3237"/>
                <w:sz w:val="17"/>
              </w:rPr>
              <w:t>G42 Holding LLC, Core42, Inception (IIAI), Presight AI, AIQ, Khazna, Space42, Cloud Fabrics &amp; Autonomous Agents</w:t>
            </w:r>
          </w:p>
        </w:tc>
      </w:tr>
      <w:tr>
        <w:tc>
          <w:tcPr>
            <w:tcW w:type="dxa" w:w="3024"/>
            <w:shd w:fill="F7F9FB"/>
            <w:tcMar>
              <w:top w:w="95" w:type="dxa"/>
              <w:bottom w:w="95" w:type="dxa"/>
              <w:left w:w="130" w:type="dxa"/>
              <w:right w:w="130" w:type="dxa"/>
            </w:tcMar>
          </w:tcPr>
          <w:p>
            <w:pPr>
              <w:spacing w:before="0" w:after="0"/>
            </w:pPr>
            <w:r>
              <w:rPr>
                <w:rFonts w:ascii="Calibri" w:hAnsi="Calibri"/>
                <w:color w:val="2D3237"/>
                <w:sz w:val="17"/>
              </w:rPr>
              <w:t>Security Classification</w:t>
            </w:r>
          </w:p>
        </w:tc>
        <w:tc>
          <w:tcPr>
            <w:tcW w:type="dxa" w:w="6005"/>
            <w:shd w:fill="F7F9FB"/>
            <w:tcMar>
              <w:top w:w="95" w:type="dxa"/>
              <w:bottom w:w="95" w:type="dxa"/>
              <w:left w:w="130" w:type="dxa"/>
              <w:right w:w="130" w:type="dxa"/>
            </w:tcMar>
          </w:tcPr>
          <w:p>
            <w:pPr>
              <w:spacing w:before="0" w:after="0"/>
            </w:pPr>
            <w:r>
              <w:rPr>
                <w:rFonts w:ascii="Calibri" w:hAnsi="Calibri"/>
                <w:color w:val="2D3237"/>
                <w:sz w:val="17"/>
              </w:rPr>
              <w:t>CONFIDENTIAL / INTERNAL ENTERPRISE STANDARD - LEVEL 3 RESTRICTED</w:t>
            </w:r>
          </w:p>
        </w:tc>
      </w:tr>
      <w:tr>
        <w:tc>
          <w:tcPr>
            <w:tcW w:type="dxa" w:w="3024"/>
            <w:shd w:fill="FFFFFF"/>
            <w:tcMar>
              <w:top w:w="95" w:type="dxa"/>
              <w:bottom w:w="95" w:type="dxa"/>
              <w:left w:w="130" w:type="dxa"/>
              <w:right w:w="130" w:type="dxa"/>
            </w:tcMar>
          </w:tcPr>
          <w:p>
            <w:pPr>
              <w:spacing w:before="0" w:after="0"/>
            </w:pPr>
            <w:r>
              <w:rPr>
                <w:rFonts w:ascii="Calibri" w:hAnsi="Calibri"/>
                <w:color w:val="2D3237"/>
                <w:sz w:val="17"/>
              </w:rPr>
              <w:t>Version &amp; Build</w:t>
            </w:r>
          </w:p>
        </w:tc>
        <w:tc>
          <w:tcPr>
            <w:tcW w:type="dxa" w:w="6005"/>
            <w:shd w:fill="FFFFFF"/>
            <w:tcMar>
              <w:top w:w="95" w:type="dxa"/>
              <w:bottom w:w="95" w:type="dxa"/>
              <w:left w:w="130" w:type="dxa"/>
              <w:right w:w="130" w:type="dxa"/>
            </w:tcMar>
          </w:tcPr>
          <w:p>
            <w:pPr>
              <w:spacing w:before="0" w:after="0"/>
            </w:pPr>
            <w:r>
              <w:rPr>
                <w:rFonts w:ascii="Calibri" w:hAnsi="Calibri"/>
                <w:color w:val="2D3237"/>
                <w:sz w:val="17"/>
              </w:rPr>
              <w:t>Version 5.1.0 (Zero Trust Enterprise Harmonization Release)</w:t>
            </w:r>
          </w:p>
        </w:tc>
      </w:tr>
    </w:tbl>
    <w:p>
      <w:pPr>
        <w:spacing w:before="0" w:after="80"/>
      </w:pPr>
    </w:p>
    <w:tbl>
      <w:tblPr>
        <w:tblW w:type="auto" w:w="0"/>
        <w:jc w:val="center"/>
        <w:tblLayout w:type="fixed"/>
        <w:tblLook w:firstColumn="1" w:firstRow="1" w:lastColumn="0" w:lastRow="0" w:noHBand="0" w:noVBand="1" w:val="04A0"/>
      </w:tblPr>
      <w:tblGrid>
        <w:gridCol w:w="9029"/>
      </w:tblGrid>
      <w:tr>
        <w:tc>
          <w:tcPr>
            <w:tcW w:type="dxa" w:w="9029"/>
            <w:shd w:fill="F2F6FA"/>
            <w:tcMar>
              <w:top w:w="130" w:type="dxa"/>
              <w:bottom w:w="130" w:type="dxa"/>
              <w:left w:w="160" w:type="dxa"/>
              <w:right w:w="160" w:type="dxa"/>
            </w:tcMar>
            <w:tcBorders>
              <w:top w:val="none"/>
              <w:left w:val="single" w:sz="24" w:space="0" w:color="0B2545"/>
              <w:bottom w:val="none"/>
              <w:right w:val="none"/>
            </w:tcBorders>
          </w:tcPr>
          <w:p>
            <w:pPr>
              <w:spacing w:before="0" w:after="60"/>
            </w:pPr>
            <w:r>
              <w:rPr>
                <w:rFonts w:ascii="Calibri" w:hAnsi="Calibri"/>
                <w:b/>
                <w:color w:val="0B2545"/>
                <w:sz w:val="19"/>
              </w:rPr>
              <w:t>[EXECUTIVE COMPLIANCE MANDATE]</w:t>
              <w:br/>
            </w:r>
            <w:r>
              <w:rPr>
                <w:rFonts w:ascii="Calibri" w:hAnsi="Calibri"/>
                <w:color w:val="2D3237"/>
                <w:sz w:val="19"/>
              </w:rPr>
              <w:t>MANDATORY CYBERSECURITY DIRECTIVE: This document constitutes a Tier-1 Group Policy under G42 Corporate Charter Article 12 and Information Assurance Directive IAD-101. All operating company CISOs, cloud architects, system administrators, network engineers, software developers, external vendors, and autonomous AI agents (specifically including Sage Agent) must strictly comply with the Zero Trust controls specified herein. Any intentional attempt to bypass, disable, or misconfigure security perimeters shall result in immediate credential termination and disciplinary action under Section 15.</w:t>
            </w:r>
          </w:p>
        </w:tc>
      </w:tr>
    </w:tbl>
    <w:p>
      <w:pPr>
        <w:spacing w:before="0" w:after="80"/>
      </w:pPr>
    </w:p>
    <w:p>
      <w:r>
        <w:br w:type="page"/>
      </w:r>
    </w:p>
    <w:p>
      <w:pPr>
        <w:keepNext/>
        <w:spacing w:before="400" w:after="120"/>
      </w:pPr>
      <w:r>
        <w:rPr>
          <w:rFonts w:ascii="Calibri" w:hAnsi="Calibri"/>
          <w:b/>
          <w:color w:val="0B2545"/>
          <w:sz w:val="30"/>
        </w:rPr>
        <w:t>TABLE OF CONTENTS &amp; DOCUMENT ARCHITECTURE</w:t>
      </w:r>
    </w:p>
    <w:p>
      <w:pPr>
        <w:spacing w:before="0" w:after="120" w:line="276" w:lineRule="auto"/>
      </w:pPr>
      <w:r>
        <w:rPr>
          <w:rFonts w:ascii="Calibri" w:hAnsi="Calibri"/>
          <w:color w:val="2D3237"/>
          <w:sz w:val="20"/>
        </w:rPr>
        <w:t>This document establishes the binding cybersecurity baselines, identity perimeters, micro-segmentation architectures, and endpoint defenses governing all digital assets, cloud environments, and physical infrastructure across G42. The document is structured into seventeen detailed, clause-numbered sections optimized for automated ingestion, semantic parsing, and knowledge graph mapping in downstream governance systems.</w:t>
      </w:r>
    </w:p>
    <w:tbl>
      <w:tblPr>
        <w:tblW w:type="auto" w:w="0"/>
        <w:jc w:val="center"/>
        <w:tblLayout w:type="fixed"/>
        <w:tblLook w:firstColumn="1" w:firstRow="1" w:lastColumn="0" w:lastRow="0" w:noHBand="0" w:noVBand="1" w:val="04A0"/>
      </w:tblPr>
      <w:tblGrid>
        <w:gridCol w:w="1440"/>
        <w:gridCol w:w="3168"/>
        <w:gridCol w:w="1152"/>
        <w:gridCol w:w="3269"/>
      </w:tblGrid>
      <w:tr>
        <w:tc>
          <w:tcPr>
            <w:tcW w:type="dxa" w:w="1440"/>
            <w:shd w:fill="0B2545"/>
            <w:tcMar>
              <w:top w:w="120" w:type="dxa"/>
              <w:bottom w:w="120" w:type="dxa"/>
              <w:left w:w="130" w:type="dxa"/>
              <w:right w:w="130" w:type="dxa"/>
            </w:tcMar>
          </w:tcPr>
          <w:p>
            <w:pPr>
              <w:spacing w:before="0" w:after="0"/>
              <w:jc w:val="left"/>
            </w:pPr>
            <w:r>
              <w:rPr>
                <w:rFonts w:ascii="Calibri" w:hAnsi="Calibri"/>
                <w:b/>
                <w:color w:val="FFFFFF"/>
                <w:sz w:val="18"/>
              </w:rPr>
              <w:t>Section Ref</w:t>
            </w:r>
          </w:p>
        </w:tc>
        <w:tc>
          <w:tcPr>
            <w:tcW w:type="dxa" w:w="3168"/>
            <w:shd w:fill="0B2545"/>
            <w:tcMar>
              <w:top w:w="120" w:type="dxa"/>
              <w:bottom w:w="120" w:type="dxa"/>
              <w:left w:w="130" w:type="dxa"/>
              <w:right w:w="130" w:type="dxa"/>
            </w:tcMar>
          </w:tcPr>
          <w:p>
            <w:pPr>
              <w:spacing w:before="0" w:after="0"/>
              <w:jc w:val="left"/>
            </w:pPr>
            <w:r>
              <w:rPr>
                <w:rFonts w:ascii="Calibri" w:hAnsi="Calibri"/>
                <w:b/>
                <w:color w:val="FFFFFF"/>
                <w:sz w:val="18"/>
              </w:rPr>
              <w:t>Cybersecurity Domain &amp; Title</w:t>
            </w:r>
          </w:p>
        </w:tc>
        <w:tc>
          <w:tcPr>
            <w:tcW w:type="dxa" w:w="1152"/>
            <w:shd w:fill="0B2545"/>
            <w:tcMar>
              <w:top w:w="120" w:type="dxa"/>
              <w:bottom w:w="120" w:type="dxa"/>
              <w:left w:w="130" w:type="dxa"/>
              <w:right w:w="130" w:type="dxa"/>
            </w:tcMar>
          </w:tcPr>
          <w:p>
            <w:pPr>
              <w:spacing w:before="0" w:after="0"/>
              <w:jc w:val="left"/>
            </w:pPr>
            <w:r>
              <w:rPr>
                <w:rFonts w:ascii="Calibri" w:hAnsi="Calibri"/>
                <w:b/>
                <w:color w:val="FFFFFF"/>
                <w:sz w:val="18"/>
              </w:rPr>
              <w:t>Pagination</w:t>
            </w:r>
          </w:p>
        </w:tc>
        <w:tc>
          <w:tcPr>
            <w:tcW w:type="dxa" w:w="3269"/>
            <w:shd w:fill="0B2545"/>
            <w:tcMar>
              <w:top w:w="120" w:type="dxa"/>
              <w:bottom w:w="120" w:type="dxa"/>
              <w:left w:w="130" w:type="dxa"/>
              <w:right w:w="130" w:type="dxa"/>
            </w:tcMar>
          </w:tcPr>
          <w:p>
            <w:pPr>
              <w:spacing w:before="0" w:after="0"/>
              <w:jc w:val="left"/>
            </w:pPr>
            <w:r>
              <w:rPr>
                <w:rFonts w:ascii="Calibri" w:hAnsi="Calibri"/>
                <w:b/>
                <w:color w:val="FFFFFF"/>
                <w:sz w:val="18"/>
              </w:rPr>
              <w:t>Structural Scope &amp; Clause Overview</w:t>
            </w:r>
          </w:p>
        </w:tc>
      </w:tr>
      <w:tr>
        <w:tc>
          <w:tcPr>
            <w:tcW w:type="dxa" w:w="1440"/>
            <w:shd w:fill="FFFFFF"/>
            <w:tcMar>
              <w:top w:w="95" w:type="dxa"/>
              <w:bottom w:w="95" w:type="dxa"/>
              <w:left w:w="130" w:type="dxa"/>
              <w:right w:w="130" w:type="dxa"/>
            </w:tcMar>
          </w:tcPr>
          <w:p>
            <w:pPr>
              <w:spacing w:before="0" w:after="0"/>
            </w:pPr>
            <w:r>
              <w:rPr>
                <w:rFonts w:ascii="Calibri" w:hAnsi="Calibri"/>
                <w:color w:val="2D3237"/>
                <w:sz w:val="17"/>
              </w:rPr>
              <w:t>Section 1</w:t>
            </w:r>
          </w:p>
        </w:tc>
        <w:tc>
          <w:tcPr>
            <w:tcW w:type="dxa" w:w="3168"/>
            <w:shd w:fill="FFFFFF"/>
            <w:tcMar>
              <w:top w:w="95" w:type="dxa"/>
              <w:bottom w:w="95" w:type="dxa"/>
              <w:left w:w="130" w:type="dxa"/>
              <w:right w:w="130" w:type="dxa"/>
            </w:tcMar>
          </w:tcPr>
          <w:p>
            <w:pPr>
              <w:spacing w:before="0" w:after="0"/>
            </w:pPr>
            <w:r>
              <w:rPr>
                <w:rFonts w:ascii="Calibri" w:hAnsi="Calibri"/>
                <w:color w:val="2D3237"/>
                <w:sz w:val="17"/>
              </w:rPr>
              <w:t>Purpose, Vision &amp; Zero Trust Foundational Pillars</w:t>
            </w:r>
          </w:p>
        </w:tc>
        <w:tc>
          <w:tcPr>
            <w:tcW w:type="dxa" w:w="1152"/>
            <w:shd w:fill="FFFFFF"/>
            <w:tcMar>
              <w:top w:w="95" w:type="dxa"/>
              <w:bottom w:w="95" w:type="dxa"/>
              <w:left w:w="130" w:type="dxa"/>
              <w:right w:w="130" w:type="dxa"/>
            </w:tcMar>
          </w:tcPr>
          <w:p>
            <w:pPr>
              <w:spacing w:before="0" w:after="0"/>
            </w:pPr>
            <w:r>
              <w:rPr>
                <w:rFonts w:ascii="Calibri" w:hAnsi="Calibri"/>
                <w:color w:val="2D3237"/>
                <w:sz w:val="17"/>
              </w:rPr>
              <w:t>Page 4</w:t>
            </w:r>
          </w:p>
        </w:tc>
        <w:tc>
          <w:tcPr>
            <w:tcW w:type="dxa" w:w="3269"/>
            <w:shd w:fill="FFFFFF"/>
            <w:tcMar>
              <w:top w:w="95" w:type="dxa"/>
              <w:bottom w:w="95" w:type="dxa"/>
              <w:left w:w="130" w:type="dxa"/>
              <w:right w:w="130" w:type="dxa"/>
            </w:tcMar>
          </w:tcPr>
          <w:p>
            <w:pPr>
              <w:spacing w:before="0" w:after="0"/>
            </w:pPr>
            <w:r>
              <w:rPr>
                <w:rFonts w:ascii="Calibri" w:hAnsi="Calibri"/>
                <w:color w:val="2D3237"/>
                <w:sz w:val="17"/>
              </w:rPr>
              <w:t>Defines the core cybersecurity mandate, defense-in-depth principles, and NIST SP 800-207 alignment.</w:t>
            </w:r>
          </w:p>
        </w:tc>
      </w:tr>
      <w:tr>
        <w:tc>
          <w:tcPr>
            <w:tcW w:type="dxa" w:w="1440"/>
            <w:shd w:fill="F7F9FB"/>
            <w:tcMar>
              <w:top w:w="95" w:type="dxa"/>
              <w:bottom w:w="95" w:type="dxa"/>
              <w:left w:w="130" w:type="dxa"/>
              <w:right w:w="130" w:type="dxa"/>
            </w:tcMar>
          </w:tcPr>
          <w:p>
            <w:pPr>
              <w:spacing w:before="0" w:after="0"/>
            </w:pPr>
            <w:r>
              <w:rPr>
                <w:rFonts w:ascii="Calibri" w:hAnsi="Calibri"/>
                <w:color w:val="2D3237"/>
                <w:sz w:val="17"/>
              </w:rPr>
              <w:t>Section 2</w:t>
            </w:r>
          </w:p>
        </w:tc>
        <w:tc>
          <w:tcPr>
            <w:tcW w:type="dxa" w:w="3168"/>
            <w:shd w:fill="F7F9FB"/>
            <w:tcMar>
              <w:top w:w="95" w:type="dxa"/>
              <w:bottom w:w="95" w:type="dxa"/>
              <w:left w:w="130" w:type="dxa"/>
              <w:right w:w="130" w:type="dxa"/>
            </w:tcMar>
          </w:tcPr>
          <w:p>
            <w:pPr>
              <w:spacing w:before="0" w:after="0"/>
            </w:pPr>
            <w:r>
              <w:rPr>
                <w:rFonts w:ascii="Calibri" w:hAnsi="Calibri"/>
                <w:color w:val="2D3237"/>
                <w:sz w:val="17"/>
              </w:rPr>
              <w:t>Scope, Applicability &amp; Subsidiary Governance Hierarchy</w:t>
            </w:r>
          </w:p>
        </w:tc>
        <w:tc>
          <w:tcPr>
            <w:tcW w:type="dxa" w:w="1152"/>
            <w:shd w:fill="F7F9FB"/>
            <w:tcMar>
              <w:top w:w="95" w:type="dxa"/>
              <w:bottom w:w="95" w:type="dxa"/>
              <w:left w:w="130" w:type="dxa"/>
              <w:right w:w="130" w:type="dxa"/>
            </w:tcMar>
          </w:tcPr>
          <w:p>
            <w:pPr>
              <w:spacing w:before="0" w:after="0"/>
            </w:pPr>
            <w:r>
              <w:rPr>
                <w:rFonts w:ascii="Calibri" w:hAnsi="Calibri"/>
                <w:color w:val="2D3237"/>
                <w:sz w:val="17"/>
              </w:rPr>
              <w:t>Page 6</w:t>
            </w:r>
          </w:p>
        </w:tc>
        <w:tc>
          <w:tcPr>
            <w:tcW w:type="dxa" w:w="3269"/>
            <w:shd w:fill="F7F9FB"/>
            <w:tcMar>
              <w:top w:w="95" w:type="dxa"/>
              <w:bottom w:w="95" w:type="dxa"/>
              <w:left w:w="130" w:type="dxa"/>
              <w:right w:w="130" w:type="dxa"/>
            </w:tcMar>
          </w:tcPr>
          <w:p>
            <w:pPr>
              <w:spacing w:before="0" w:after="0"/>
            </w:pPr>
            <w:r>
              <w:rPr>
                <w:rFonts w:ascii="Calibri" w:hAnsi="Calibri"/>
                <w:color w:val="2D3237"/>
                <w:sz w:val="17"/>
              </w:rPr>
              <w:t>Establishes multi-entity applicability across Core42, Presight, Inception, AIQ, Khazna, and Space42.</w:t>
            </w:r>
          </w:p>
        </w:tc>
      </w:tr>
      <w:tr>
        <w:tc>
          <w:tcPr>
            <w:tcW w:type="dxa" w:w="1440"/>
            <w:shd w:fill="FFFFFF"/>
            <w:tcMar>
              <w:top w:w="95" w:type="dxa"/>
              <w:bottom w:w="95" w:type="dxa"/>
              <w:left w:w="130" w:type="dxa"/>
              <w:right w:w="130" w:type="dxa"/>
            </w:tcMar>
          </w:tcPr>
          <w:p>
            <w:pPr>
              <w:spacing w:before="0" w:after="0"/>
            </w:pPr>
            <w:r>
              <w:rPr>
                <w:rFonts w:ascii="Calibri" w:hAnsi="Calibri"/>
                <w:color w:val="2D3237"/>
                <w:sz w:val="17"/>
              </w:rPr>
              <w:t>Section 3</w:t>
            </w:r>
          </w:p>
        </w:tc>
        <w:tc>
          <w:tcPr>
            <w:tcW w:type="dxa" w:w="3168"/>
            <w:shd w:fill="FFFFFF"/>
            <w:tcMar>
              <w:top w:w="95" w:type="dxa"/>
              <w:bottom w:w="95" w:type="dxa"/>
              <w:left w:w="130" w:type="dxa"/>
              <w:right w:w="130" w:type="dxa"/>
            </w:tcMar>
          </w:tcPr>
          <w:p>
            <w:pPr>
              <w:spacing w:before="0" w:after="0"/>
            </w:pPr>
            <w:r>
              <w:rPr>
                <w:rFonts w:ascii="Calibri" w:hAnsi="Calibri"/>
                <w:color w:val="2D3237"/>
                <w:sz w:val="17"/>
              </w:rPr>
              <w:t>Zero Trust Architecture (ZTA) &amp; Core Tenets</w:t>
            </w:r>
          </w:p>
        </w:tc>
        <w:tc>
          <w:tcPr>
            <w:tcW w:type="dxa" w:w="1152"/>
            <w:shd w:fill="FFFFFF"/>
            <w:tcMar>
              <w:top w:w="95" w:type="dxa"/>
              <w:bottom w:w="95" w:type="dxa"/>
              <w:left w:w="130" w:type="dxa"/>
              <w:right w:w="130" w:type="dxa"/>
            </w:tcMar>
          </w:tcPr>
          <w:p>
            <w:pPr>
              <w:spacing w:before="0" w:after="0"/>
            </w:pPr>
            <w:r>
              <w:rPr>
                <w:rFonts w:ascii="Calibri" w:hAnsi="Calibri"/>
                <w:color w:val="2D3237"/>
                <w:sz w:val="17"/>
              </w:rPr>
              <w:t>Page 8</w:t>
            </w:r>
          </w:p>
        </w:tc>
        <w:tc>
          <w:tcPr>
            <w:tcW w:type="dxa" w:w="3269"/>
            <w:shd w:fill="FFFFFF"/>
            <w:tcMar>
              <w:top w:w="95" w:type="dxa"/>
              <w:bottom w:w="95" w:type="dxa"/>
              <w:left w:w="130" w:type="dxa"/>
              <w:right w:w="130" w:type="dxa"/>
            </w:tcMar>
          </w:tcPr>
          <w:p>
            <w:pPr>
              <w:spacing w:before="0" w:after="0"/>
            </w:pPr>
            <w:r>
              <w:rPr>
                <w:rFonts w:ascii="Calibri" w:hAnsi="Calibri"/>
                <w:color w:val="2D3237"/>
                <w:sz w:val="17"/>
              </w:rPr>
              <w:t>Codifies the 'Never Trust, Always Verify' architecture, explicit verification, and least privilege.</w:t>
            </w:r>
          </w:p>
        </w:tc>
      </w:tr>
      <w:tr>
        <w:tc>
          <w:tcPr>
            <w:tcW w:type="dxa" w:w="1440"/>
            <w:shd w:fill="F7F9FB"/>
            <w:tcMar>
              <w:top w:w="95" w:type="dxa"/>
              <w:bottom w:w="95" w:type="dxa"/>
              <w:left w:w="130" w:type="dxa"/>
              <w:right w:w="130" w:type="dxa"/>
            </w:tcMar>
          </w:tcPr>
          <w:p>
            <w:pPr>
              <w:spacing w:before="0" w:after="0"/>
            </w:pPr>
            <w:r>
              <w:rPr>
                <w:rFonts w:ascii="Calibri" w:hAnsi="Calibri"/>
                <w:color w:val="2D3237"/>
                <w:sz w:val="17"/>
              </w:rPr>
              <w:t>Section 4</w:t>
            </w:r>
          </w:p>
        </w:tc>
        <w:tc>
          <w:tcPr>
            <w:tcW w:type="dxa" w:w="3168"/>
            <w:shd w:fill="F7F9FB"/>
            <w:tcMar>
              <w:top w:w="95" w:type="dxa"/>
              <w:bottom w:w="95" w:type="dxa"/>
              <w:left w:w="130" w:type="dxa"/>
              <w:right w:w="130" w:type="dxa"/>
            </w:tcMar>
          </w:tcPr>
          <w:p>
            <w:pPr>
              <w:spacing w:before="0" w:after="0"/>
            </w:pPr>
            <w:r>
              <w:rPr>
                <w:rFonts w:ascii="Calibri" w:hAnsi="Calibri"/>
                <w:color w:val="2D3237"/>
                <w:sz w:val="17"/>
              </w:rPr>
              <w:t>Identity, Authentication &amp; Hardware MFA (FIDO2)</w:t>
            </w:r>
          </w:p>
        </w:tc>
        <w:tc>
          <w:tcPr>
            <w:tcW w:type="dxa" w:w="1152"/>
            <w:shd w:fill="F7F9FB"/>
            <w:tcMar>
              <w:top w:w="95" w:type="dxa"/>
              <w:bottom w:w="95" w:type="dxa"/>
              <w:left w:w="130" w:type="dxa"/>
              <w:right w:w="130" w:type="dxa"/>
            </w:tcMar>
          </w:tcPr>
          <w:p>
            <w:pPr>
              <w:spacing w:before="0" w:after="0"/>
            </w:pPr>
            <w:r>
              <w:rPr>
                <w:rFonts w:ascii="Calibri" w:hAnsi="Calibri"/>
                <w:color w:val="2D3237"/>
                <w:sz w:val="17"/>
              </w:rPr>
              <w:t>Page 11</w:t>
            </w:r>
          </w:p>
        </w:tc>
        <w:tc>
          <w:tcPr>
            <w:tcW w:type="dxa" w:w="3269"/>
            <w:shd w:fill="F7F9FB"/>
            <w:tcMar>
              <w:top w:w="95" w:type="dxa"/>
              <w:bottom w:w="95" w:type="dxa"/>
              <w:left w:w="130" w:type="dxa"/>
              <w:right w:w="130" w:type="dxa"/>
            </w:tcMar>
          </w:tcPr>
          <w:p>
            <w:pPr>
              <w:spacing w:before="0" w:after="0"/>
            </w:pPr>
            <w:r>
              <w:rPr>
                <w:rFonts w:ascii="Calibri" w:hAnsi="Calibri"/>
                <w:color w:val="2D3237"/>
                <w:sz w:val="17"/>
              </w:rPr>
              <w:t>Mandatory FIDO2/WebAuthn hardware tokens, biometric SSO, and deprecation of legacy SMS/voice MFA.</w:t>
            </w:r>
          </w:p>
        </w:tc>
      </w:tr>
      <w:tr>
        <w:tc>
          <w:tcPr>
            <w:tcW w:type="dxa" w:w="1440"/>
            <w:shd w:fill="FFFFFF"/>
            <w:tcMar>
              <w:top w:w="95" w:type="dxa"/>
              <w:bottom w:w="95" w:type="dxa"/>
              <w:left w:w="130" w:type="dxa"/>
              <w:right w:w="130" w:type="dxa"/>
            </w:tcMar>
          </w:tcPr>
          <w:p>
            <w:pPr>
              <w:spacing w:before="0" w:after="0"/>
            </w:pPr>
            <w:r>
              <w:rPr>
                <w:rFonts w:ascii="Calibri" w:hAnsi="Calibri"/>
                <w:color w:val="2D3237"/>
                <w:sz w:val="17"/>
              </w:rPr>
              <w:t>Section 5</w:t>
            </w:r>
          </w:p>
        </w:tc>
        <w:tc>
          <w:tcPr>
            <w:tcW w:type="dxa" w:w="3168"/>
            <w:shd w:fill="FFFFFF"/>
            <w:tcMar>
              <w:top w:w="95" w:type="dxa"/>
              <w:bottom w:w="95" w:type="dxa"/>
              <w:left w:w="130" w:type="dxa"/>
              <w:right w:w="130" w:type="dxa"/>
            </w:tcMar>
          </w:tcPr>
          <w:p>
            <w:pPr>
              <w:spacing w:before="0" w:after="0"/>
            </w:pPr>
            <w:r>
              <w:rPr>
                <w:rFonts w:ascii="Calibri" w:hAnsi="Calibri"/>
                <w:color w:val="2D3237"/>
                <w:sz w:val="17"/>
              </w:rPr>
              <w:t>Privileged Access Management (PAM) &amp; Just-In-Time (JIT)</w:t>
            </w:r>
          </w:p>
        </w:tc>
        <w:tc>
          <w:tcPr>
            <w:tcW w:type="dxa" w:w="1152"/>
            <w:shd w:fill="FFFFFF"/>
            <w:tcMar>
              <w:top w:w="95" w:type="dxa"/>
              <w:bottom w:w="95" w:type="dxa"/>
              <w:left w:w="130" w:type="dxa"/>
              <w:right w:w="130" w:type="dxa"/>
            </w:tcMar>
          </w:tcPr>
          <w:p>
            <w:pPr>
              <w:spacing w:before="0" w:after="0"/>
            </w:pPr>
            <w:r>
              <w:rPr>
                <w:rFonts w:ascii="Calibri" w:hAnsi="Calibri"/>
                <w:color w:val="2D3237"/>
                <w:sz w:val="17"/>
              </w:rPr>
              <w:t>Page 14</w:t>
            </w:r>
          </w:p>
        </w:tc>
        <w:tc>
          <w:tcPr>
            <w:tcW w:type="dxa" w:w="3269"/>
            <w:shd w:fill="FFFFFF"/>
            <w:tcMar>
              <w:top w:w="95" w:type="dxa"/>
              <w:bottom w:w="95" w:type="dxa"/>
              <w:left w:w="130" w:type="dxa"/>
              <w:right w:w="130" w:type="dxa"/>
            </w:tcMar>
          </w:tcPr>
          <w:p>
            <w:pPr>
              <w:spacing w:before="0" w:after="0"/>
            </w:pPr>
            <w:r>
              <w:rPr>
                <w:rFonts w:ascii="Calibri" w:hAnsi="Calibri"/>
                <w:color w:val="2D3237"/>
                <w:sz w:val="17"/>
              </w:rPr>
              <w:t>Zero standing privileges, ephemeral token issuance (&lt;4h), dual-authorization, and session recording.</w:t>
            </w:r>
          </w:p>
        </w:tc>
      </w:tr>
      <w:tr>
        <w:tc>
          <w:tcPr>
            <w:tcW w:type="dxa" w:w="1440"/>
            <w:shd w:fill="F7F9FB"/>
            <w:tcMar>
              <w:top w:w="95" w:type="dxa"/>
              <w:bottom w:w="95" w:type="dxa"/>
              <w:left w:w="130" w:type="dxa"/>
              <w:right w:w="130" w:type="dxa"/>
            </w:tcMar>
          </w:tcPr>
          <w:p>
            <w:pPr>
              <w:spacing w:before="0" w:after="0"/>
            </w:pPr>
            <w:r>
              <w:rPr>
                <w:rFonts w:ascii="Calibri" w:hAnsi="Calibri"/>
                <w:color w:val="2D3237"/>
                <w:sz w:val="17"/>
              </w:rPr>
              <w:t>Section 6</w:t>
            </w:r>
          </w:p>
        </w:tc>
        <w:tc>
          <w:tcPr>
            <w:tcW w:type="dxa" w:w="3168"/>
            <w:shd w:fill="F7F9FB"/>
            <w:tcMar>
              <w:top w:w="95" w:type="dxa"/>
              <w:bottom w:w="95" w:type="dxa"/>
              <w:left w:w="130" w:type="dxa"/>
              <w:right w:w="130" w:type="dxa"/>
            </w:tcMar>
          </w:tcPr>
          <w:p>
            <w:pPr>
              <w:spacing w:before="0" w:after="0"/>
            </w:pPr>
            <w:r>
              <w:rPr>
                <w:rFonts w:ascii="Calibri" w:hAnsi="Calibri"/>
                <w:color w:val="2D3237"/>
                <w:sz w:val="17"/>
              </w:rPr>
              <w:t>Network Security, Micro-Segmentation &amp; Software-Defined Perimeters</w:t>
            </w:r>
          </w:p>
        </w:tc>
        <w:tc>
          <w:tcPr>
            <w:tcW w:type="dxa" w:w="1152"/>
            <w:shd w:fill="F7F9FB"/>
            <w:tcMar>
              <w:top w:w="95" w:type="dxa"/>
              <w:bottom w:w="95" w:type="dxa"/>
              <w:left w:w="130" w:type="dxa"/>
              <w:right w:w="130" w:type="dxa"/>
            </w:tcMar>
          </w:tcPr>
          <w:p>
            <w:pPr>
              <w:spacing w:before="0" w:after="0"/>
            </w:pPr>
            <w:r>
              <w:rPr>
                <w:rFonts w:ascii="Calibri" w:hAnsi="Calibri"/>
                <w:color w:val="2D3237"/>
                <w:sz w:val="17"/>
              </w:rPr>
              <w:t>Page 17</w:t>
            </w:r>
          </w:p>
        </w:tc>
        <w:tc>
          <w:tcPr>
            <w:tcW w:type="dxa" w:w="3269"/>
            <w:shd w:fill="F7F9FB"/>
            <w:tcMar>
              <w:top w:w="95" w:type="dxa"/>
              <w:bottom w:w="95" w:type="dxa"/>
              <w:left w:w="130" w:type="dxa"/>
              <w:right w:w="130" w:type="dxa"/>
            </w:tcMar>
          </w:tcPr>
          <w:p>
            <w:pPr>
              <w:spacing w:before="0" w:after="0"/>
            </w:pPr>
            <w:r>
              <w:rPr>
                <w:rFonts w:ascii="Calibri" w:hAnsi="Calibri"/>
                <w:color w:val="2D3237"/>
                <w:sz w:val="17"/>
              </w:rPr>
              <w:t>East-west traffic containment, mTLS 1.3 encryption, overlay networks, and border gateway filtering.</w:t>
            </w:r>
          </w:p>
        </w:tc>
      </w:tr>
      <w:tr>
        <w:tc>
          <w:tcPr>
            <w:tcW w:type="dxa" w:w="1440"/>
            <w:shd w:fill="FFFFFF"/>
            <w:tcMar>
              <w:top w:w="95" w:type="dxa"/>
              <w:bottom w:w="95" w:type="dxa"/>
              <w:left w:w="130" w:type="dxa"/>
              <w:right w:w="130" w:type="dxa"/>
            </w:tcMar>
          </w:tcPr>
          <w:p>
            <w:pPr>
              <w:spacing w:before="0" w:after="0"/>
            </w:pPr>
            <w:r>
              <w:rPr>
                <w:rFonts w:ascii="Calibri" w:hAnsi="Calibri"/>
                <w:color w:val="2D3237"/>
                <w:sz w:val="17"/>
              </w:rPr>
              <w:t>Section 7</w:t>
            </w:r>
          </w:p>
        </w:tc>
        <w:tc>
          <w:tcPr>
            <w:tcW w:type="dxa" w:w="3168"/>
            <w:shd w:fill="FFFFFF"/>
            <w:tcMar>
              <w:top w:w="95" w:type="dxa"/>
              <w:bottom w:w="95" w:type="dxa"/>
              <w:left w:w="130" w:type="dxa"/>
              <w:right w:w="130" w:type="dxa"/>
            </w:tcMar>
          </w:tcPr>
          <w:p>
            <w:pPr>
              <w:spacing w:before="0" w:after="0"/>
            </w:pPr>
            <w:r>
              <w:rPr>
                <w:rFonts w:ascii="Calibri" w:hAnsi="Calibri"/>
                <w:color w:val="2D3237"/>
                <w:sz w:val="17"/>
              </w:rPr>
              <w:t>Endpoint Security, MDM &amp; Host Isolation Standards</w:t>
            </w:r>
          </w:p>
        </w:tc>
        <w:tc>
          <w:tcPr>
            <w:tcW w:type="dxa" w:w="1152"/>
            <w:shd w:fill="FFFFFF"/>
            <w:tcMar>
              <w:top w:w="95" w:type="dxa"/>
              <w:bottom w:w="95" w:type="dxa"/>
              <w:left w:w="130" w:type="dxa"/>
              <w:right w:w="130" w:type="dxa"/>
            </w:tcMar>
          </w:tcPr>
          <w:p>
            <w:pPr>
              <w:spacing w:before="0" w:after="0"/>
            </w:pPr>
            <w:r>
              <w:rPr>
                <w:rFonts w:ascii="Calibri" w:hAnsi="Calibri"/>
                <w:color w:val="2D3237"/>
                <w:sz w:val="17"/>
              </w:rPr>
              <w:t>Page 20</w:t>
            </w:r>
          </w:p>
        </w:tc>
        <w:tc>
          <w:tcPr>
            <w:tcW w:type="dxa" w:w="3269"/>
            <w:shd w:fill="FFFFFF"/>
            <w:tcMar>
              <w:top w:w="95" w:type="dxa"/>
              <w:bottom w:w="95" w:type="dxa"/>
              <w:left w:w="130" w:type="dxa"/>
              <w:right w:w="130" w:type="dxa"/>
            </w:tcMar>
          </w:tcPr>
          <w:p>
            <w:pPr>
              <w:spacing w:before="0" w:after="0"/>
            </w:pPr>
            <w:r>
              <w:rPr>
                <w:rFonts w:ascii="Calibri" w:hAnsi="Calibri"/>
                <w:color w:val="2D3237"/>
                <w:sz w:val="17"/>
              </w:rPr>
              <w:t>G42-issued managed devices, mandatory EDR/XDR, full-disk encryption, and USB write-blocking.</w:t>
            </w:r>
          </w:p>
        </w:tc>
      </w:tr>
      <w:tr>
        <w:tc>
          <w:tcPr>
            <w:tcW w:type="dxa" w:w="1440"/>
            <w:shd w:fill="F7F9FB"/>
            <w:tcMar>
              <w:top w:w="95" w:type="dxa"/>
              <w:bottom w:w="95" w:type="dxa"/>
              <w:left w:w="130" w:type="dxa"/>
              <w:right w:w="130" w:type="dxa"/>
            </w:tcMar>
          </w:tcPr>
          <w:p>
            <w:pPr>
              <w:spacing w:before="0" w:after="0"/>
            </w:pPr>
            <w:r>
              <w:rPr>
                <w:rFonts w:ascii="Calibri" w:hAnsi="Calibri"/>
                <w:color w:val="2D3237"/>
                <w:sz w:val="17"/>
              </w:rPr>
              <w:t>Section 8</w:t>
            </w:r>
          </w:p>
        </w:tc>
        <w:tc>
          <w:tcPr>
            <w:tcW w:type="dxa" w:w="3168"/>
            <w:shd w:fill="F7F9FB"/>
            <w:tcMar>
              <w:top w:w="95" w:type="dxa"/>
              <w:bottom w:w="95" w:type="dxa"/>
              <w:left w:w="130" w:type="dxa"/>
              <w:right w:w="130" w:type="dxa"/>
            </w:tcMar>
          </w:tcPr>
          <w:p>
            <w:pPr>
              <w:spacing w:before="0" w:after="0"/>
            </w:pPr>
            <w:r>
              <w:rPr>
                <w:rFonts w:ascii="Calibri" w:hAnsi="Calibri"/>
                <w:color w:val="2D3237"/>
                <w:sz w:val="17"/>
              </w:rPr>
              <w:t>Cloud Security, Sovereign Infrastructure &amp; Container Hardening</w:t>
            </w:r>
          </w:p>
        </w:tc>
        <w:tc>
          <w:tcPr>
            <w:tcW w:type="dxa" w:w="1152"/>
            <w:shd w:fill="F7F9FB"/>
            <w:tcMar>
              <w:top w:w="95" w:type="dxa"/>
              <w:bottom w:w="95" w:type="dxa"/>
              <w:left w:w="130" w:type="dxa"/>
              <w:right w:w="130" w:type="dxa"/>
            </w:tcMar>
          </w:tcPr>
          <w:p>
            <w:pPr>
              <w:spacing w:before="0" w:after="0"/>
            </w:pPr>
            <w:r>
              <w:rPr>
                <w:rFonts w:ascii="Calibri" w:hAnsi="Calibri"/>
                <w:color w:val="2D3237"/>
                <w:sz w:val="17"/>
              </w:rPr>
              <w:t>Page 23</w:t>
            </w:r>
          </w:p>
        </w:tc>
        <w:tc>
          <w:tcPr>
            <w:tcW w:type="dxa" w:w="3269"/>
            <w:shd w:fill="F7F9FB"/>
            <w:tcMar>
              <w:top w:w="95" w:type="dxa"/>
              <w:bottom w:w="95" w:type="dxa"/>
              <w:left w:w="130" w:type="dxa"/>
              <w:right w:w="130" w:type="dxa"/>
            </w:tcMar>
          </w:tcPr>
          <w:p>
            <w:pPr>
              <w:spacing w:before="0" w:after="0"/>
            </w:pPr>
            <w:r>
              <w:rPr>
                <w:rFonts w:ascii="Calibri" w:hAnsi="Calibri"/>
                <w:color w:val="2D3237"/>
                <w:sz w:val="17"/>
              </w:rPr>
              <w:t>Kubernetes security, immutable CI/CD pipelines, CSPM/CWPP controls, and sovereign cloud enclaves.</w:t>
            </w:r>
          </w:p>
        </w:tc>
      </w:tr>
      <w:tr>
        <w:tc>
          <w:tcPr>
            <w:tcW w:type="dxa" w:w="1440"/>
            <w:shd w:fill="FFFFFF"/>
            <w:tcMar>
              <w:top w:w="95" w:type="dxa"/>
              <w:bottom w:w="95" w:type="dxa"/>
              <w:left w:w="130" w:type="dxa"/>
              <w:right w:w="130" w:type="dxa"/>
            </w:tcMar>
          </w:tcPr>
          <w:p>
            <w:pPr>
              <w:spacing w:before="0" w:after="0"/>
            </w:pPr>
            <w:r>
              <w:rPr>
                <w:rFonts w:ascii="Calibri" w:hAnsi="Calibri"/>
                <w:color w:val="2D3237"/>
                <w:sz w:val="17"/>
              </w:rPr>
              <w:t>Section 9</w:t>
            </w:r>
          </w:p>
        </w:tc>
        <w:tc>
          <w:tcPr>
            <w:tcW w:type="dxa" w:w="3168"/>
            <w:shd w:fill="FFFFFF"/>
            <w:tcMar>
              <w:top w:w="95" w:type="dxa"/>
              <w:bottom w:w="95" w:type="dxa"/>
              <w:left w:w="130" w:type="dxa"/>
              <w:right w:w="130" w:type="dxa"/>
            </w:tcMar>
          </w:tcPr>
          <w:p>
            <w:pPr>
              <w:spacing w:before="0" w:after="0"/>
            </w:pPr>
            <w:r>
              <w:rPr>
                <w:rFonts w:ascii="Calibri" w:hAnsi="Calibri"/>
                <w:color w:val="2D3237"/>
                <w:sz w:val="17"/>
              </w:rPr>
              <w:t>Cryptographic Standards, Key Management &amp; Post-Quantum Readiness</w:t>
            </w:r>
          </w:p>
        </w:tc>
        <w:tc>
          <w:tcPr>
            <w:tcW w:type="dxa" w:w="1152"/>
            <w:shd w:fill="FFFFFF"/>
            <w:tcMar>
              <w:top w:w="95" w:type="dxa"/>
              <w:bottom w:w="95" w:type="dxa"/>
              <w:left w:w="130" w:type="dxa"/>
              <w:right w:w="130" w:type="dxa"/>
            </w:tcMar>
          </w:tcPr>
          <w:p>
            <w:pPr>
              <w:spacing w:before="0" w:after="0"/>
            </w:pPr>
            <w:r>
              <w:rPr>
                <w:rFonts w:ascii="Calibri" w:hAnsi="Calibri"/>
                <w:color w:val="2D3237"/>
                <w:sz w:val="17"/>
              </w:rPr>
              <w:t>Page 26</w:t>
            </w:r>
          </w:p>
        </w:tc>
        <w:tc>
          <w:tcPr>
            <w:tcW w:type="dxa" w:w="3269"/>
            <w:shd w:fill="FFFFFF"/>
            <w:tcMar>
              <w:top w:w="95" w:type="dxa"/>
              <w:bottom w:w="95" w:type="dxa"/>
              <w:left w:w="130" w:type="dxa"/>
              <w:right w:w="130" w:type="dxa"/>
            </w:tcMar>
          </w:tcPr>
          <w:p>
            <w:pPr>
              <w:spacing w:before="0" w:after="0"/>
            </w:pPr>
            <w:r>
              <w:rPr>
                <w:rFonts w:ascii="Calibri" w:hAnsi="Calibri"/>
                <w:color w:val="2D3237"/>
                <w:sz w:val="17"/>
              </w:rPr>
              <w:t>AES-256-GCM, TLS 1.3, HSM key custody, CMEK architecture, and PQC transition roadmap.</w:t>
            </w:r>
          </w:p>
        </w:tc>
      </w:tr>
      <w:tr>
        <w:tc>
          <w:tcPr>
            <w:tcW w:type="dxa" w:w="1440"/>
            <w:shd w:fill="F7F9FB"/>
            <w:tcMar>
              <w:top w:w="95" w:type="dxa"/>
              <w:bottom w:w="95" w:type="dxa"/>
              <w:left w:w="130" w:type="dxa"/>
              <w:right w:w="130" w:type="dxa"/>
            </w:tcMar>
          </w:tcPr>
          <w:p>
            <w:pPr>
              <w:spacing w:before="0" w:after="0"/>
            </w:pPr>
            <w:r>
              <w:rPr>
                <w:rFonts w:ascii="Calibri" w:hAnsi="Calibri"/>
                <w:color w:val="2D3237"/>
                <w:sz w:val="17"/>
              </w:rPr>
              <w:t>Section 10</w:t>
            </w:r>
          </w:p>
        </w:tc>
        <w:tc>
          <w:tcPr>
            <w:tcW w:type="dxa" w:w="3168"/>
            <w:shd w:fill="F7F9FB"/>
            <w:tcMar>
              <w:top w:w="95" w:type="dxa"/>
              <w:bottom w:w="95" w:type="dxa"/>
              <w:left w:w="130" w:type="dxa"/>
              <w:right w:w="130" w:type="dxa"/>
            </w:tcMar>
          </w:tcPr>
          <w:p>
            <w:pPr>
              <w:spacing w:before="0" w:after="0"/>
            </w:pPr>
            <w:r>
              <w:rPr>
                <w:rFonts w:ascii="Calibri" w:hAnsi="Calibri"/>
                <w:color w:val="2D3237"/>
                <w:sz w:val="17"/>
              </w:rPr>
              <w:t>Autonomous Agent Identity, Tool Sandboxing &amp; Guardrails (Sage Agent)</w:t>
            </w:r>
          </w:p>
        </w:tc>
        <w:tc>
          <w:tcPr>
            <w:tcW w:type="dxa" w:w="1152"/>
            <w:shd w:fill="F7F9FB"/>
            <w:tcMar>
              <w:top w:w="95" w:type="dxa"/>
              <w:bottom w:w="95" w:type="dxa"/>
              <w:left w:w="130" w:type="dxa"/>
              <w:right w:w="130" w:type="dxa"/>
            </w:tcMar>
          </w:tcPr>
          <w:p>
            <w:pPr>
              <w:spacing w:before="0" w:after="0"/>
            </w:pPr>
            <w:r>
              <w:rPr>
                <w:rFonts w:ascii="Calibri" w:hAnsi="Calibri"/>
                <w:color w:val="2D3237"/>
                <w:sz w:val="17"/>
              </w:rPr>
              <w:t>Page 29</w:t>
            </w:r>
          </w:p>
        </w:tc>
        <w:tc>
          <w:tcPr>
            <w:tcW w:type="dxa" w:w="3269"/>
            <w:shd w:fill="F7F9FB"/>
            <w:tcMar>
              <w:top w:w="95" w:type="dxa"/>
              <w:bottom w:w="95" w:type="dxa"/>
              <w:left w:w="130" w:type="dxa"/>
              <w:right w:w="130" w:type="dxa"/>
            </w:tcMar>
          </w:tcPr>
          <w:p>
            <w:pPr>
              <w:spacing w:before="0" w:after="0"/>
            </w:pPr>
            <w:r>
              <w:rPr>
                <w:rFonts w:ascii="Calibri" w:hAnsi="Calibri"/>
                <w:color w:val="2D3237"/>
                <w:sz w:val="17"/>
              </w:rPr>
              <w:t>Machine Identity Certificates (MIC), least-privilege MCP tool calling, and 300ms kill-switch.</w:t>
            </w:r>
          </w:p>
        </w:tc>
      </w:tr>
      <w:tr>
        <w:tc>
          <w:tcPr>
            <w:tcW w:type="dxa" w:w="1440"/>
            <w:shd w:fill="FFFFFF"/>
            <w:tcMar>
              <w:top w:w="95" w:type="dxa"/>
              <w:bottom w:w="95" w:type="dxa"/>
              <w:left w:w="130" w:type="dxa"/>
              <w:right w:w="130" w:type="dxa"/>
            </w:tcMar>
          </w:tcPr>
          <w:p>
            <w:pPr>
              <w:spacing w:before="0" w:after="0"/>
            </w:pPr>
            <w:r>
              <w:rPr>
                <w:rFonts w:ascii="Calibri" w:hAnsi="Calibri"/>
                <w:color w:val="2D3237"/>
                <w:sz w:val="17"/>
              </w:rPr>
              <w:t>Section 11</w:t>
            </w:r>
          </w:p>
        </w:tc>
        <w:tc>
          <w:tcPr>
            <w:tcW w:type="dxa" w:w="3168"/>
            <w:shd w:fill="FFFFFF"/>
            <w:tcMar>
              <w:top w:w="95" w:type="dxa"/>
              <w:bottom w:w="95" w:type="dxa"/>
              <w:left w:w="130" w:type="dxa"/>
              <w:right w:w="130" w:type="dxa"/>
            </w:tcMar>
          </w:tcPr>
          <w:p>
            <w:pPr>
              <w:spacing w:before="0" w:after="0"/>
            </w:pPr>
            <w:r>
              <w:rPr>
                <w:rFonts w:ascii="Calibri" w:hAnsi="Calibri"/>
                <w:color w:val="2D3237"/>
                <w:sz w:val="17"/>
              </w:rPr>
              <w:t>Vulnerability Management, Patching SLAs &amp; Penetration Testing</w:t>
            </w:r>
          </w:p>
        </w:tc>
        <w:tc>
          <w:tcPr>
            <w:tcW w:type="dxa" w:w="1152"/>
            <w:shd w:fill="FFFFFF"/>
            <w:tcMar>
              <w:top w:w="95" w:type="dxa"/>
              <w:bottom w:w="95" w:type="dxa"/>
              <w:left w:w="130" w:type="dxa"/>
              <w:right w:w="130" w:type="dxa"/>
            </w:tcMar>
          </w:tcPr>
          <w:p>
            <w:pPr>
              <w:spacing w:before="0" w:after="0"/>
            </w:pPr>
            <w:r>
              <w:rPr>
                <w:rFonts w:ascii="Calibri" w:hAnsi="Calibri"/>
                <w:color w:val="2D3237"/>
                <w:sz w:val="17"/>
              </w:rPr>
              <w:t>Page 32</w:t>
            </w:r>
          </w:p>
        </w:tc>
        <w:tc>
          <w:tcPr>
            <w:tcW w:type="dxa" w:w="3269"/>
            <w:shd w:fill="FFFFFF"/>
            <w:tcMar>
              <w:top w:w="95" w:type="dxa"/>
              <w:bottom w:w="95" w:type="dxa"/>
              <w:left w:w="130" w:type="dxa"/>
              <w:right w:w="130" w:type="dxa"/>
            </w:tcMar>
          </w:tcPr>
          <w:p>
            <w:pPr>
              <w:spacing w:before="0" w:after="0"/>
            </w:pPr>
            <w:r>
              <w:rPr>
                <w:rFonts w:ascii="Calibri" w:hAnsi="Calibri"/>
                <w:color w:val="2D3237"/>
                <w:sz w:val="17"/>
              </w:rPr>
              <w:t>Continuous automated scanning, zero-day patching SLAs (24h/7d/30d), and mandatory red-teaming.</w:t>
            </w:r>
          </w:p>
        </w:tc>
      </w:tr>
      <w:tr>
        <w:tc>
          <w:tcPr>
            <w:tcW w:type="dxa" w:w="1440"/>
            <w:shd w:fill="F7F9FB"/>
            <w:tcMar>
              <w:top w:w="95" w:type="dxa"/>
              <w:bottom w:w="95" w:type="dxa"/>
              <w:left w:w="130" w:type="dxa"/>
              <w:right w:w="130" w:type="dxa"/>
            </w:tcMar>
          </w:tcPr>
          <w:p>
            <w:pPr>
              <w:spacing w:before="0" w:after="0"/>
            </w:pPr>
            <w:r>
              <w:rPr>
                <w:rFonts w:ascii="Calibri" w:hAnsi="Calibri"/>
                <w:color w:val="2D3237"/>
                <w:sz w:val="17"/>
              </w:rPr>
              <w:t>Section 12</w:t>
            </w:r>
          </w:p>
        </w:tc>
        <w:tc>
          <w:tcPr>
            <w:tcW w:type="dxa" w:w="3168"/>
            <w:shd w:fill="F7F9FB"/>
            <w:tcMar>
              <w:top w:w="95" w:type="dxa"/>
              <w:bottom w:w="95" w:type="dxa"/>
              <w:left w:w="130" w:type="dxa"/>
              <w:right w:w="130" w:type="dxa"/>
            </w:tcMar>
          </w:tcPr>
          <w:p>
            <w:pPr>
              <w:spacing w:before="0" w:after="0"/>
            </w:pPr>
            <w:r>
              <w:rPr>
                <w:rFonts w:ascii="Calibri" w:hAnsi="Calibri"/>
                <w:color w:val="2D3237"/>
                <w:sz w:val="17"/>
              </w:rPr>
              <w:t>Security Operations Center (CSOC), SIEM Telemetry &amp; Threat Hunting</w:t>
            </w:r>
          </w:p>
        </w:tc>
        <w:tc>
          <w:tcPr>
            <w:tcW w:type="dxa" w:w="1152"/>
            <w:shd w:fill="F7F9FB"/>
            <w:tcMar>
              <w:top w:w="95" w:type="dxa"/>
              <w:bottom w:w="95" w:type="dxa"/>
              <w:left w:w="130" w:type="dxa"/>
              <w:right w:w="130" w:type="dxa"/>
            </w:tcMar>
          </w:tcPr>
          <w:p>
            <w:pPr>
              <w:spacing w:before="0" w:after="0"/>
            </w:pPr>
            <w:r>
              <w:rPr>
                <w:rFonts w:ascii="Calibri" w:hAnsi="Calibri"/>
                <w:color w:val="2D3237"/>
                <w:sz w:val="17"/>
              </w:rPr>
              <w:t>Page 34</w:t>
            </w:r>
          </w:p>
        </w:tc>
        <w:tc>
          <w:tcPr>
            <w:tcW w:type="dxa" w:w="3269"/>
            <w:shd w:fill="F7F9FB"/>
            <w:tcMar>
              <w:top w:w="95" w:type="dxa"/>
              <w:bottom w:w="95" w:type="dxa"/>
              <w:left w:w="130" w:type="dxa"/>
              <w:right w:w="130" w:type="dxa"/>
            </w:tcMar>
          </w:tcPr>
          <w:p>
            <w:pPr>
              <w:spacing w:before="0" w:after="0"/>
            </w:pPr>
            <w:r>
              <w:rPr>
                <w:rFonts w:ascii="Calibri" w:hAnsi="Calibri"/>
                <w:color w:val="2D3237"/>
                <w:sz w:val="17"/>
              </w:rPr>
              <w:t>24/7/365 CSOC monitoring, immutable audit logging, SOAR automated playbooks, and MITRE mapping.</w:t>
            </w:r>
          </w:p>
        </w:tc>
      </w:tr>
      <w:tr>
        <w:tc>
          <w:tcPr>
            <w:tcW w:type="dxa" w:w="1440"/>
            <w:shd w:fill="FFFFFF"/>
            <w:tcMar>
              <w:top w:w="95" w:type="dxa"/>
              <w:bottom w:w="95" w:type="dxa"/>
              <w:left w:w="130" w:type="dxa"/>
              <w:right w:w="130" w:type="dxa"/>
            </w:tcMar>
          </w:tcPr>
          <w:p>
            <w:pPr>
              <w:spacing w:before="0" w:after="0"/>
            </w:pPr>
            <w:r>
              <w:rPr>
                <w:rFonts w:ascii="Calibri" w:hAnsi="Calibri"/>
                <w:color w:val="2D3237"/>
                <w:sz w:val="17"/>
              </w:rPr>
              <w:t>Section 13</w:t>
            </w:r>
          </w:p>
        </w:tc>
        <w:tc>
          <w:tcPr>
            <w:tcW w:type="dxa" w:w="3168"/>
            <w:shd w:fill="FFFFFF"/>
            <w:tcMar>
              <w:top w:w="95" w:type="dxa"/>
              <w:bottom w:w="95" w:type="dxa"/>
              <w:left w:w="130" w:type="dxa"/>
              <w:right w:w="130" w:type="dxa"/>
            </w:tcMar>
          </w:tcPr>
          <w:p>
            <w:pPr>
              <w:spacing w:before="0" w:after="0"/>
            </w:pPr>
            <w:r>
              <w:rPr>
                <w:rFonts w:ascii="Calibri" w:hAnsi="Calibri"/>
                <w:color w:val="2D3237"/>
                <w:sz w:val="17"/>
              </w:rPr>
              <w:t>Cyber Incident Management, Response &amp; Regulatory Disclosure</w:t>
            </w:r>
          </w:p>
        </w:tc>
        <w:tc>
          <w:tcPr>
            <w:tcW w:type="dxa" w:w="1152"/>
            <w:shd w:fill="FFFFFF"/>
            <w:tcMar>
              <w:top w:w="95" w:type="dxa"/>
              <w:bottom w:w="95" w:type="dxa"/>
              <w:left w:w="130" w:type="dxa"/>
              <w:right w:w="130" w:type="dxa"/>
            </w:tcMar>
          </w:tcPr>
          <w:p>
            <w:pPr>
              <w:spacing w:before="0" w:after="0"/>
            </w:pPr>
            <w:r>
              <w:rPr>
                <w:rFonts w:ascii="Calibri" w:hAnsi="Calibri"/>
                <w:color w:val="2D3237"/>
                <w:sz w:val="17"/>
              </w:rPr>
              <w:t>Page 37</w:t>
            </w:r>
          </w:p>
        </w:tc>
        <w:tc>
          <w:tcPr>
            <w:tcW w:type="dxa" w:w="3269"/>
            <w:shd w:fill="FFFFFF"/>
            <w:tcMar>
              <w:top w:w="95" w:type="dxa"/>
              <w:bottom w:w="95" w:type="dxa"/>
              <w:left w:w="130" w:type="dxa"/>
              <w:right w:w="130" w:type="dxa"/>
            </w:tcMar>
          </w:tcPr>
          <w:p>
            <w:pPr>
              <w:spacing w:before="0" w:after="0"/>
            </w:pPr>
            <w:r>
              <w:rPr>
                <w:rFonts w:ascii="Calibri" w:hAnsi="Calibri"/>
                <w:color w:val="2D3237"/>
                <w:sz w:val="17"/>
              </w:rPr>
              <w:t>4-tier incident severity matrix, containment workflows, and mandatory 2-hour UAE regulatory reporting.</w:t>
            </w:r>
          </w:p>
        </w:tc>
      </w:tr>
      <w:tr>
        <w:tc>
          <w:tcPr>
            <w:tcW w:type="dxa" w:w="1440"/>
            <w:shd w:fill="F7F9FB"/>
            <w:tcMar>
              <w:top w:w="95" w:type="dxa"/>
              <w:bottom w:w="95" w:type="dxa"/>
              <w:left w:w="130" w:type="dxa"/>
              <w:right w:w="130" w:type="dxa"/>
            </w:tcMar>
          </w:tcPr>
          <w:p>
            <w:pPr>
              <w:spacing w:before="0" w:after="0"/>
            </w:pPr>
            <w:r>
              <w:rPr>
                <w:rFonts w:ascii="Calibri" w:hAnsi="Calibri"/>
                <w:color w:val="2D3237"/>
                <w:sz w:val="17"/>
              </w:rPr>
              <w:t>Section 14</w:t>
            </w:r>
          </w:p>
        </w:tc>
        <w:tc>
          <w:tcPr>
            <w:tcW w:type="dxa" w:w="3168"/>
            <w:shd w:fill="F7F9FB"/>
            <w:tcMar>
              <w:top w:w="95" w:type="dxa"/>
              <w:bottom w:w="95" w:type="dxa"/>
              <w:left w:w="130" w:type="dxa"/>
              <w:right w:w="130" w:type="dxa"/>
            </w:tcMar>
          </w:tcPr>
          <w:p>
            <w:pPr>
              <w:spacing w:before="0" w:after="0"/>
            </w:pPr>
            <w:r>
              <w:rPr>
                <w:rFonts w:ascii="Calibri" w:hAnsi="Calibri"/>
                <w:color w:val="2D3237"/>
                <w:sz w:val="17"/>
              </w:rPr>
              <w:t>Third-Party, Vendor &amp; Supply Chain Cybersecurity Risk</w:t>
            </w:r>
          </w:p>
        </w:tc>
        <w:tc>
          <w:tcPr>
            <w:tcW w:type="dxa" w:w="1152"/>
            <w:shd w:fill="F7F9FB"/>
            <w:tcMar>
              <w:top w:w="95" w:type="dxa"/>
              <w:bottom w:w="95" w:type="dxa"/>
              <w:left w:w="130" w:type="dxa"/>
              <w:right w:w="130" w:type="dxa"/>
            </w:tcMar>
          </w:tcPr>
          <w:p>
            <w:pPr>
              <w:spacing w:before="0" w:after="0"/>
            </w:pPr>
            <w:r>
              <w:rPr>
                <w:rFonts w:ascii="Calibri" w:hAnsi="Calibri"/>
                <w:color w:val="2D3237"/>
                <w:sz w:val="17"/>
              </w:rPr>
              <w:t>Page 39</w:t>
            </w:r>
          </w:p>
        </w:tc>
        <w:tc>
          <w:tcPr>
            <w:tcW w:type="dxa" w:w="3269"/>
            <w:shd w:fill="F7F9FB"/>
            <w:tcMar>
              <w:top w:w="95" w:type="dxa"/>
              <w:bottom w:w="95" w:type="dxa"/>
              <w:left w:w="130" w:type="dxa"/>
              <w:right w:w="130" w:type="dxa"/>
            </w:tcMar>
          </w:tcPr>
          <w:p>
            <w:pPr>
              <w:spacing w:before="0" w:after="0"/>
            </w:pPr>
            <w:r>
              <w:rPr>
                <w:rFonts w:ascii="Calibri" w:hAnsi="Calibri"/>
                <w:color w:val="2D3237"/>
                <w:sz w:val="17"/>
              </w:rPr>
              <w:t>Vendor risk tiering (Critical to Low), SOC 2 Type II mandates, and open-source SBOM requirements.</w:t>
            </w:r>
          </w:p>
        </w:tc>
      </w:tr>
      <w:tr>
        <w:tc>
          <w:tcPr>
            <w:tcW w:type="dxa" w:w="1440"/>
            <w:shd w:fill="FFFFFF"/>
            <w:tcMar>
              <w:top w:w="95" w:type="dxa"/>
              <w:bottom w:w="95" w:type="dxa"/>
              <w:left w:w="130" w:type="dxa"/>
              <w:right w:w="130" w:type="dxa"/>
            </w:tcMar>
          </w:tcPr>
          <w:p>
            <w:pPr>
              <w:spacing w:before="0" w:after="0"/>
            </w:pPr>
            <w:r>
              <w:rPr>
                <w:rFonts w:ascii="Calibri" w:hAnsi="Calibri"/>
                <w:color w:val="2D3237"/>
                <w:sz w:val="17"/>
              </w:rPr>
              <w:t>Section 15</w:t>
            </w:r>
          </w:p>
        </w:tc>
        <w:tc>
          <w:tcPr>
            <w:tcW w:type="dxa" w:w="3168"/>
            <w:shd w:fill="FFFFFF"/>
            <w:tcMar>
              <w:top w:w="95" w:type="dxa"/>
              <w:bottom w:w="95" w:type="dxa"/>
              <w:left w:w="130" w:type="dxa"/>
              <w:right w:w="130" w:type="dxa"/>
            </w:tcMar>
          </w:tcPr>
          <w:p>
            <w:pPr>
              <w:spacing w:before="0" w:after="0"/>
            </w:pPr>
            <w:r>
              <w:rPr>
                <w:rFonts w:ascii="Calibri" w:hAnsi="Calibri"/>
                <w:color w:val="2D3237"/>
                <w:sz w:val="17"/>
              </w:rPr>
              <w:t>Compliance Auditing, Enforcement &amp; Disciplinary Sanctions</w:t>
            </w:r>
          </w:p>
        </w:tc>
        <w:tc>
          <w:tcPr>
            <w:tcW w:type="dxa" w:w="1152"/>
            <w:shd w:fill="FFFFFF"/>
            <w:tcMar>
              <w:top w:w="95" w:type="dxa"/>
              <w:bottom w:w="95" w:type="dxa"/>
              <w:left w:w="130" w:type="dxa"/>
              <w:right w:w="130" w:type="dxa"/>
            </w:tcMar>
          </w:tcPr>
          <w:p>
            <w:pPr>
              <w:spacing w:before="0" w:after="0"/>
            </w:pPr>
            <w:r>
              <w:rPr>
                <w:rFonts w:ascii="Calibri" w:hAnsi="Calibri"/>
                <w:color w:val="2D3237"/>
                <w:sz w:val="17"/>
              </w:rPr>
              <w:t>Page 41</w:t>
            </w:r>
          </w:p>
        </w:tc>
        <w:tc>
          <w:tcPr>
            <w:tcW w:type="dxa" w:w="3269"/>
            <w:shd w:fill="FFFFFF"/>
            <w:tcMar>
              <w:top w:w="95" w:type="dxa"/>
              <w:bottom w:w="95" w:type="dxa"/>
              <w:left w:w="130" w:type="dxa"/>
              <w:right w:w="130" w:type="dxa"/>
            </w:tcMar>
          </w:tcPr>
          <w:p>
            <w:pPr>
              <w:spacing w:before="0" w:after="0"/>
            </w:pPr>
            <w:r>
              <w:rPr>
                <w:rFonts w:ascii="Calibri" w:hAnsi="Calibri"/>
                <w:color w:val="2D3237"/>
                <w:sz w:val="17"/>
              </w:rPr>
              <w:t>Continuous compliance auditing, progressive 4-tier disciplinary actions, and whistleblower safe harbor.</w:t>
            </w:r>
          </w:p>
        </w:tc>
      </w:tr>
      <w:tr>
        <w:tc>
          <w:tcPr>
            <w:tcW w:type="dxa" w:w="1440"/>
            <w:shd w:fill="F7F9FB"/>
            <w:tcMar>
              <w:top w:w="95" w:type="dxa"/>
              <w:bottom w:w="95" w:type="dxa"/>
              <w:left w:w="130" w:type="dxa"/>
              <w:right w:w="130" w:type="dxa"/>
            </w:tcMar>
          </w:tcPr>
          <w:p>
            <w:pPr>
              <w:spacing w:before="0" w:after="0"/>
            </w:pPr>
            <w:r>
              <w:rPr>
                <w:rFonts w:ascii="Calibri" w:hAnsi="Calibri"/>
                <w:color w:val="2D3237"/>
                <w:sz w:val="17"/>
              </w:rPr>
              <w:t>Section 16</w:t>
            </w:r>
          </w:p>
        </w:tc>
        <w:tc>
          <w:tcPr>
            <w:tcW w:type="dxa" w:w="3168"/>
            <w:shd w:fill="F7F9FB"/>
            <w:tcMar>
              <w:top w:w="95" w:type="dxa"/>
              <w:bottom w:w="95" w:type="dxa"/>
              <w:left w:w="130" w:type="dxa"/>
              <w:right w:w="130" w:type="dxa"/>
            </w:tcMar>
          </w:tcPr>
          <w:p>
            <w:pPr>
              <w:spacing w:before="0" w:after="0"/>
            </w:pPr>
            <w:r>
              <w:rPr>
                <w:rFonts w:ascii="Calibri" w:hAnsi="Calibri"/>
                <w:color w:val="2D3237"/>
                <w:sz w:val="17"/>
              </w:rPr>
              <w:t>Appendix A: Statutory &amp; International Regulatory Concordance</w:t>
            </w:r>
          </w:p>
        </w:tc>
        <w:tc>
          <w:tcPr>
            <w:tcW w:type="dxa" w:w="1152"/>
            <w:shd w:fill="F7F9FB"/>
            <w:tcMar>
              <w:top w:w="95" w:type="dxa"/>
              <w:bottom w:w="95" w:type="dxa"/>
              <w:left w:w="130" w:type="dxa"/>
              <w:right w:w="130" w:type="dxa"/>
            </w:tcMar>
          </w:tcPr>
          <w:p>
            <w:pPr>
              <w:spacing w:before="0" w:after="0"/>
            </w:pPr>
            <w:r>
              <w:rPr>
                <w:rFonts w:ascii="Calibri" w:hAnsi="Calibri"/>
                <w:color w:val="2D3237"/>
                <w:sz w:val="17"/>
              </w:rPr>
              <w:t>Page 43</w:t>
            </w:r>
          </w:p>
        </w:tc>
        <w:tc>
          <w:tcPr>
            <w:tcW w:type="dxa" w:w="3269"/>
            <w:shd w:fill="F7F9FB"/>
            <w:tcMar>
              <w:top w:w="95" w:type="dxa"/>
              <w:bottom w:w="95" w:type="dxa"/>
              <w:left w:w="130" w:type="dxa"/>
              <w:right w:w="130" w:type="dxa"/>
            </w:tcMar>
          </w:tcPr>
          <w:p>
            <w:pPr>
              <w:spacing w:before="0" w:after="0"/>
            </w:pPr>
            <w:r>
              <w:rPr>
                <w:rFonts w:ascii="Calibri" w:hAnsi="Calibri"/>
                <w:color w:val="2D3237"/>
                <w:sz w:val="17"/>
              </w:rPr>
              <w:t>Concordance mapping to ISO 27001:2022, UAE NESA IAS, NIST CSF 2.0, and SOC 2 Type II.</w:t>
            </w:r>
          </w:p>
        </w:tc>
      </w:tr>
      <w:tr>
        <w:tc>
          <w:tcPr>
            <w:tcW w:type="dxa" w:w="1440"/>
            <w:shd w:fill="FFFFFF"/>
            <w:tcMar>
              <w:top w:w="95" w:type="dxa"/>
              <w:bottom w:w="95" w:type="dxa"/>
              <w:left w:w="130" w:type="dxa"/>
              <w:right w:w="130" w:type="dxa"/>
            </w:tcMar>
          </w:tcPr>
          <w:p>
            <w:pPr>
              <w:spacing w:before="0" w:after="0"/>
            </w:pPr>
            <w:r>
              <w:rPr>
                <w:rFonts w:ascii="Calibri" w:hAnsi="Calibri"/>
                <w:color w:val="2D3237"/>
                <w:sz w:val="17"/>
              </w:rPr>
              <w:t>Section 17</w:t>
            </w:r>
          </w:p>
        </w:tc>
        <w:tc>
          <w:tcPr>
            <w:tcW w:type="dxa" w:w="3168"/>
            <w:shd w:fill="FFFFFF"/>
            <w:tcMar>
              <w:top w:w="95" w:type="dxa"/>
              <w:bottom w:w="95" w:type="dxa"/>
              <w:left w:w="130" w:type="dxa"/>
              <w:right w:w="130" w:type="dxa"/>
            </w:tcMar>
          </w:tcPr>
          <w:p>
            <w:pPr>
              <w:spacing w:before="0" w:after="0"/>
            </w:pPr>
            <w:r>
              <w:rPr>
                <w:rFonts w:ascii="Calibri" w:hAnsi="Calibri"/>
                <w:color w:val="2D3237"/>
                <w:sz w:val="17"/>
              </w:rPr>
              <w:t>Appendix B: Policy Attestation &amp; System Administrator Registry</w:t>
            </w:r>
          </w:p>
        </w:tc>
        <w:tc>
          <w:tcPr>
            <w:tcW w:type="dxa" w:w="1152"/>
            <w:shd w:fill="FFFFFF"/>
            <w:tcMar>
              <w:top w:w="95" w:type="dxa"/>
              <w:bottom w:w="95" w:type="dxa"/>
              <w:left w:w="130" w:type="dxa"/>
              <w:right w:w="130" w:type="dxa"/>
            </w:tcMar>
          </w:tcPr>
          <w:p>
            <w:pPr>
              <w:spacing w:before="0" w:after="0"/>
            </w:pPr>
            <w:r>
              <w:rPr>
                <w:rFonts w:ascii="Calibri" w:hAnsi="Calibri"/>
                <w:color w:val="2D3237"/>
                <w:sz w:val="17"/>
              </w:rPr>
              <w:t>Page 45</w:t>
            </w:r>
          </w:p>
        </w:tc>
        <w:tc>
          <w:tcPr>
            <w:tcW w:type="dxa" w:w="3269"/>
            <w:shd w:fill="FFFFFF"/>
            <w:tcMar>
              <w:top w:w="95" w:type="dxa"/>
              <w:bottom w:w="95" w:type="dxa"/>
              <w:left w:w="130" w:type="dxa"/>
              <w:right w:w="130" w:type="dxa"/>
            </w:tcMar>
          </w:tcPr>
          <w:p>
            <w:pPr>
              <w:spacing w:before="0" w:after="0"/>
            </w:pPr>
            <w:r>
              <w:rPr>
                <w:rFonts w:ascii="Calibri" w:hAnsi="Calibri"/>
                <w:color w:val="2D3237"/>
                <w:sz w:val="17"/>
              </w:rPr>
              <w:t>Mandatory digital execution registry for privileged users, infrastructure admins, and agent owners.</w:t>
            </w:r>
          </w:p>
        </w:tc>
      </w:tr>
    </w:tbl>
    <w:p>
      <w:pPr>
        <w:spacing w:before="0" w:after="80"/>
      </w:pPr>
    </w:p>
    <w:p>
      <w:r>
        <w:br w:type="page"/>
      </w:r>
    </w:p>
    <w:p>
      <w:pPr>
        <w:keepNext/>
        <w:spacing w:before="400" w:after="120"/>
      </w:pPr>
      <w:r>
        <w:rPr>
          <w:rFonts w:ascii="Calibri" w:hAnsi="Calibri"/>
          <w:b/>
          <w:color w:val="0B2545"/>
          <w:sz w:val="30"/>
        </w:rPr>
        <w:t>SECTION 1: PURPOSE, VISION &amp; ZERO TRUST FOUNDATIONAL PILLARS</w:t>
      </w:r>
    </w:p>
    <w:p>
      <w:pPr>
        <w:keepNext/>
        <w:spacing w:before="280" w:after="80"/>
      </w:pPr>
      <w:r>
        <w:rPr>
          <w:rFonts w:ascii="Calibri" w:hAnsi="Calibri"/>
          <w:b/>
          <w:color w:val="136F63"/>
          <w:sz w:val="24"/>
        </w:rPr>
        <w:t>1.1 Executive Statement &amp; Cybersecurity Purpose</w:t>
      </w:r>
    </w:p>
    <w:p>
      <w:pPr>
        <w:spacing w:before="0" w:after="120" w:line="276" w:lineRule="auto"/>
      </w:pPr>
      <w:r>
        <w:rPr>
          <w:rFonts w:ascii="Calibri" w:hAnsi="Calibri"/>
          <w:color w:val="2D3237"/>
          <w:sz w:val="20"/>
        </w:rPr>
        <w:t>Clause 1.1.1 — G42 Holding LLC ('G42' or the 'Group') operates mission-critical artificial intelligence ecosystems, national supercomputing clusters, sovereign cloud fabrics, and cognitive platforms. Headquartered in Abu Dhabi, United Arab Emirates, G42 manages data assets and compute infrastructure vital to national security, public health, energy transition, financial stability, and frontier research. Defending this infrastructure against nation-state cyber actors, sophisticated ransomware syndicates, insider threats, and supply-chain compromises is an existential operational priority.</w:t>
      </w:r>
    </w:p>
    <w:p>
      <w:pPr>
        <w:spacing w:before="0" w:after="120" w:line="276" w:lineRule="auto"/>
      </w:pPr>
      <w:r>
        <w:rPr>
          <w:rFonts w:ascii="Calibri" w:hAnsi="Calibri"/>
          <w:color w:val="2D3237"/>
          <w:sz w:val="20"/>
        </w:rPr>
        <w:t>Clause 1.1.2 — The purpose of this Group Enterprise Information Security &amp; Zero Trust Architecture Policy (G42-POL-SEC-002) is to mandate a comprehensive, non-negotiable security framework across all computing environments, physical facilities, telecommunication backbones, cloud fabrics, software repositories, and autonomous cognitive systems. This policy formally deprecates legacy perimeter-based security architectures and mandates the immediate adoption of Zero Trust Architecture (ZTA) across all group entities, enforcing end-to-end identity validation, continuous authorization, ephemeral privileged access, pervasive cryptographic protection, and rapid incident containment.</w:t>
      </w:r>
    </w:p>
    <w:p>
      <w:pPr>
        <w:keepNext/>
        <w:spacing w:before="280" w:after="80"/>
      </w:pPr>
      <w:r>
        <w:rPr>
          <w:rFonts w:ascii="Calibri" w:hAnsi="Calibri"/>
          <w:b/>
          <w:color w:val="136F63"/>
          <w:sz w:val="24"/>
        </w:rPr>
        <w:t>1.2 The Five Core Cybersecurity Defense Pillars</w:t>
      </w:r>
    </w:p>
    <w:p>
      <w:pPr>
        <w:spacing w:before="0" w:after="120" w:line="276" w:lineRule="auto"/>
      </w:pPr>
      <w:r>
        <w:rPr>
          <w:rFonts w:ascii="Calibri" w:hAnsi="Calibri"/>
          <w:color w:val="2D3237"/>
          <w:sz w:val="20"/>
        </w:rPr>
        <w:t>Clause 1.2.1 — All infrastructure engineers, cloud architects, security operations personnel, system administrators, software developers, and executive leadership must govern digital operations according to Five Core Cybersecurity Defense Pillars:</w:t>
      </w:r>
    </w:p>
    <w:p>
      <w:pPr>
        <w:pStyle w:val="ListBullet"/>
        <w:spacing w:before="0" w:after="60" w:line="276" w:lineRule="auto"/>
      </w:pPr>
      <w:r>
        <w:rPr>
          <w:rFonts w:ascii="Calibri" w:hAnsi="Calibri"/>
          <w:b/>
          <w:color w:val="2D3237"/>
          <w:sz w:val="20"/>
        </w:rPr>
        <w:t xml:space="preserve">Pillar 1: Zero Implicit Trust &amp; Continuous Verification (ZIT-CV): </w:t>
      </w:r>
      <w:r>
        <w:rPr>
          <w:rFonts w:ascii="Calibri" w:hAnsi="Calibri"/>
          <w:color w:val="2D3237"/>
          <w:sz w:val="20"/>
        </w:rPr>
        <w:t>Implicit trust based on network locality, IP subnet, or physical location within corporate offices is entirely eliminated. Every user, device, service principal, API client, and autonomous agent (including Sage Agent) must authenticate and authorize dynamically for every single resource access attempt.</w:t>
      </w:r>
    </w:p>
    <w:p>
      <w:pPr>
        <w:pStyle w:val="ListBullet"/>
        <w:spacing w:before="0" w:after="60" w:line="276" w:lineRule="auto"/>
      </w:pPr>
      <w:r>
        <w:rPr>
          <w:rFonts w:ascii="Calibri" w:hAnsi="Calibri"/>
          <w:b/>
          <w:color w:val="2D3237"/>
          <w:sz w:val="20"/>
        </w:rPr>
        <w:t xml:space="preserve">Pillar 2: Principle of Least Privilege &amp; Zero Standing Access (PLP-ZSA): </w:t>
      </w:r>
      <w:r>
        <w:rPr>
          <w:rFonts w:ascii="Calibri" w:hAnsi="Calibri"/>
          <w:color w:val="2D3237"/>
          <w:sz w:val="20"/>
        </w:rPr>
        <w:t>All access grants are strictly scoped to the minimum permissions necessary to complete the designated operational task. Standing administrative privileges are permanently abolished in favor of ephemeral, time-bounded Just-In-Time (JIT) access requests backed by multi-party approval workflows.</w:t>
      </w:r>
    </w:p>
    <w:p>
      <w:pPr>
        <w:pStyle w:val="ListBullet"/>
        <w:spacing w:before="0" w:after="60" w:line="276" w:lineRule="auto"/>
      </w:pPr>
      <w:r>
        <w:rPr>
          <w:rFonts w:ascii="Calibri" w:hAnsi="Calibri"/>
          <w:b/>
          <w:color w:val="2D3237"/>
          <w:sz w:val="20"/>
        </w:rPr>
        <w:t xml:space="preserve">Pillar 3: Pervasive Micro-Segmentation &amp; Lateral Containment (PMLC): </w:t>
      </w:r>
      <w:r>
        <w:rPr>
          <w:rFonts w:ascii="Calibri" w:hAnsi="Calibri"/>
          <w:color w:val="2D3237"/>
          <w:sz w:val="20"/>
        </w:rPr>
        <w:t>All networks, VPCs, supercomputing interconnects, and Kubernetes clusters must be segmented into isolated security zones using Software-Defined Perimeters (SDP) and mutual TLS (mTLS 1.3). A breach in one security zone or Operating Company must be physically and logically prevented from traversing laterally into adjacent domains.</w:t>
      </w:r>
    </w:p>
    <w:p>
      <w:pPr>
        <w:pStyle w:val="ListBullet"/>
        <w:spacing w:before="0" w:after="60" w:line="276" w:lineRule="auto"/>
      </w:pPr>
      <w:r>
        <w:rPr>
          <w:rFonts w:ascii="Calibri" w:hAnsi="Calibri"/>
          <w:b/>
          <w:color w:val="2D3237"/>
          <w:sz w:val="20"/>
        </w:rPr>
        <w:t xml:space="preserve">Pillar 4: End-to-End Cryptographic Sovereignty &amp; Key Custody (EECS-KC): </w:t>
      </w:r>
      <w:r>
        <w:rPr>
          <w:rFonts w:ascii="Calibri" w:hAnsi="Calibri"/>
          <w:color w:val="2D3237"/>
          <w:sz w:val="20"/>
        </w:rPr>
        <w:t>All data at rest, in transit across public and private backbones, and in use during computational execution must be protected by state-of-the-art cryptographic standards (AES-256-GCM, TLS 1.3) using Hardware Security Modules (HSM) and Customer-Managed Encryption Keys (CMEK), with immediate integration of Post-Quantum Cryptography (PQC) readiness.</w:t>
      </w:r>
    </w:p>
    <w:p>
      <w:pPr>
        <w:pStyle w:val="ListBullet"/>
        <w:spacing w:before="0" w:after="60" w:line="276" w:lineRule="auto"/>
      </w:pPr>
      <w:r>
        <w:rPr>
          <w:rFonts w:ascii="Calibri" w:hAnsi="Calibri"/>
          <w:b/>
          <w:color w:val="2D3237"/>
          <w:sz w:val="20"/>
        </w:rPr>
        <w:t xml:space="preserve">Pillar 5: Assume Breach &amp; Continuous Behavioral Observability (AB-CBO): </w:t>
      </w:r>
      <w:r>
        <w:rPr>
          <w:rFonts w:ascii="Calibri" w:hAnsi="Calibri"/>
          <w:color w:val="2D3237"/>
          <w:sz w:val="20"/>
        </w:rPr>
        <w:t>Security engineering must operate under the explicit assumption that perimeters will be breached and credentials will be targeted. Architecture must emphasize continuous endpoint detection and response (EDR), real-time telemetry analytics, automated containment playbooks, and high-fidelity forensic auditability.</w:t>
      </w:r>
    </w:p>
    <w:tbl>
      <w:tblPr>
        <w:tblW w:type="auto" w:w="0"/>
        <w:jc w:val="center"/>
        <w:tblLayout w:type="fixed"/>
        <w:tblLook w:firstColumn="1" w:firstRow="1" w:lastColumn="0" w:lastRow="0" w:noHBand="0" w:noVBand="1" w:val="04A0"/>
      </w:tblPr>
      <w:tblGrid>
        <w:gridCol w:w="9029"/>
      </w:tblGrid>
      <w:tr>
        <w:tc>
          <w:tcPr>
            <w:tcW w:type="dxa" w:w="9029"/>
            <w:shd w:fill="F2F6FA"/>
            <w:tcMar>
              <w:top w:w="130" w:type="dxa"/>
              <w:bottom w:w="130" w:type="dxa"/>
              <w:left w:w="160" w:type="dxa"/>
              <w:right w:w="160" w:type="dxa"/>
            </w:tcMar>
            <w:tcBorders>
              <w:top w:val="none"/>
              <w:left w:val="single" w:sz="24" w:space="0" w:color="0B2545"/>
              <w:bottom w:val="none"/>
              <w:right w:val="none"/>
            </w:tcBorders>
          </w:tcPr>
          <w:p>
            <w:pPr>
              <w:spacing w:before="0" w:after="60"/>
            </w:pPr>
            <w:r>
              <w:rPr>
                <w:rFonts w:ascii="Calibri" w:hAnsi="Calibri"/>
                <w:b/>
                <w:color w:val="0B2545"/>
                <w:sz w:val="19"/>
              </w:rPr>
              <w:t>[CYBERSECURITY OVERRIDE DIRECTIVE]</w:t>
              <w:br/>
            </w:r>
            <w:r>
              <w:rPr>
                <w:rFonts w:ascii="Calibri" w:hAnsi="Calibri"/>
                <w:color w:val="2D3237"/>
                <w:sz w:val="19"/>
              </w:rPr>
              <w:t>ARCHITECTURAL DIRECTIVE (CLAUSE 1.2.2): The Five Core Cybersecurity Defense Pillars constitute non-negotiable enterprise engineering constraints. In any situation where operational convenience, deployment velocity, or computational throughput conflicts with these security mandates, the cybersecurity mandate takes absolute legal and operational precedence.</w:t>
            </w:r>
          </w:p>
        </w:tc>
      </w:tr>
    </w:tbl>
    <w:p>
      <w:pPr>
        <w:spacing w:before="0" w:after="80"/>
      </w:pPr>
    </w:p>
    <w:p>
      <w:r>
        <w:br w:type="page"/>
      </w:r>
    </w:p>
    <w:p>
      <w:pPr>
        <w:keepNext/>
        <w:spacing w:before="400" w:after="120"/>
      </w:pPr>
      <w:r>
        <w:rPr>
          <w:rFonts w:ascii="Calibri" w:hAnsi="Calibri"/>
          <w:b/>
          <w:color w:val="0B2545"/>
          <w:sz w:val="30"/>
        </w:rPr>
        <w:t>SECTION 2: SCOPE, APPLICABILITY &amp; SUBSIDIARY GOVERNANCE HIERARCHY</w:t>
      </w:r>
    </w:p>
    <w:p>
      <w:pPr>
        <w:keepNext/>
        <w:spacing w:before="280" w:after="80"/>
      </w:pPr>
      <w:r>
        <w:rPr>
          <w:rFonts w:ascii="Calibri" w:hAnsi="Calibri"/>
          <w:b/>
          <w:color w:val="136F63"/>
          <w:sz w:val="24"/>
        </w:rPr>
        <w:t>2.1 Universal Enterprise Scope &amp; Environment Coverage</w:t>
      </w:r>
    </w:p>
    <w:p>
      <w:pPr>
        <w:spacing w:before="0" w:after="120" w:line="276" w:lineRule="auto"/>
      </w:pPr>
      <w:r>
        <w:rPr>
          <w:rFonts w:ascii="Calibri" w:hAnsi="Calibri"/>
          <w:color w:val="2D3237"/>
          <w:sz w:val="20"/>
        </w:rPr>
        <w:t>Clause 2.1.1 — This policy applies universally, unconditionally, and uniformly to G42 Holding LLC, all wholly owned subsidiaries, majority-controlled operating companies (OpCos), joint ventures, managed services facilities, research laboratories, and international business units. Its mandates bind all personnel, including executive directors, full-time employees, contractors, seconded government staff, system administrators, cloud engineers, and autonomous AI agents.</w:t>
      </w:r>
    </w:p>
    <w:p>
      <w:pPr>
        <w:spacing w:before="0" w:after="120" w:line="276" w:lineRule="auto"/>
      </w:pPr>
      <w:r>
        <w:rPr>
          <w:rFonts w:ascii="Calibri" w:hAnsi="Calibri"/>
          <w:color w:val="2D3237"/>
          <w:sz w:val="20"/>
        </w:rPr>
        <w:t>Clause 2.1.2 — The technical scope encompasses all physical and logical assets owned, leased, operated, or accessed by G42, including: (a) On-premises hyperscale data centers, server rooms, and network closets; (b) Public cloud tenancies across Microsoft Azure, AWS, and Google Cloud Platform; (c) Sovereign cloud fabrics operated by Core42; (d) National AI supercomputing clusters (Condor Galaxy series); (e) High-performance storage fabrics, databases, and vector stores; (f) Corporate endpoints (laptops, mobile devices, IoT sensors); (g) CI/CD software pipelines, code repositories, and container registries; and (h) Autonomous agent runtimes, APIs, and Model Context Protocol (MCP) tool interfaces.</w:t>
      </w:r>
    </w:p>
    <w:p>
      <w:pPr>
        <w:keepNext/>
        <w:spacing w:before="280" w:after="80"/>
      </w:pPr>
      <w:r>
        <w:rPr>
          <w:rFonts w:ascii="Calibri" w:hAnsi="Calibri"/>
          <w:b/>
          <w:color w:val="136F63"/>
          <w:sz w:val="24"/>
        </w:rPr>
        <w:t>2.2 Operating Company (OpCo) Specific Responsibilities</w:t>
      </w:r>
    </w:p>
    <w:p>
      <w:pPr>
        <w:spacing w:before="0" w:after="120" w:line="276" w:lineRule="auto"/>
      </w:pPr>
      <w:r>
        <w:rPr>
          <w:rFonts w:ascii="Calibri" w:hAnsi="Calibri"/>
          <w:color w:val="2D3237"/>
          <w:sz w:val="20"/>
        </w:rPr>
        <w:t>Clause 2.2.1 — Operating Companies maintain dedicated Information Security teams responsible for enforcing this Group Policy within their specific technical domains while maintaining the autonomy to establish stricter domain-specific controls:</w:t>
      </w:r>
    </w:p>
    <w:p>
      <w:pPr>
        <w:pStyle w:val="ListBullet"/>
        <w:spacing w:before="0" w:after="60" w:line="276" w:lineRule="auto"/>
      </w:pPr>
      <w:r>
        <w:rPr>
          <w:rFonts w:ascii="Calibri" w:hAnsi="Calibri"/>
          <w:b/>
          <w:color w:val="2D3237"/>
          <w:sz w:val="20"/>
        </w:rPr>
        <w:t xml:space="preserve">Core42 (Sovereign Cloud &amp; Supercomputing Fabric): </w:t>
      </w:r>
      <w:r>
        <w:rPr>
          <w:rFonts w:ascii="Calibri" w:hAnsi="Calibri"/>
          <w:color w:val="2D3237"/>
          <w:sz w:val="20"/>
        </w:rPr>
        <w:t>Maintains sovereign cloud security perimeters, hypervisor isolation, sovereign network backbones, automated vulnerability management for sovereign tenants, and sovereign IAM fabrics.</w:t>
      </w:r>
    </w:p>
    <w:p>
      <w:pPr>
        <w:pStyle w:val="ListBullet"/>
        <w:spacing w:before="0" w:after="60" w:line="276" w:lineRule="auto"/>
      </w:pPr>
      <w:r>
        <w:rPr>
          <w:rFonts w:ascii="Calibri" w:hAnsi="Calibri"/>
          <w:b/>
          <w:color w:val="2D3237"/>
          <w:sz w:val="20"/>
        </w:rPr>
        <w:t xml:space="preserve">Inception Institute of Artificial Intelligence (IIAI): </w:t>
      </w:r>
      <w:r>
        <w:rPr>
          <w:rFonts w:ascii="Calibri" w:hAnsi="Calibri"/>
          <w:color w:val="2D3237"/>
          <w:sz w:val="20"/>
        </w:rPr>
        <w:t>Enforces advanced software supply chain security, application security posture management (ASPM), red-team adversarial benchmarking, and AI model weight cryptographic custody.</w:t>
      </w:r>
    </w:p>
    <w:p>
      <w:pPr>
        <w:pStyle w:val="ListBullet"/>
        <w:spacing w:before="0" w:after="60" w:line="276" w:lineRule="auto"/>
      </w:pPr>
      <w:r>
        <w:rPr>
          <w:rFonts w:ascii="Calibri" w:hAnsi="Calibri"/>
          <w:b/>
          <w:color w:val="2D3237"/>
          <w:sz w:val="20"/>
        </w:rPr>
        <w:t xml:space="preserve">Presight AI (Big Data &amp; Sovereign Analytics): </w:t>
      </w:r>
      <w:r>
        <w:rPr>
          <w:rFonts w:ascii="Calibri" w:hAnsi="Calibri"/>
          <w:color w:val="2D3237"/>
          <w:sz w:val="20"/>
        </w:rPr>
        <w:t>Governs sovereign data analytics security, smart city sensor network encryption, multi-tenant public sector isolation perimeters, and secure data virtualization layers.</w:t>
      </w:r>
    </w:p>
    <w:p>
      <w:pPr>
        <w:pStyle w:val="ListBullet"/>
        <w:spacing w:before="0" w:after="60" w:line="276" w:lineRule="auto"/>
      </w:pPr>
      <w:r>
        <w:rPr>
          <w:rFonts w:ascii="Calibri" w:hAnsi="Calibri"/>
          <w:b/>
          <w:color w:val="2D3237"/>
          <w:sz w:val="20"/>
        </w:rPr>
        <w:t xml:space="preserve">AIQ (Energy &amp; Industrial AI): </w:t>
      </w:r>
      <w:r>
        <w:rPr>
          <w:rFonts w:ascii="Calibri" w:hAnsi="Calibri"/>
          <w:color w:val="2D3237"/>
          <w:sz w:val="20"/>
        </w:rPr>
        <w:t>Governs industrial IoT (IIoT) endpoint security, SCADA/ICS network segmentation, OT/IT boundary firewalls, and energy-sector telemetry encryption.</w:t>
      </w:r>
    </w:p>
    <w:p>
      <w:pPr>
        <w:pStyle w:val="ListBullet"/>
        <w:spacing w:before="0" w:after="60" w:line="276" w:lineRule="auto"/>
      </w:pPr>
      <w:r>
        <w:rPr>
          <w:rFonts w:ascii="Calibri" w:hAnsi="Calibri"/>
          <w:b/>
          <w:color w:val="2D3237"/>
          <w:sz w:val="20"/>
        </w:rPr>
        <w:t xml:space="preserve">Khazna Data Centers (Hyperscale Facilities): </w:t>
      </w:r>
      <w:r>
        <w:rPr>
          <w:rFonts w:ascii="Calibri" w:hAnsi="Calibri"/>
          <w:color w:val="2D3237"/>
          <w:sz w:val="20"/>
        </w:rPr>
        <w:t>Governs Tier-3/Tier-4 physical data center security, biometric facility access, perimeter intrusion detection, hardware security module (HSM) physical custody, and dark-fiber link encryption.</w:t>
      </w:r>
    </w:p>
    <w:p>
      <w:pPr>
        <w:pStyle w:val="ListBullet"/>
        <w:spacing w:before="0" w:after="60" w:line="276" w:lineRule="auto"/>
      </w:pPr>
      <w:r>
        <w:rPr>
          <w:rFonts w:ascii="Calibri" w:hAnsi="Calibri"/>
          <w:b/>
          <w:color w:val="2D3237"/>
          <w:sz w:val="20"/>
        </w:rPr>
        <w:t xml:space="preserve">Space42 (Satellite &amp; Geospatial Communications): </w:t>
      </w:r>
      <w:r>
        <w:rPr>
          <w:rFonts w:ascii="Calibri" w:hAnsi="Calibri"/>
          <w:color w:val="2D3237"/>
          <w:sz w:val="20"/>
        </w:rPr>
        <w:t>Governs satellite uplink/downlink encryption, space telemetry command authentication, orbital payload security, and geospatial data custody.</w:t>
      </w:r>
    </w:p>
    <w:p>
      <w:pPr>
        <w:keepNext/>
        <w:spacing w:before="200" w:after="40"/>
      </w:pPr>
      <w:r>
        <w:rPr>
          <w:rFonts w:ascii="Calibri" w:hAnsi="Calibri"/>
          <w:b/>
          <w:color w:val="0B2545"/>
          <w:sz w:val="21"/>
        </w:rPr>
        <w:t>2.3 Cybersecurity Governance &amp; Escalation Hierarchy</w:t>
      </w:r>
    </w:p>
    <w:p>
      <w:pPr>
        <w:spacing w:before="0" w:after="120" w:line="276" w:lineRule="auto"/>
      </w:pPr>
      <w:r>
        <w:rPr>
          <w:rFonts w:ascii="Calibri" w:hAnsi="Calibri"/>
          <w:color w:val="2D3237"/>
          <w:sz w:val="20"/>
        </w:rPr>
        <w:t>Clause 2.3.1 — The G42 cybersecurity governance hierarchy ensures unified command, independent risk oversight, and structured escalation across the Group:</w:t>
      </w:r>
    </w:p>
    <w:tbl>
      <w:tblPr>
        <w:tblW w:type="auto" w:w="0"/>
        <w:jc w:val="center"/>
        <w:tblLayout w:type="fixed"/>
        <w:tblLook w:firstColumn="1" w:firstRow="1" w:lastColumn="0" w:lastRow="0" w:noHBand="0" w:noVBand="1" w:val="04A0"/>
      </w:tblPr>
      <w:tblGrid>
        <w:gridCol w:w="2160"/>
        <w:gridCol w:w="3312"/>
        <w:gridCol w:w="1872"/>
        <w:gridCol w:w="1685"/>
      </w:tblGrid>
      <w:tr>
        <w:tc>
          <w:tcPr>
            <w:tcW w:type="dxa" w:w="2160"/>
            <w:shd w:fill="0B2545"/>
            <w:tcMar>
              <w:top w:w="120" w:type="dxa"/>
              <w:bottom w:w="120" w:type="dxa"/>
              <w:left w:w="130" w:type="dxa"/>
              <w:right w:w="130" w:type="dxa"/>
            </w:tcMar>
          </w:tcPr>
          <w:p>
            <w:pPr>
              <w:spacing w:before="0" w:after="0"/>
              <w:jc w:val="left"/>
            </w:pPr>
            <w:r>
              <w:rPr>
                <w:rFonts w:ascii="Calibri" w:hAnsi="Calibri"/>
                <w:b/>
                <w:color w:val="FFFFFF"/>
                <w:sz w:val="18"/>
              </w:rPr>
              <w:t>Governance Body</w:t>
            </w:r>
          </w:p>
        </w:tc>
        <w:tc>
          <w:tcPr>
            <w:tcW w:type="dxa" w:w="3312"/>
            <w:shd w:fill="0B2545"/>
            <w:tcMar>
              <w:top w:w="120" w:type="dxa"/>
              <w:bottom w:w="120" w:type="dxa"/>
              <w:left w:w="130" w:type="dxa"/>
              <w:right w:w="130" w:type="dxa"/>
            </w:tcMar>
          </w:tcPr>
          <w:p>
            <w:pPr>
              <w:spacing w:before="0" w:after="0"/>
              <w:jc w:val="left"/>
            </w:pPr>
            <w:r>
              <w:rPr>
                <w:rFonts w:ascii="Calibri" w:hAnsi="Calibri"/>
                <w:b/>
                <w:color w:val="FFFFFF"/>
                <w:sz w:val="18"/>
              </w:rPr>
              <w:t>Mandate &amp; Responsibilities</w:t>
            </w:r>
          </w:p>
        </w:tc>
        <w:tc>
          <w:tcPr>
            <w:tcW w:type="dxa" w:w="1872"/>
            <w:shd w:fill="0B2545"/>
            <w:tcMar>
              <w:top w:w="120" w:type="dxa"/>
              <w:bottom w:w="120" w:type="dxa"/>
              <w:left w:w="130" w:type="dxa"/>
              <w:right w:w="130" w:type="dxa"/>
            </w:tcMar>
          </w:tcPr>
          <w:p>
            <w:pPr>
              <w:spacing w:before="0" w:after="0"/>
              <w:jc w:val="left"/>
            </w:pPr>
            <w:r>
              <w:rPr>
                <w:rFonts w:ascii="Calibri" w:hAnsi="Calibri"/>
                <w:b/>
                <w:color w:val="FFFFFF"/>
                <w:sz w:val="18"/>
              </w:rPr>
              <w:t>Reporting Line</w:t>
            </w:r>
          </w:p>
        </w:tc>
        <w:tc>
          <w:tcPr>
            <w:tcW w:type="dxa" w:w="1685"/>
            <w:shd w:fill="0B2545"/>
            <w:tcMar>
              <w:top w:w="120" w:type="dxa"/>
              <w:bottom w:w="120" w:type="dxa"/>
              <w:left w:w="130" w:type="dxa"/>
              <w:right w:w="130" w:type="dxa"/>
            </w:tcMar>
          </w:tcPr>
          <w:p>
            <w:pPr>
              <w:spacing w:before="0" w:after="0"/>
              <w:jc w:val="left"/>
            </w:pPr>
            <w:r>
              <w:rPr>
                <w:rFonts w:ascii="Calibri" w:hAnsi="Calibri"/>
                <w:b/>
                <w:color w:val="FFFFFF"/>
                <w:sz w:val="18"/>
              </w:rPr>
              <w:t>Emergency Authority</w:t>
            </w:r>
          </w:p>
        </w:tc>
      </w:tr>
      <w:tr>
        <w:tc>
          <w:tcPr>
            <w:tcW w:type="dxa" w:w="2160"/>
            <w:shd w:fill="FFFFFF"/>
            <w:tcMar>
              <w:top w:w="95" w:type="dxa"/>
              <w:bottom w:w="95" w:type="dxa"/>
              <w:left w:w="130" w:type="dxa"/>
              <w:right w:w="130" w:type="dxa"/>
            </w:tcMar>
          </w:tcPr>
          <w:p>
            <w:pPr>
              <w:spacing w:before="0" w:after="0"/>
            </w:pPr>
            <w:r>
              <w:rPr>
                <w:rFonts w:ascii="Calibri" w:hAnsi="Calibri"/>
                <w:color w:val="2D3237"/>
                <w:sz w:val="17"/>
              </w:rPr>
              <w:t>Governance Body / Role</w:t>
            </w:r>
          </w:p>
        </w:tc>
        <w:tc>
          <w:tcPr>
            <w:tcW w:type="dxa" w:w="3312"/>
            <w:shd w:fill="FFFFFF"/>
            <w:tcMar>
              <w:top w:w="95" w:type="dxa"/>
              <w:bottom w:w="95" w:type="dxa"/>
              <w:left w:w="130" w:type="dxa"/>
              <w:right w:w="130" w:type="dxa"/>
            </w:tcMar>
          </w:tcPr>
          <w:p>
            <w:pPr>
              <w:spacing w:before="0" w:after="0"/>
            </w:pPr>
            <w:r>
              <w:rPr>
                <w:rFonts w:ascii="Calibri" w:hAnsi="Calibri"/>
                <w:color w:val="2D3237"/>
                <w:sz w:val="17"/>
              </w:rPr>
              <w:t>Primary Security Mandate</w:t>
            </w:r>
          </w:p>
        </w:tc>
        <w:tc>
          <w:tcPr>
            <w:tcW w:type="dxa" w:w="1872"/>
            <w:shd w:fill="FFFFFF"/>
            <w:tcMar>
              <w:top w:w="95" w:type="dxa"/>
              <w:bottom w:w="95" w:type="dxa"/>
              <w:left w:w="130" w:type="dxa"/>
              <w:right w:w="130" w:type="dxa"/>
            </w:tcMar>
          </w:tcPr>
          <w:p>
            <w:pPr>
              <w:spacing w:before="0" w:after="0"/>
            </w:pPr>
            <w:r>
              <w:rPr>
                <w:rFonts w:ascii="Calibri" w:hAnsi="Calibri"/>
                <w:color w:val="2D3237"/>
                <w:sz w:val="17"/>
              </w:rPr>
              <w:t>Reporting Line &amp; Authority</w:t>
            </w:r>
          </w:p>
        </w:tc>
        <w:tc>
          <w:tcPr>
            <w:tcW w:type="dxa" w:w="1685"/>
            <w:shd w:fill="FFFFFF"/>
            <w:tcMar>
              <w:top w:w="95" w:type="dxa"/>
              <w:bottom w:w="95" w:type="dxa"/>
              <w:left w:w="130" w:type="dxa"/>
              <w:right w:w="130" w:type="dxa"/>
            </w:tcMar>
          </w:tcPr>
          <w:p>
            <w:pPr>
              <w:spacing w:before="0" w:after="0"/>
            </w:pPr>
            <w:r>
              <w:rPr>
                <w:rFonts w:ascii="Calibri" w:hAnsi="Calibri"/>
                <w:color w:val="2D3237"/>
                <w:sz w:val="17"/>
              </w:rPr>
              <w:t>Emergency Powers</w:t>
            </w:r>
          </w:p>
        </w:tc>
      </w:tr>
      <w:tr>
        <w:tc>
          <w:tcPr>
            <w:tcW w:type="dxa" w:w="2160"/>
            <w:shd w:fill="F7F9FB"/>
            <w:tcMar>
              <w:top w:w="95" w:type="dxa"/>
              <w:bottom w:w="95" w:type="dxa"/>
              <w:left w:w="130" w:type="dxa"/>
              <w:right w:w="130" w:type="dxa"/>
            </w:tcMar>
          </w:tcPr>
          <w:p>
            <w:pPr>
              <w:spacing w:before="0" w:after="0"/>
            </w:pPr>
            <w:r>
              <w:rPr>
                <w:rFonts w:ascii="Calibri" w:hAnsi="Calibri"/>
                <w:color w:val="2D3237"/>
                <w:sz w:val="17"/>
              </w:rPr>
              <w:t>Board Risk Governance Council</w:t>
            </w:r>
          </w:p>
        </w:tc>
        <w:tc>
          <w:tcPr>
            <w:tcW w:type="dxa" w:w="3312"/>
            <w:shd w:fill="F7F9FB"/>
            <w:tcMar>
              <w:top w:w="95" w:type="dxa"/>
              <w:bottom w:w="95" w:type="dxa"/>
              <w:left w:w="130" w:type="dxa"/>
              <w:right w:w="130" w:type="dxa"/>
            </w:tcMar>
          </w:tcPr>
          <w:p>
            <w:pPr>
              <w:spacing w:before="0" w:after="0"/>
            </w:pPr>
            <w:r>
              <w:rPr>
                <w:rFonts w:ascii="Calibri" w:hAnsi="Calibri"/>
                <w:color w:val="2D3237"/>
                <w:sz w:val="17"/>
              </w:rPr>
              <w:t>Fiduciary oversight of enterprise cyber risk, approval of cyber risk tolerance thresholds.</w:t>
            </w:r>
          </w:p>
        </w:tc>
        <w:tc>
          <w:tcPr>
            <w:tcW w:type="dxa" w:w="1872"/>
            <w:shd w:fill="F7F9FB"/>
            <w:tcMar>
              <w:top w:w="95" w:type="dxa"/>
              <w:bottom w:w="95" w:type="dxa"/>
              <w:left w:w="130" w:type="dxa"/>
              <w:right w:w="130" w:type="dxa"/>
            </w:tcMar>
          </w:tcPr>
          <w:p>
            <w:pPr>
              <w:spacing w:before="0" w:after="0"/>
            </w:pPr>
            <w:r>
              <w:rPr>
                <w:rFonts w:ascii="Calibri" w:hAnsi="Calibri"/>
                <w:color w:val="2D3237"/>
                <w:sz w:val="17"/>
              </w:rPr>
              <w:t>Board of Directors</w:t>
            </w:r>
          </w:p>
        </w:tc>
        <w:tc>
          <w:tcPr>
            <w:tcW w:type="dxa" w:w="1685"/>
            <w:shd w:fill="F7F9FB"/>
            <w:tcMar>
              <w:top w:w="95" w:type="dxa"/>
              <w:bottom w:w="95" w:type="dxa"/>
              <w:left w:w="130" w:type="dxa"/>
              <w:right w:w="130" w:type="dxa"/>
            </w:tcMar>
          </w:tcPr>
          <w:p>
            <w:pPr>
              <w:spacing w:before="0" w:after="0"/>
            </w:pPr>
            <w:r>
              <w:rPr>
                <w:rFonts w:ascii="Calibri" w:hAnsi="Calibri"/>
                <w:color w:val="2D3237"/>
                <w:sz w:val="17"/>
              </w:rPr>
              <w:t>Approves catastrophic cyber loss recovery budgets and major regulatory notifications.</w:t>
            </w:r>
          </w:p>
        </w:tc>
      </w:tr>
      <w:tr>
        <w:tc>
          <w:tcPr>
            <w:tcW w:type="dxa" w:w="2160"/>
            <w:shd w:fill="FFFFFF"/>
            <w:tcMar>
              <w:top w:w="95" w:type="dxa"/>
              <w:bottom w:w="95" w:type="dxa"/>
              <w:left w:w="130" w:type="dxa"/>
              <w:right w:w="130" w:type="dxa"/>
            </w:tcMar>
          </w:tcPr>
          <w:p>
            <w:pPr>
              <w:spacing w:before="0" w:after="0"/>
            </w:pPr>
            <w:r>
              <w:rPr>
                <w:rFonts w:ascii="Calibri" w:hAnsi="Calibri"/>
                <w:color w:val="2D3237"/>
                <w:sz w:val="17"/>
              </w:rPr>
              <w:t>Group CISO &amp; Cybersecurity Council</w:t>
            </w:r>
          </w:p>
        </w:tc>
        <w:tc>
          <w:tcPr>
            <w:tcW w:type="dxa" w:w="3312"/>
            <w:shd w:fill="FFFFFF"/>
            <w:tcMar>
              <w:top w:w="95" w:type="dxa"/>
              <w:bottom w:w="95" w:type="dxa"/>
              <w:left w:w="130" w:type="dxa"/>
              <w:right w:w="130" w:type="dxa"/>
            </w:tcMar>
          </w:tcPr>
          <w:p>
            <w:pPr>
              <w:spacing w:before="0" w:after="0"/>
            </w:pPr>
            <w:r>
              <w:rPr>
                <w:rFonts w:ascii="Calibri" w:hAnsi="Calibri"/>
                <w:color w:val="2D3237"/>
                <w:sz w:val="17"/>
              </w:rPr>
              <w:t>Universal cybersecurity architecture design, policy promulgation, zero-trust enforcement, and group-wide SOC oversight.</w:t>
            </w:r>
          </w:p>
        </w:tc>
        <w:tc>
          <w:tcPr>
            <w:tcW w:type="dxa" w:w="1872"/>
            <w:shd w:fill="FFFFFF"/>
            <w:tcMar>
              <w:top w:w="95" w:type="dxa"/>
              <w:bottom w:w="95" w:type="dxa"/>
              <w:left w:w="130" w:type="dxa"/>
              <w:right w:w="130" w:type="dxa"/>
            </w:tcMar>
          </w:tcPr>
          <w:p>
            <w:pPr>
              <w:spacing w:before="0" w:after="0"/>
            </w:pPr>
            <w:r>
              <w:rPr>
                <w:rFonts w:ascii="Calibri" w:hAnsi="Calibri"/>
                <w:color w:val="2D3237"/>
                <w:sz w:val="17"/>
              </w:rPr>
              <w:t>Group Executive Committee / Group CEO</w:t>
            </w:r>
          </w:p>
        </w:tc>
        <w:tc>
          <w:tcPr>
            <w:tcW w:type="dxa" w:w="1685"/>
            <w:shd w:fill="FFFFFF"/>
            <w:tcMar>
              <w:top w:w="95" w:type="dxa"/>
              <w:bottom w:w="95" w:type="dxa"/>
              <w:left w:w="130" w:type="dxa"/>
              <w:right w:w="130" w:type="dxa"/>
            </w:tcMar>
          </w:tcPr>
          <w:p>
            <w:pPr>
              <w:spacing w:before="0" w:after="0"/>
            </w:pPr>
            <w:r>
              <w:rPr>
                <w:rFonts w:ascii="Calibri" w:hAnsi="Calibri"/>
                <w:color w:val="2D3237"/>
                <w:sz w:val="17"/>
              </w:rPr>
              <w:t>Unilateral authority to isolate compromised OpCo subnets or shutdown affected infrastructure.</w:t>
            </w:r>
          </w:p>
        </w:tc>
      </w:tr>
      <w:tr>
        <w:tc>
          <w:tcPr>
            <w:tcW w:type="dxa" w:w="2160"/>
            <w:shd w:fill="F7F9FB"/>
            <w:tcMar>
              <w:top w:w="95" w:type="dxa"/>
              <w:bottom w:w="95" w:type="dxa"/>
              <w:left w:w="130" w:type="dxa"/>
              <w:right w:w="130" w:type="dxa"/>
            </w:tcMar>
          </w:tcPr>
          <w:p>
            <w:pPr>
              <w:spacing w:before="0" w:after="0"/>
            </w:pPr>
            <w:r>
              <w:rPr>
                <w:rFonts w:ascii="Calibri" w:hAnsi="Calibri"/>
                <w:color w:val="2D3237"/>
                <w:sz w:val="17"/>
              </w:rPr>
              <w:t>OpCo Chief Information Security Officers</w:t>
            </w:r>
          </w:p>
        </w:tc>
        <w:tc>
          <w:tcPr>
            <w:tcW w:type="dxa" w:w="3312"/>
            <w:shd w:fill="F7F9FB"/>
            <w:tcMar>
              <w:top w:w="95" w:type="dxa"/>
              <w:bottom w:w="95" w:type="dxa"/>
              <w:left w:w="130" w:type="dxa"/>
              <w:right w:w="130" w:type="dxa"/>
            </w:tcMar>
          </w:tcPr>
          <w:p>
            <w:pPr>
              <w:spacing w:before="0" w:after="0"/>
            </w:pPr>
            <w:r>
              <w:rPr>
                <w:rFonts w:ascii="Calibri" w:hAnsi="Calibri"/>
                <w:color w:val="2D3237"/>
                <w:sz w:val="17"/>
              </w:rPr>
              <w:t>Operational execution of G42-POL-SEC-002 within designated OpCo environments, local incident management.</w:t>
            </w:r>
          </w:p>
        </w:tc>
        <w:tc>
          <w:tcPr>
            <w:tcW w:type="dxa" w:w="1872"/>
            <w:shd w:fill="F7F9FB"/>
            <w:tcMar>
              <w:top w:w="95" w:type="dxa"/>
              <w:bottom w:w="95" w:type="dxa"/>
              <w:left w:w="130" w:type="dxa"/>
              <w:right w:w="130" w:type="dxa"/>
            </w:tcMar>
          </w:tcPr>
          <w:p>
            <w:pPr>
              <w:spacing w:before="0" w:after="0"/>
            </w:pPr>
            <w:r>
              <w:rPr>
                <w:rFonts w:ascii="Calibri" w:hAnsi="Calibri"/>
                <w:color w:val="2D3237"/>
                <w:sz w:val="17"/>
              </w:rPr>
              <w:t>Group CISO &amp; OpCo CEO</w:t>
            </w:r>
          </w:p>
        </w:tc>
        <w:tc>
          <w:tcPr>
            <w:tcW w:type="dxa" w:w="1685"/>
            <w:shd w:fill="F7F9FB"/>
            <w:tcMar>
              <w:top w:w="95" w:type="dxa"/>
              <w:bottom w:w="95" w:type="dxa"/>
              <w:left w:w="130" w:type="dxa"/>
              <w:right w:w="130" w:type="dxa"/>
            </w:tcMar>
          </w:tcPr>
          <w:p>
            <w:pPr>
              <w:spacing w:before="0" w:after="0"/>
            </w:pPr>
            <w:r>
              <w:rPr>
                <w:rFonts w:ascii="Calibri" w:hAnsi="Calibri"/>
                <w:color w:val="2D3237"/>
                <w:sz w:val="17"/>
              </w:rPr>
              <w:t>Authority to quarantine compromised OpCo endpoints and halt unverified software releases.</w:t>
            </w:r>
          </w:p>
        </w:tc>
      </w:tr>
      <w:tr>
        <w:tc>
          <w:tcPr>
            <w:tcW w:type="dxa" w:w="2160"/>
            <w:shd w:fill="FFFFFF"/>
            <w:tcMar>
              <w:top w:w="95" w:type="dxa"/>
              <w:bottom w:w="95" w:type="dxa"/>
              <w:left w:w="130" w:type="dxa"/>
              <w:right w:w="130" w:type="dxa"/>
            </w:tcMar>
          </w:tcPr>
          <w:p>
            <w:pPr>
              <w:spacing w:before="0" w:after="0"/>
            </w:pPr>
            <w:r>
              <w:rPr>
                <w:rFonts w:ascii="Calibri" w:hAnsi="Calibri"/>
                <w:color w:val="2D3237"/>
                <w:sz w:val="17"/>
              </w:rPr>
              <w:t>Cyber Security Operations Center (CSOC)</w:t>
            </w:r>
          </w:p>
        </w:tc>
        <w:tc>
          <w:tcPr>
            <w:tcW w:type="dxa" w:w="3312"/>
            <w:shd w:fill="FFFFFF"/>
            <w:tcMar>
              <w:top w:w="95" w:type="dxa"/>
              <w:bottom w:w="95" w:type="dxa"/>
              <w:left w:w="130" w:type="dxa"/>
              <w:right w:w="130" w:type="dxa"/>
            </w:tcMar>
          </w:tcPr>
          <w:p>
            <w:pPr>
              <w:spacing w:before="0" w:after="0"/>
            </w:pPr>
            <w:r>
              <w:rPr>
                <w:rFonts w:ascii="Calibri" w:hAnsi="Calibri"/>
                <w:color w:val="2D3237"/>
                <w:sz w:val="17"/>
              </w:rPr>
              <w:t>24/7/365 continuous threat hunting, security event correlation, automated SOAR containment, forensic response.</w:t>
            </w:r>
          </w:p>
        </w:tc>
        <w:tc>
          <w:tcPr>
            <w:tcW w:type="dxa" w:w="1872"/>
            <w:shd w:fill="FFFFFF"/>
            <w:tcMar>
              <w:top w:w="95" w:type="dxa"/>
              <w:bottom w:w="95" w:type="dxa"/>
              <w:left w:w="130" w:type="dxa"/>
              <w:right w:w="130" w:type="dxa"/>
            </w:tcMar>
          </w:tcPr>
          <w:p>
            <w:pPr>
              <w:spacing w:before="0" w:after="0"/>
            </w:pPr>
            <w:r>
              <w:rPr>
                <w:rFonts w:ascii="Calibri" w:hAnsi="Calibri"/>
                <w:color w:val="2D3237"/>
                <w:sz w:val="17"/>
              </w:rPr>
              <w:t>Group CISO</w:t>
            </w:r>
          </w:p>
        </w:tc>
        <w:tc>
          <w:tcPr>
            <w:tcW w:type="dxa" w:w="1685"/>
            <w:shd w:fill="FFFFFF"/>
            <w:tcMar>
              <w:top w:w="95" w:type="dxa"/>
              <w:bottom w:w="95" w:type="dxa"/>
              <w:left w:w="130" w:type="dxa"/>
              <w:right w:w="130" w:type="dxa"/>
            </w:tcMar>
          </w:tcPr>
          <w:p>
            <w:pPr>
              <w:spacing w:before="0" w:after="0"/>
            </w:pPr>
            <w:r>
              <w:rPr>
                <w:rFonts w:ascii="Calibri" w:hAnsi="Calibri"/>
                <w:color w:val="2D3237"/>
                <w:sz w:val="17"/>
              </w:rPr>
              <w:t>Authorized to execute immediate emergency containment playbooks without prior approval.</w:t>
            </w:r>
          </w:p>
        </w:tc>
      </w:tr>
    </w:tbl>
    <w:p>
      <w:pPr>
        <w:spacing w:before="0" w:after="80"/>
      </w:pPr>
    </w:p>
    <w:p>
      <w:r>
        <w:br w:type="page"/>
      </w:r>
    </w:p>
    <w:p>
      <w:pPr>
        <w:keepNext/>
        <w:spacing w:before="400" w:after="120"/>
      </w:pPr>
      <w:r>
        <w:rPr>
          <w:rFonts w:ascii="Calibri" w:hAnsi="Calibri"/>
          <w:b/>
          <w:color w:val="0B2545"/>
          <w:sz w:val="30"/>
        </w:rPr>
        <w:t>SECTION 3: ZERO TRUST ARCHITECTURE (ZTA) &amp; CORE TENETS</w:t>
      </w:r>
    </w:p>
    <w:p>
      <w:pPr>
        <w:keepNext/>
        <w:spacing w:before="280" w:after="80"/>
      </w:pPr>
      <w:r>
        <w:rPr>
          <w:rFonts w:ascii="Calibri" w:hAnsi="Calibri"/>
          <w:b/>
          <w:color w:val="136F63"/>
          <w:sz w:val="24"/>
        </w:rPr>
        <w:t>3.1 NIST SP 800-207 Zero Trust Architecture Alignment</w:t>
      </w:r>
    </w:p>
    <w:p>
      <w:pPr>
        <w:spacing w:before="0" w:after="120" w:line="276" w:lineRule="auto"/>
      </w:pPr>
      <w:r>
        <w:rPr>
          <w:rFonts w:ascii="Calibri" w:hAnsi="Calibri"/>
          <w:color w:val="2D3237"/>
          <w:sz w:val="20"/>
        </w:rPr>
        <w:t>Clause 3.1.1 — G42 formally adopts the United States National Institute of Standards and Technology (NIST) Special Publication 800-207 Zero Trust Architecture as the binding structural standard for all enterprise networks, identity systems, and compute environments. All legacy network architectures relying on implicit trust zones, flat subnets, or perimeter firewalls are deprecated.</w:t>
      </w:r>
    </w:p>
    <w:p>
      <w:pPr>
        <w:spacing w:before="0" w:after="120" w:line="276" w:lineRule="auto"/>
      </w:pPr>
      <w:r>
        <w:rPr>
          <w:rFonts w:ascii="Calibri" w:hAnsi="Calibri"/>
          <w:color w:val="2D3237"/>
          <w:sz w:val="20"/>
        </w:rPr>
        <w:t>Clause 3.1.2 — Under ZTA, all resource access is treated as an untrusted transaction originating from an open, hostile network. Every access request must be evaluated by the centralized G42 Policy Decision Point (PDP) and enforced by distributed Policy Enforcement Points (PEP) located at the network, application, database, and API layers.</w:t>
      </w:r>
    </w:p>
    <w:p>
      <w:pPr>
        <w:keepNext/>
        <w:spacing w:before="280" w:after="80"/>
      </w:pPr>
      <w:r>
        <w:rPr>
          <w:rFonts w:ascii="Calibri" w:hAnsi="Calibri"/>
          <w:b/>
          <w:color w:val="136F63"/>
          <w:sz w:val="24"/>
        </w:rPr>
        <w:t>3.2 The Seven Core Tenets of Enterprise Zero Trust</w:t>
      </w:r>
    </w:p>
    <w:p>
      <w:pPr>
        <w:spacing w:before="0" w:after="120" w:line="276" w:lineRule="auto"/>
      </w:pPr>
      <w:r>
        <w:rPr>
          <w:rFonts w:ascii="Calibri" w:hAnsi="Calibri"/>
          <w:color w:val="2D3237"/>
          <w:sz w:val="20"/>
        </w:rPr>
        <w:t>Clause 3.2.1 — All IT and engineering systems deployed within G42 must strictly satisfy the Seven Core Tenets of Zero Trust:</w:t>
      </w:r>
    </w:p>
    <w:p>
      <w:pPr>
        <w:pStyle w:val="ListBullet"/>
        <w:spacing w:before="0" w:after="60" w:line="276" w:lineRule="auto"/>
      </w:pPr>
      <w:r>
        <w:rPr>
          <w:rFonts w:ascii="Calibri" w:hAnsi="Calibri"/>
          <w:b/>
          <w:color w:val="2D3237"/>
          <w:sz w:val="20"/>
        </w:rPr>
        <w:t xml:space="preserve">Tenet 1: All Data Sources &amp; Compute Services Are Resources: </w:t>
      </w:r>
      <w:r>
        <w:rPr>
          <w:rFonts w:ascii="Calibri" w:hAnsi="Calibri"/>
          <w:color w:val="2D3237"/>
          <w:sz w:val="20"/>
        </w:rPr>
        <w:t>All data sources, computational nodes, APIs, storage buckets, and IoT sensors are classified as distinct enterprise resources requiring explicit authorization.</w:t>
      </w:r>
    </w:p>
    <w:p>
      <w:pPr>
        <w:pStyle w:val="ListBullet"/>
        <w:spacing w:before="0" w:after="60" w:line="276" w:lineRule="auto"/>
      </w:pPr>
      <w:r>
        <w:rPr>
          <w:rFonts w:ascii="Calibri" w:hAnsi="Calibri"/>
          <w:b/>
          <w:color w:val="2D3237"/>
          <w:sz w:val="20"/>
        </w:rPr>
        <w:t xml:space="preserve">Tenet 2: All Communication Is Secured Regardless of Network Location: </w:t>
      </w:r>
      <w:r>
        <w:rPr>
          <w:rFonts w:ascii="Calibri" w:hAnsi="Calibri"/>
          <w:color w:val="2D3237"/>
          <w:sz w:val="20"/>
        </w:rPr>
        <w:t>All communication—whether across public internet links, internal data center fabrics, or intra-cluster Kubernetes pods—must be encrypted and authenticated using TLS 1.3 or mTLS.</w:t>
      </w:r>
    </w:p>
    <w:p>
      <w:pPr>
        <w:pStyle w:val="ListBullet"/>
        <w:spacing w:before="0" w:after="60" w:line="276" w:lineRule="auto"/>
      </w:pPr>
      <w:r>
        <w:rPr>
          <w:rFonts w:ascii="Calibri" w:hAnsi="Calibri"/>
          <w:b/>
          <w:color w:val="2D3237"/>
          <w:sz w:val="20"/>
        </w:rPr>
        <w:t xml:space="preserve">Tenet 3: Access to Individual Resources Is Granted on a Per-Session Basis: </w:t>
      </w:r>
      <w:r>
        <w:rPr>
          <w:rFonts w:ascii="Calibri" w:hAnsi="Calibri"/>
          <w:color w:val="2D3237"/>
          <w:sz w:val="20"/>
        </w:rPr>
        <w:t>Access to individual enterprise resources is granted on a per-session basis; authentication to one application confers zero implicit access to other applications or databases.</w:t>
      </w:r>
    </w:p>
    <w:p>
      <w:pPr>
        <w:pStyle w:val="ListBullet"/>
        <w:spacing w:before="0" w:after="60" w:line="276" w:lineRule="auto"/>
      </w:pPr>
      <w:r>
        <w:rPr>
          <w:rFonts w:ascii="Calibri" w:hAnsi="Calibri"/>
          <w:b/>
          <w:color w:val="2D3237"/>
          <w:sz w:val="20"/>
        </w:rPr>
        <w:t xml:space="preserve">Tenet 4: Access Is Determined by Dynamic Policy &amp; Continuous Posture Evaluation: </w:t>
      </w:r>
      <w:r>
        <w:rPr>
          <w:rFonts w:ascii="Calibri" w:hAnsi="Calibri"/>
          <w:color w:val="2D3237"/>
          <w:sz w:val="20"/>
        </w:rPr>
        <w:t>Access decisions are determined dynamically based on client identity, hardware security posture, geographic location, behavioral anomaly scoring, and resource sensitivity.</w:t>
      </w:r>
    </w:p>
    <w:p>
      <w:pPr>
        <w:pStyle w:val="ListBullet"/>
        <w:spacing w:before="0" w:after="60" w:line="276" w:lineRule="auto"/>
      </w:pPr>
      <w:r>
        <w:rPr>
          <w:rFonts w:ascii="Calibri" w:hAnsi="Calibri"/>
          <w:b/>
          <w:color w:val="2D3237"/>
          <w:sz w:val="20"/>
        </w:rPr>
        <w:t xml:space="preserve">Tenet 5: The Enterprise Monitors &amp; Measures the Integrity of All Owned &amp; Associated Assets: </w:t>
      </w:r>
      <w:r>
        <w:rPr>
          <w:rFonts w:ascii="Calibri" w:hAnsi="Calibri"/>
          <w:color w:val="2D3237"/>
          <w:sz w:val="20"/>
        </w:rPr>
        <w:t>All endpoints and assets accessing corporate resources must be monitored continuously for compliance, patched against vulnerabilities, and enrolled in enterprise MDM/EDR.</w:t>
      </w:r>
    </w:p>
    <w:p>
      <w:pPr>
        <w:pStyle w:val="ListBullet"/>
        <w:spacing w:before="0" w:after="60" w:line="276" w:lineRule="auto"/>
      </w:pPr>
      <w:r>
        <w:rPr>
          <w:rFonts w:ascii="Calibri" w:hAnsi="Calibri"/>
          <w:b/>
          <w:color w:val="2D3237"/>
          <w:sz w:val="20"/>
        </w:rPr>
        <w:t xml:space="preserve">Tenet 6: All Resource Authentication &amp; Authorization Are Dynamic &amp; Strictly Enforced: </w:t>
      </w:r>
      <w:r>
        <w:rPr>
          <w:rFonts w:ascii="Calibri" w:hAnsi="Calibri"/>
          <w:color w:val="2D3237"/>
          <w:sz w:val="20"/>
        </w:rPr>
        <w:t>Resource authentication and authorization are dynamic and strictly enforced before access is allowed, with continuous re-authentication triggered by posture changes.</w:t>
      </w:r>
    </w:p>
    <w:p>
      <w:pPr>
        <w:pStyle w:val="ListBullet"/>
        <w:spacing w:before="0" w:after="60" w:line="276" w:lineRule="auto"/>
      </w:pPr>
      <w:r>
        <w:rPr>
          <w:rFonts w:ascii="Calibri" w:hAnsi="Calibri"/>
          <w:b/>
          <w:color w:val="2D3237"/>
          <w:sz w:val="20"/>
        </w:rPr>
        <w:t xml:space="preserve">Tenet 7: The Enterprise Collects Comprehensive State Data for Continuous Posture Improvement: </w:t>
      </w:r>
      <w:r>
        <w:rPr>
          <w:rFonts w:ascii="Calibri" w:hAnsi="Calibri"/>
          <w:color w:val="2D3237"/>
          <w:sz w:val="20"/>
        </w:rPr>
        <w:t>The enterprise collects comprehensive telemetry regarding network infrastructure, application transactions, and identity authentication to continuously improve security posture.</w:t>
      </w:r>
    </w:p>
    <w:p>
      <w:pPr>
        <w:keepNext/>
        <w:spacing w:before="200" w:after="40"/>
      </w:pPr>
      <w:r>
        <w:rPr>
          <w:rFonts w:ascii="Calibri" w:hAnsi="Calibri"/>
          <w:b/>
          <w:color w:val="0B2545"/>
          <w:sz w:val="21"/>
        </w:rPr>
        <w:t>3.3 Zero Trust Architecture Control Matrix</w:t>
      </w:r>
    </w:p>
    <w:p>
      <w:pPr>
        <w:spacing w:before="0" w:after="120" w:line="276" w:lineRule="auto"/>
      </w:pPr>
      <w:r>
        <w:rPr>
          <w:rFonts w:ascii="Calibri" w:hAnsi="Calibri"/>
          <w:color w:val="2D3237"/>
          <w:sz w:val="20"/>
        </w:rPr>
        <w:t>Clause 3.3.1 — The interaction between Zero Trust components across the enterprise is formalized in the following structural matrix:</w:t>
      </w:r>
    </w:p>
    <w:tbl>
      <w:tblPr>
        <w:tblW w:type="auto" w:w="0"/>
        <w:jc w:val="center"/>
        <w:tblLayout w:type="fixed"/>
        <w:tblLook w:firstColumn="1" w:firstRow="1" w:lastColumn="0" w:lastRow="0" w:noHBand="0" w:noVBand="1" w:val="04A0"/>
      </w:tblPr>
      <w:tblGrid>
        <w:gridCol w:w="2016"/>
        <w:gridCol w:w="3168"/>
        <w:gridCol w:w="2160"/>
        <w:gridCol w:w="1685"/>
      </w:tblGrid>
      <w:tr>
        <w:tc>
          <w:tcPr>
            <w:tcW w:type="dxa" w:w="2016"/>
            <w:shd w:fill="0B2545"/>
            <w:tcMar>
              <w:top w:w="120" w:type="dxa"/>
              <w:bottom w:w="120" w:type="dxa"/>
              <w:left w:w="130" w:type="dxa"/>
              <w:right w:w="130" w:type="dxa"/>
            </w:tcMar>
          </w:tcPr>
          <w:p>
            <w:pPr>
              <w:spacing w:before="0" w:after="0"/>
              <w:jc w:val="left"/>
            </w:pPr>
            <w:r>
              <w:rPr>
                <w:rFonts w:ascii="Calibri" w:hAnsi="Calibri"/>
                <w:b/>
                <w:color w:val="FFFFFF"/>
                <w:sz w:val="18"/>
              </w:rPr>
              <w:t>ZTA Component</w:t>
            </w:r>
          </w:p>
        </w:tc>
        <w:tc>
          <w:tcPr>
            <w:tcW w:type="dxa" w:w="3168"/>
            <w:shd w:fill="0B2545"/>
            <w:tcMar>
              <w:top w:w="120" w:type="dxa"/>
              <w:bottom w:w="120" w:type="dxa"/>
              <w:left w:w="130" w:type="dxa"/>
              <w:right w:w="130" w:type="dxa"/>
            </w:tcMar>
          </w:tcPr>
          <w:p>
            <w:pPr>
              <w:spacing w:before="0" w:after="0"/>
              <w:jc w:val="left"/>
            </w:pPr>
            <w:r>
              <w:rPr>
                <w:rFonts w:ascii="Calibri" w:hAnsi="Calibri"/>
                <w:b/>
                <w:color w:val="FFFFFF"/>
                <w:sz w:val="18"/>
              </w:rPr>
              <w:t>Technical Implementation</w:t>
            </w:r>
          </w:p>
        </w:tc>
        <w:tc>
          <w:tcPr>
            <w:tcW w:type="dxa" w:w="2160"/>
            <w:shd w:fill="0B2545"/>
            <w:tcMar>
              <w:top w:w="120" w:type="dxa"/>
              <w:bottom w:w="120" w:type="dxa"/>
              <w:left w:w="130" w:type="dxa"/>
              <w:right w:w="130" w:type="dxa"/>
            </w:tcMar>
          </w:tcPr>
          <w:p>
            <w:pPr>
              <w:spacing w:before="0" w:after="0"/>
              <w:jc w:val="left"/>
            </w:pPr>
            <w:r>
              <w:rPr>
                <w:rFonts w:ascii="Calibri" w:hAnsi="Calibri"/>
                <w:b/>
                <w:color w:val="FFFFFF"/>
                <w:sz w:val="18"/>
              </w:rPr>
              <w:t>Primary Owner</w:t>
            </w:r>
          </w:p>
        </w:tc>
        <w:tc>
          <w:tcPr>
            <w:tcW w:type="dxa" w:w="1685"/>
            <w:shd w:fill="0B2545"/>
            <w:tcMar>
              <w:top w:w="120" w:type="dxa"/>
              <w:bottom w:w="120" w:type="dxa"/>
              <w:left w:w="130" w:type="dxa"/>
              <w:right w:w="130" w:type="dxa"/>
            </w:tcMar>
          </w:tcPr>
          <w:p>
            <w:pPr>
              <w:spacing w:before="0" w:after="0"/>
              <w:jc w:val="left"/>
            </w:pPr>
            <w:r>
              <w:rPr>
                <w:rFonts w:ascii="Calibri" w:hAnsi="Calibri"/>
                <w:b/>
                <w:color w:val="FFFFFF"/>
                <w:sz w:val="18"/>
              </w:rPr>
              <w:t>Default Failure Mode</w:t>
            </w:r>
          </w:p>
        </w:tc>
      </w:tr>
      <w:tr>
        <w:tc>
          <w:tcPr>
            <w:tcW w:type="dxa" w:w="2016"/>
            <w:shd w:fill="FFFFFF"/>
            <w:tcMar>
              <w:top w:w="95" w:type="dxa"/>
              <w:bottom w:w="95" w:type="dxa"/>
              <w:left w:w="130" w:type="dxa"/>
              <w:right w:w="130" w:type="dxa"/>
            </w:tcMar>
          </w:tcPr>
          <w:p>
            <w:pPr>
              <w:spacing w:before="0" w:after="0"/>
            </w:pPr>
            <w:r>
              <w:rPr>
                <w:rFonts w:ascii="Calibri" w:hAnsi="Calibri"/>
                <w:color w:val="2D3237"/>
                <w:sz w:val="17"/>
              </w:rPr>
              <w:t>ZTA Logical Component</w:t>
            </w:r>
          </w:p>
        </w:tc>
        <w:tc>
          <w:tcPr>
            <w:tcW w:type="dxa" w:w="3168"/>
            <w:shd w:fill="FFFFFF"/>
            <w:tcMar>
              <w:top w:w="95" w:type="dxa"/>
              <w:bottom w:w="95" w:type="dxa"/>
              <w:left w:w="130" w:type="dxa"/>
              <w:right w:w="130" w:type="dxa"/>
            </w:tcMar>
          </w:tcPr>
          <w:p>
            <w:pPr>
              <w:spacing w:before="0" w:after="0"/>
            </w:pPr>
            <w:r>
              <w:rPr>
                <w:rFonts w:ascii="Calibri" w:hAnsi="Calibri"/>
                <w:color w:val="2D3237"/>
                <w:sz w:val="17"/>
              </w:rPr>
              <w:t>Technical Implementation in G42 Infrastructure</w:t>
            </w:r>
          </w:p>
        </w:tc>
        <w:tc>
          <w:tcPr>
            <w:tcW w:type="dxa" w:w="2160"/>
            <w:shd w:fill="FFFFFF"/>
            <w:tcMar>
              <w:top w:w="95" w:type="dxa"/>
              <w:bottom w:w="95" w:type="dxa"/>
              <w:left w:w="130" w:type="dxa"/>
              <w:right w:w="130" w:type="dxa"/>
            </w:tcMar>
          </w:tcPr>
          <w:p>
            <w:pPr>
              <w:spacing w:before="0" w:after="0"/>
            </w:pPr>
            <w:r>
              <w:rPr>
                <w:rFonts w:ascii="Calibri" w:hAnsi="Calibri"/>
                <w:color w:val="2D3237"/>
                <w:sz w:val="17"/>
              </w:rPr>
              <w:t>Enforcement Responsibility</w:t>
            </w:r>
          </w:p>
        </w:tc>
        <w:tc>
          <w:tcPr>
            <w:tcW w:type="dxa" w:w="1685"/>
            <w:shd w:fill="FFFFFF"/>
            <w:tcMar>
              <w:top w:w="95" w:type="dxa"/>
              <w:bottom w:w="95" w:type="dxa"/>
              <w:left w:w="130" w:type="dxa"/>
              <w:right w:w="130" w:type="dxa"/>
            </w:tcMar>
          </w:tcPr>
          <w:p>
            <w:pPr>
              <w:spacing w:before="0" w:after="0"/>
            </w:pPr>
            <w:r>
              <w:rPr>
                <w:rFonts w:ascii="Calibri" w:hAnsi="Calibri"/>
                <w:color w:val="2D3237"/>
                <w:sz w:val="17"/>
              </w:rPr>
              <w:t>Failure Mode Action</w:t>
            </w:r>
          </w:p>
        </w:tc>
      </w:tr>
      <w:tr>
        <w:tc>
          <w:tcPr>
            <w:tcW w:type="dxa" w:w="2016"/>
            <w:shd w:fill="F7F9FB"/>
            <w:tcMar>
              <w:top w:w="95" w:type="dxa"/>
              <w:bottom w:w="95" w:type="dxa"/>
              <w:left w:w="130" w:type="dxa"/>
              <w:right w:w="130" w:type="dxa"/>
            </w:tcMar>
          </w:tcPr>
          <w:p>
            <w:pPr>
              <w:spacing w:before="0" w:after="0"/>
            </w:pPr>
            <w:r>
              <w:rPr>
                <w:rFonts w:ascii="Calibri" w:hAnsi="Calibri"/>
                <w:color w:val="2D3237"/>
                <w:sz w:val="17"/>
              </w:rPr>
              <w:t>Policy Engine (PE)</w:t>
            </w:r>
          </w:p>
        </w:tc>
        <w:tc>
          <w:tcPr>
            <w:tcW w:type="dxa" w:w="3168"/>
            <w:shd w:fill="F7F9FB"/>
            <w:tcMar>
              <w:top w:w="95" w:type="dxa"/>
              <w:bottom w:w="95" w:type="dxa"/>
              <w:left w:w="130" w:type="dxa"/>
              <w:right w:w="130" w:type="dxa"/>
            </w:tcMar>
          </w:tcPr>
          <w:p>
            <w:pPr>
              <w:spacing w:before="0" w:after="0"/>
            </w:pPr>
            <w:r>
              <w:rPr>
                <w:rFonts w:ascii="Calibri" w:hAnsi="Calibri"/>
                <w:color w:val="2D3237"/>
                <w:sz w:val="17"/>
              </w:rPr>
              <w:t>Enterprise Risk Engine evaluating identity, device health, user context, and resource sensitivity in real time.</w:t>
            </w:r>
          </w:p>
        </w:tc>
        <w:tc>
          <w:tcPr>
            <w:tcW w:type="dxa" w:w="2160"/>
            <w:shd w:fill="F7F9FB"/>
            <w:tcMar>
              <w:top w:w="95" w:type="dxa"/>
              <w:bottom w:w="95" w:type="dxa"/>
              <w:left w:w="130" w:type="dxa"/>
              <w:right w:w="130" w:type="dxa"/>
            </w:tcMar>
          </w:tcPr>
          <w:p>
            <w:pPr>
              <w:spacing w:before="0" w:after="0"/>
            </w:pPr>
            <w:r>
              <w:rPr>
                <w:rFonts w:ascii="Calibri" w:hAnsi="Calibri"/>
                <w:color w:val="2D3237"/>
                <w:sz w:val="17"/>
              </w:rPr>
              <w:t>Group Identity Platform / Microsoft Entra ID Conditional Access.</w:t>
            </w:r>
          </w:p>
        </w:tc>
        <w:tc>
          <w:tcPr>
            <w:tcW w:type="dxa" w:w="1685"/>
            <w:shd w:fill="F7F9FB"/>
            <w:tcMar>
              <w:top w:w="95" w:type="dxa"/>
              <w:bottom w:w="95" w:type="dxa"/>
              <w:left w:w="130" w:type="dxa"/>
              <w:right w:w="130" w:type="dxa"/>
            </w:tcMar>
          </w:tcPr>
          <w:p>
            <w:pPr>
              <w:spacing w:before="0" w:after="0"/>
            </w:pPr>
            <w:r>
              <w:rPr>
                <w:rFonts w:ascii="Calibri" w:hAnsi="Calibri"/>
                <w:color w:val="2D3237"/>
                <w:sz w:val="17"/>
              </w:rPr>
              <w:t>Fail-Closed: Deny all access if risk score cannot be computed.</w:t>
            </w:r>
          </w:p>
        </w:tc>
      </w:tr>
      <w:tr>
        <w:tc>
          <w:tcPr>
            <w:tcW w:type="dxa" w:w="2016"/>
            <w:shd w:fill="FFFFFF"/>
            <w:tcMar>
              <w:top w:w="95" w:type="dxa"/>
              <w:bottom w:w="95" w:type="dxa"/>
              <w:left w:w="130" w:type="dxa"/>
              <w:right w:w="130" w:type="dxa"/>
            </w:tcMar>
          </w:tcPr>
          <w:p>
            <w:pPr>
              <w:spacing w:before="0" w:after="0"/>
            </w:pPr>
            <w:r>
              <w:rPr>
                <w:rFonts w:ascii="Calibri" w:hAnsi="Calibri"/>
                <w:color w:val="2D3237"/>
                <w:sz w:val="17"/>
              </w:rPr>
              <w:t>Policy Administrator (PA)</w:t>
            </w:r>
          </w:p>
        </w:tc>
        <w:tc>
          <w:tcPr>
            <w:tcW w:type="dxa" w:w="3168"/>
            <w:shd w:fill="FFFFFF"/>
            <w:tcMar>
              <w:top w:w="95" w:type="dxa"/>
              <w:bottom w:w="95" w:type="dxa"/>
              <w:left w:w="130" w:type="dxa"/>
              <w:right w:w="130" w:type="dxa"/>
            </w:tcMar>
          </w:tcPr>
          <w:p>
            <w:pPr>
              <w:spacing w:before="0" w:after="0"/>
            </w:pPr>
            <w:r>
              <w:rPr>
                <w:rFonts w:ascii="Calibri" w:hAnsi="Calibri"/>
                <w:color w:val="2D3237"/>
                <w:sz w:val="17"/>
              </w:rPr>
              <w:t>Automated control plane generating ephemeral session tokens, dynamic VPNless tunnels, and mTLS certificates.</w:t>
            </w:r>
          </w:p>
        </w:tc>
        <w:tc>
          <w:tcPr>
            <w:tcW w:type="dxa" w:w="2160"/>
            <w:shd w:fill="FFFFFF"/>
            <w:tcMar>
              <w:top w:w="95" w:type="dxa"/>
              <w:bottom w:w="95" w:type="dxa"/>
              <w:left w:w="130" w:type="dxa"/>
              <w:right w:w="130" w:type="dxa"/>
            </w:tcMar>
          </w:tcPr>
          <w:p>
            <w:pPr>
              <w:spacing w:before="0" w:after="0"/>
            </w:pPr>
            <w:r>
              <w:rPr>
                <w:rFonts w:ascii="Calibri" w:hAnsi="Calibri"/>
                <w:color w:val="2D3237"/>
                <w:sz w:val="17"/>
              </w:rPr>
              <w:t>HashiCorp Vault / Cloud Identity Gateways.</w:t>
            </w:r>
          </w:p>
        </w:tc>
        <w:tc>
          <w:tcPr>
            <w:tcW w:type="dxa" w:w="1685"/>
            <w:shd w:fill="FFFFFF"/>
            <w:tcMar>
              <w:top w:w="95" w:type="dxa"/>
              <w:bottom w:w="95" w:type="dxa"/>
              <w:left w:w="130" w:type="dxa"/>
              <w:right w:w="130" w:type="dxa"/>
            </w:tcMar>
          </w:tcPr>
          <w:p>
            <w:pPr>
              <w:spacing w:before="0" w:after="0"/>
            </w:pPr>
            <w:r>
              <w:rPr>
                <w:rFonts w:ascii="Calibri" w:hAnsi="Calibri"/>
                <w:color w:val="2D3237"/>
                <w:sz w:val="17"/>
              </w:rPr>
              <w:t>Revoke session tokens immediately upon posture degradation.</w:t>
            </w:r>
          </w:p>
        </w:tc>
      </w:tr>
      <w:tr>
        <w:tc>
          <w:tcPr>
            <w:tcW w:type="dxa" w:w="2016"/>
            <w:shd w:fill="F7F9FB"/>
            <w:tcMar>
              <w:top w:w="95" w:type="dxa"/>
              <w:bottom w:w="95" w:type="dxa"/>
              <w:left w:w="130" w:type="dxa"/>
              <w:right w:w="130" w:type="dxa"/>
            </w:tcMar>
          </w:tcPr>
          <w:p>
            <w:pPr>
              <w:spacing w:before="0" w:after="0"/>
            </w:pPr>
            <w:r>
              <w:rPr>
                <w:rFonts w:ascii="Calibri" w:hAnsi="Calibri"/>
                <w:color w:val="2D3237"/>
                <w:sz w:val="17"/>
              </w:rPr>
              <w:t>Policy Enforcement Point (PEP)</w:t>
            </w:r>
          </w:p>
        </w:tc>
        <w:tc>
          <w:tcPr>
            <w:tcW w:type="dxa" w:w="3168"/>
            <w:shd w:fill="F7F9FB"/>
            <w:tcMar>
              <w:top w:w="95" w:type="dxa"/>
              <w:bottom w:w="95" w:type="dxa"/>
              <w:left w:w="130" w:type="dxa"/>
              <w:right w:w="130" w:type="dxa"/>
            </w:tcMar>
          </w:tcPr>
          <w:p>
            <w:pPr>
              <w:spacing w:before="0" w:after="0"/>
            </w:pPr>
            <w:r>
              <w:rPr>
                <w:rFonts w:ascii="Calibri" w:hAnsi="Calibri"/>
                <w:color w:val="2D3237"/>
                <w:sz w:val="17"/>
              </w:rPr>
              <w:t>Distributed API Gateways, Next-Gen Firewalls, Kubernetes Service Meshes (Istio), and EDR sensors.</w:t>
            </w:r>
          </w:p>
        </w:tc>
        <w:tc>
          <w:tcPr>
            <w:tcW w:type="dxa" w:w="2160"/>
            <w:shd w:fill="F7F9FB"/>
            <w:tcMar>
              <w:top w:w="95" w:type="dxa"/>
              <w:bottom w:w="95" w:type="dxa"/>
              <w:left w:w="130" w:type="dxa"/>
              <w:right w:w="130" w:type="dxa"/>
            </w:tcMar>
          </w:tcPr>
          <w:p>
            <w:pPr>
              <w:spacing w:before="0" w:after="0"/>
            </w:pPr>
            <w:r>
              <w:rPr>
                <w:rFonts w:ascii="Calibri" w:hAnsi="Calibri"/>
                <w:color w:val="2D3237"/>
                <w:sz w:val="17"/>
              </w:rPr>
              <w:t>Cloud Ingress Proxies / Palo Alto Prisma / Cilium eBPF.</w:t>
            </w:r>
          </w:p>
        </w:tc>
        <w:tc>
          <w:tcPr>
            <w:tcW w:type="dxa" w:w="1685"/>
            <w:shd w:fill="F7F9FB"/>
            <w:tcMar>
              <w:top w:w="95" w:type="dxa"/>
              <w:bottom w:w="95" w:type="dxa"/>
              <w:left w:w="130" w:type="dxa"/>
              <w:right w:w="130" w:type="dxa"/>
            </w:tcMar>
          </w:tcPr>
          <w:p>
            <w:pPr>
              <w:spacing w:before="0" w:after="0"/>
            </w:pPr>
            <w:r>
              <w:rPr>
                <w:rFonts w:ascii="Calibri" w:hAnsi="Calibri"/>
                <w:color w:val="2D3237"/>
                <w:sz w:val="17"/>
              </w:rPr>
              <w:t>Block network traffic, drop TCP connections, and quarantine host.</w:t>
            </w:r>
          </w:p>
        </w:tc>
      </w:tr>
      <w:tr>
        <w:tc>
          <w:tcPr>
            <w:tcW w:type="dxa" w:w="2016"/>
            <w:shd w:fill="FFFFFF"/>
            <w:tcMar>
              <w:top w:w="95" w:type="dxa"/>
              <w:bottom w:w="95" w:type="dxa"/>
              <w:left w:w="130" w:type="dxa"/>
              <w:right w:w="130" w:type="dxa"/>
            </w:tcMar>
          </w:tcPr>
          <w:p>
            <w:pPr>
              <w:spacing w:before="0" w:after="0"/>
            </w:pPr>
            <w:r>
              <w:rPr>
                <w:rFonts w:ascii="Calibri" w:hAnsi="Calibri"/>
                <w:color w:val="2D3237"/>
                <w:sz w:val="17"/>
              </w:rPr>
              <w:t>Continuous Diagnostic &amp; Mitigation (CDM)</w:t>
            </w:r>
          </w:p>
        </w:tc>
        <w:tc>
          <w:tcPr>
            <w:tcW w:type="dxa" w:w="3168"/>
            <w:shd w:fill="FFFFFF"/>
            <w:tcMar>
              <w:top w:w="95" w:type="dxa"/>
              <w:bottom w:w="95" w:type="dxa"/>
              <w:left w:w="130" w:type="dxa"/>
              <w:right w:w="130" w:type="dxa"/>
            </w:tcMar>
          </w:tcPr>
          <w:p>
            <w:pPr>
              <w:spacing w:before="0" w:after="0"/>
            </w:pPr>
            <w:r>
              <w:rPr>
                <w:rFonts w:ascii="Calibri" w:hAnsi="Calibri"/>
                <w:color w:val="2D3237"/>
                <w:sz w:val="17"/>
              </w:rPr>
              <w:t>Automated vulnerability scanners, CrowdStrike Falcon EDR, and Wiz Cloud Security Posture Management.</w:t>
            </w:r>
          </w:p>
        </w:tc>
        <w:tc>
          <w:tcPr>
            <w:tcW w:type="dxa" w:w="2160"/>
            <w:shd w:fill="FFFFFF"/>
            <w:tcMar>
              <w:top w:w="95" w:type="dxa"/>
              <w:bottom w:w="95" w:type="dxa"/>
              <w:left w:w="130" w:type="dxa"/>
              <w:right w:w="130" w:type="dxa"/>
            </w:tcMar>
          </w:tcPr>
          <w:p>
            <w:pPr>
              <w:spacing w:before="0" w:after="0"/>
            </w:pPr>
            <w:r>
              <w:rPr>
                <w:rFonts w:ascii="Calibri" w:hAnsi="Calibri"/>
                <w:color w:val="2D3237"/>
                <w:sz w:val="17"/>
              </w:rPr>
              <w:t>Group CSOC &amp; Enterprise Vulnerability Management.</w:t>
            </w:r>
          </w:p>
        </w:tc>
        <w:tc>
          <w:tcPr>
            <w:tcW w:type="dxa" w:w="1685"/>
            <w:shd w:fill="FFFFFF"/>
            <w:tcMar>
              <w:top w:w="95" w:type="dxa"/>
              <w:bottom w:w="95" w:type="dxa"/>
              <w:left w:w="130" w:type="dxa"/>
              <w:right w:w="130" w:type="dxa"/>
            </w:tcMar>
          </w:tcPr>
          <w:p>
            <w:pPr>
              <w:spacing w:before="0" w:after="0"/>
            </w:pPr>
            <w:r>
              <w:rPr>
                <w:rFonts w:ascii="Calibri" w:hAnsi="Calibri"/>
                <w:color w:val="2D3237"/>
                <w:sz w:val="17"/>
              </w:rPr>
              <w:t>Trigger automated JIT credential revocation upon malware detection.</w:t>
            </w:r>
          </w:p>
        </w:tc>
      </w:tr>
    </w:tbl>
    <w:p>
      <w:pPr>
        <w:spacing w:before="0" w:after="80"/>
      </w:pPr>
    </w:p>
    <w:p>
      <w:r>
        <w:br w:type="page"/>
      </w:r>
    </w:p>
    <w:p>
      <w:pPr>
        <w:keepNext/>
        <w:spacing w:before="400" w:after="120"/>
      </w:pPr>
      <w:r>
        <w:rPr>
          <w:rFonts w:ascii="Calibri" w:hAnsi="Calibri"/>
          <w:b/>
          <w:color w:val="0B2545"/>
          <w:sz w:val="30"/>
        </w:rPr>
        <w:t>SECTION 4: IDENTITY, AUTHENTICATION &amp; HARDWARE MFA (FIDO2)</w:t>
      </w:r>
    </w:p>
    <w:p>
      <w:pPr>
        <w:keepNext/>
        <w:spacing w:before="280" w:after="80"/>
      </w:pPr>
      <w:r>
        <w:rPr>
          <w:rFonts w:ascii="Calibri" w:hAnsi="Calibri"/>
          <w:b/>
          <w:color w:val="136F63"/>
          <w:sz w:val="24"/>
        </w:rPr>
        <w:t>4.1 Centralized Identity Provider &amp; Federation Standard</w:t>
      </w:r>
    </w:p>
    <w:p>
      <w:pPr>
        <w:spacing w:before="0" w:after="120" w:line="276" w:lineRule="auto"/>
      </w:pPr>
      <w:r>
        <w:rPr>
          <w:rFonts w:ascii="Calibri" w:hAnsi="Calibri"/>
          <w:color w:val="2D3237"/>
          <w:sz w:val="20"/>
        </w:rPr>
        <w:t>Clause 4.1.1 — G42 enforces a unified, centralized Enterprise Identity Provider (IdP) strategy anchored on Microsoft Entra ID (Azure AD) integrated with sovereign directory federations. Local, unmanaged credential stores, shadow directories, and isolated Active Directory forests are strictly prohibited across all operating companies and project environments.</w:t>
      </w:r>
    </w:p>
    <w:p>
      <w:pPr>
        <w:spacing w:before="0" w:after="120" w:line="276" w:lineRule="auto"/>
      </w:pPr>
      <w:r>
        <w:rPr>
          <w:rFonts w:ascii="Calibri" w:hAnsi="Calibri"/>
          <w:color w:val="2D3237"/>
          <w:sz w:val="20"/>
        </w:rPr>
        <w:t>Clause 4.1.2 — User accounts must be automatically provisioned, synchronized, and de-provisioned via SCIM (System for Cross-domain Identity Management) protocols directly connected to the Group Human Resources Information System (Workday). Upon formal employee termination in HRIS, all corporate identities, Active Directory accounts, cloud access tokens, and VPNless sessions must be automatically revoked within 60 seconds.</w:t>
      </w:r>
    </w:p>
    <w:p>
      <w:pPr>
        <w:keepNext/>
        <w:spacing w:before="280" w:after="80"/>
      </w:pPr>
      <w:r>
        <w:rPr>
          <w:rFonts w:ascii="Calibri" w:hAnsi="Calibri"/>
          <w:b/>
          <w:color w:val="136F63"/>
          <w:sz w:val="24"/>
        </w:rPr>
        <w:t>4.2 Mandatory Hardware-Enforced Multi-Factor Authentication (FIDO2 / WebAuthn)</w:t>
      </w:r>
    </w:p>
    <w:p>
      <w:pPr>
        <w:spacing w:before="0" w:after="120" w:line="276" w:lineRule="auto"/>
      </w:pPr>
      <w:r>
        <w:rPr>
          <w:rFonts w:ascii="Calibri" w:hAnsi="Calibri"/>
          <w:color w:val="2D3237"/>
          <w:sz w:val="20"/>
        </w:rPr>
        <w:t>Clause 4.2.1 — All user authentication into G42 enterprise systems, cloud tenancies, email portals, software repositories, and developer environments must require phishing-resistant, hardware-enforced Multi-Factor Authentication (MFA) utilizing FIDO2 / WebAuthn protocols (e.g., YubiKey 5 Series FIPS-validated tokens or device-bound Windows Hello for Business / Apple TouchID TPM biometrics).</w:t>
      </w:r>
    </w:p>
    <w:p>
      <w:pPr>
        <w:pStyle w:val="ListBullet"/>
        <w:spacing w:before="0" w:after="60" w:line="276" w:lineRule="auto"/>
      </w:pPr>
      <w:r>
        <w:rPr>
          <w:rFonts w:ascii="Calibri" w:hAnsi="Calibri"/>
          <w:b/>
          <w:color w:val="2D3237"/>
          <w:sz w:val="20"/>
        </w:rPr>
        <w:t xml:space="preserve">Deprecation of Legacy Insecure MFA: </w:t>
      </w:r>
      <w:r>
        <w:rPr>
          <w:rFonts w:ascii="Calibri" w:hAnsi="Calibri"/>
          <w:color w:val="2D3237"/>
          <w:sz w:val="20"/>
        </w:rPr>
        <w:t>All SMS-based OTPs, voice-call verifications, and email verification codes are classified as insecure and are permanently disabled enterprise-wide across all systems.</w:t>
      </w:r>
    </w:p>
    <w:p>
      <w:pPr>
        <w:pStyle w:val="ListBullet"/>
        <w:spacing w:before="0" w:after="60" w:line="276" w:lineRule="auto"/>
      </w:pPr>
      <w:r>
        <w:rPr>
          <w:rFonts w:ascii="Calibri" w:hAnsi="Calibri"/>
          <w:b/>
          <w:color w:val="2D3237"/>
          <w:sz w:val="20"/>
        </w:rPr>
        <w:t xml:space="preserve">Number-Matching App Controls: </w:t>
      </w:r>
      <w:r>
        <w:rPr>
          <w:rFonts w:ascii="Calibri" w:hAnsi="Calibri"/>
          <w:color w:val="2D3237"/>
          <w:sz w:val="20"/>
        </w:rPr>
        <w:t>Authenticator applications displaying static time-based one-time passwords (TOTP) are restricted to secondary backup status and require explicit CISO approval. Push notifications must enforce strict number matching and geographic location confirmation.</w:t>
      </w:r>
    </w:p>
    <w:p>
      <w:pPr>
        <w:pStyle w:val="ListBullet"/>
        <w:spacing w:before="0" w:after="60" w:line="276" w:lineRule="auto"/>
      </w:pPr>
      <w:r>
        <w:rPr>
          <w:rFonts w:ascii="Calibri" w:hAnsi="Calibri"/>
          <w:b/>
          <w:color w:val="2D3237"/>
          <w:sz w:val="20"/>
        </w:rPr>
        <w:t xml:space="preserve">Hardware Token Registration: </w:t>
      </w:r>
      <w:r>
        <w:rPr>
          <w:rFonts w:ascii="Calibri" w:hAnsi="Calibri"/>
          <w:color w:val="2D3237"/>
          <w:sz w:val="20"/>
        </w:rPr>
        <w:t>Hardware security tokens issued to employees must be FIPS 140-2/3 Level 3 certified and registered directly in the G42 Hardware Token Registry. Token loss must be reported to the CSOC within 2 hours.</w:t>
      </w:r>
    </w:p>
    <w:p>
      <w:pPr>
        <w:keepNext/>
        <w:spacing w:before="200" w:after="40"/>
      </w:pPr>
      <w:r>
        <w:rPr>
          <w:rFonts w:ascii="Calibri" w:hAnsi="Calibri"/>
          <w:b/>
          <w:color w:val="0B2545"/>
          <w:sz w:val="21"/>
        </w:rPr>
        <w:t>4.3 Password Policy &amp; Passwordless Roadmap</w:t>
      </w:r>
    </w:p>
    <w:p>
      <w:pPr>
        <w:spacing w:before="0" w:after="120" w:line="276" w:lineRule="auto"/>
      </w:pPr>
      <w:r>
        <w:rPr>
          <w:rFonts w:ascii="Calibri" w:hAnsi="Calibri"/>
          <w:color w:val="2D3237"/>
          <w:sz w:val="20"/>
        </w:rPr>
        <w:t>Clause 4.3.1 — G42 is committed to a fully passwordless enterprise operational model. Where passwords remain technically unavoidable during legacy system transitions, they must comply with the Enterprise Password Baseline:</w:t>
      </w:r>
    </w:p>
    <w:tbl>
      <w:tblPr>
        <w:tblW w:type="auto" w:w="0"/>
        <w:jc w:val="center"/>
        <w:tblLayout w:type="fixed"/>
        <w:tblLook w:firstColumn="1" w:firstRow="1" w:lastColumn="0" w:lastRow="0" w:noHBand="0" w:noVBand="1" w:val="04A0"/>
      </w:tblPr>
      <w:tblGrid>
        <w:gridCol w:w="2592"/>
        <w:gridCol w:w="3888"/>
        <w:gridCol w:w="2549"/>
      </w:tblGrid>
      <w:tr>
        <w:tc>
          <w:tcPr>
            <w:tcW w:type="dxa" w:w="2592"/>
            <w:shd w:fill="0B2545"/>
            <w:tcMar>
              <w:top w:w="120" w:type="dxa"/>
              <w:bottom w:w="120" w:type="dxa"/>
              <w:left w:w="130" w:type="dxa"/>
              <w:right w:w="130" w:type="dxa"/>
            </w:tcMar>
          </w:tcPr>
          <w:p>
            <w:pPr>
              <w:spacing w:before="0" w:after="0"/>
              <w:jc w:val="left"/>
            </w:pPr>
            <w:r>
              <w:rPr>
                <w:rFonts w:ascii="Calibri" w:hAnsi="Calibri"/>
                <w:b/>
                <w:color w:val="FFFFFF"/>
                <w:sz w:val="18"/>
              </w:rPr>
              <w:t>Security Parameter</w:t>
            </w:r>
          </w:p>
        </w:tc>
        <w:tc>
          <w:tcPr>
            <w:tcW w:type="dxa" w:w="3888"/>
            <w:shd w:fill="0B2545"/>
            <w:tcMar>
              <w:top w:w="120" w:type="dxa"/>
              <w:bottom w:w="120" w:type="dxa"/>
              <w:left w:w="130" w:type="dxa"/>
              <w:right w:w="130" w:type="dxa"/>
            </w:tcMar>
          </w:tcPr>
          <w:p>
            <w:pPr>
              <w:spacing w:before="0" w:after="0"/>
              <w:jc w:val="left"/>
            </w:pPr>
            <w:r>
              <w:rPr>
                <w:rFonts w:ascii="Calibri" w:hAnsi="Calibri"/>
                <w:b/>
                <w:color w:val="FFFFFF"/>
                <w:sz w:val="18"/>
              </w:rPr>
              <w:t>Technical Standard</w:t>
            </w:r>
          </w:p>
        </w:tc>
        <w:tc>
          <w:tcPr>
            <w:tcW w:type="dxa" w:w="2549"/>
            <w:shd w:fill="0B2545"/>
            <w:tcMar>
              <w:top w:w="120" w:type="dxa"/>
              <w:bottom w:w="120" w:type="dxa"/>
              <w:left w:w="130" w:type="dxa"/>
              <w:right w:w="130" w:type="dxa"/>
            </w:tcMar>
          </w:tcPr>
          <w:p>
            <w:pPr>
              <w:spacing w:before="0" w:after="0"/>
              <w:jc w:val="left"/>
            </w:pPr>
            <w:r>
              <w:rPr>
                <w:rFonts w:ascii="Calibri" w:hAnsi="Calibri"/>
                <w:b/>
                <w:color w:val="FFFFFF"/>
                <w:sz w:val="18"/>
              </w:rPr>
              <w:t>Enforcement Control</w:t>
            </w:r>
          </w:p>
        </w:tc>
      </w:tr>
      <w:tr>
        <w:tc>
          <w:tcPr>
            <w:tcW w:type="dxa" w:w="2592"/>
            <w:shd w:fill="FFFFFF"/>
            <w:tcMar>
              <w:top w:w="95" w:type="dxa"/>
              <w:bottom w:w="95" w:type="dxa"/>
              <w:left w:w="130" w:type="dxa"/>
              <w:right w:w="130" w:type="dxa"/>
            </w:tcMar>
          </w:tcPr>
          <w:p>
            <w:pPr>
              <w:spacing w:before="0" w:after="0"/>
            </w:pPr>
            <w:r>
              <w:rPr>
                <w:rFonts w:ascii="Calibri" w:hAnsi="Calibri"/>
                <w:color w:val="2D3237"/>
                <w:sz w:val="17"/>
              </w:rPr>
              <w:t>Credential Parameter</w:t>
            </w:r>
          </w:p>
        </w:tc>
        <w:tc>
          <w:tcPr>
            <w:tcW w:type="dxa" w:w="3888"/>
            <w:shd w:fill="FFFFFF"/>
            <w:tcMar>
              <w:top w:w="95" w:type="dxa"/>
              <w:bottom w:w="95" w:type="dxa"/>
              <w:left w:w="130" w:type="dxa"/>
              <w:right w:w="130" w:type="dxa"/>
            </w:tcMar>
          </w:tcPr>
          <w:p>
            <w:pPr>
              <w:spacing w:before="0" w:after="0"/>
            </w:pPr>
            <w:r>
              <w:rPr>
                <w:rFonts w:ascii="Calibri" w:hAnsi="Calibri"/>
                <w:color w:val="2D3237"/>
                <w:sz w:val="17"/>
              </w:rPr>
              <w:t>Mandatory Technical Specification</w:t>
            </w:r>
          </w:p>
        </w:tc>
        <w:tc>
          <w:tcPr>
            <w:tcW w:type="dxa" w:w="2549"/>
            <w:shd w:fill="FFFFFF"/>
            <w:tcMar>
              <w:top w:w="95" w:type="dxa"/>
              <w:bottom w:w="95" w:type="dxa"/>
              <w:left w:w="130" w:type="dxa"/>
              <w:right w:w="130" w:type="dxa"/>
            </w:tcMar>
          </w:tcPr>
          <w:p>
            <w:pPr>
              <w:spacing w:before="0" w:after="0"/>
            </w:pPr>
            <w:r>
              <w:rPr>
                <w:rFonts w:ascii="Calibri" w:hAnsi="Calibri"/>
                <w:color w:val="2D3237"/>
                <w:sz w:val="17"/>
              </w:rPr>
              <w:t>Enforcement Mechanism</w:t>
            </w:r>
          </w:p>
        </w:tc>
      </w:tr>
      <w:tr>
        <w:tc>
          <w:tcPr>
            <w:tcW w:type="dxa" w:w="2592"/>
            <w:shd w:fill="F7F9FB"/>
            <w:tcMar>
              <w:top w:w="95" w:type="dxa"/>
              <w:bottom w:w="95" w:type="dxa"/>
              <w:left w:w="130" w:type="dxa"/>
              <w:right w:w="130" w:type="dxa"/>
            </w:tcMar>
          </w:tcPr>
          <w:p>
            <w:pPr>
              <w:spacing w:before="0" w:after="0"/>
            </w:pPr>
            <w:r>
              <w:rPr>
                <w:rFonts w:ascii="Calibri" w:hAnsi="Calibri"/>
                <w:color w:val="2D3237"/>
                <w:sz w:val="17"/>
              </w:rPr>
              <w:t>Minimum Character Length</w:t>
            </w:r>
          </w:p>
        </w:tc>
        <w:tc>
          <w:tcPr>
            <w:tcW w:type="dxa" w:w="3888"/>
            <w:shd w:fill="F7F9FB"/>
            <w:tcMar>
              <w:top w:w="95" w:type="dxa"/>
              <w:bottom w:w="95" w:type="dxa"/>
              <w:left w:w="130" w:type="dxa"/>
              <w:right w:w="130" w:type="dxa"/>
            </w:tcMar>
          </w:tcPr>
          <w:p>
            <w:pPr>
              <w:spacing w:before="0" w:after="0"/>
            </w:pPr>
            <w:r>
              <w:rPr>
                <w:rFonts w:ascii="Calibri" w:hAnsi="Calibri"/>
                <w:color w:val="2D3237"/>
                <w:sz w:val="17"/>
              </w:rPr>
              <w:t>Minimum 16 characters for standard users; minimum 24 characters for privileged system administrators.</w:t>
            </w:r>
          </w:p>
        </w:tc>
        <w:tc>
          <w:tcPr>
            <w:tcW w:type="dxa" w:w="2549"/>
            <w:shd w:fill="F7F9FB"/>
            <w:tcMar>
              <w:top w:w="95" w:type="dxa"/>
              <w:bottom w:w="95" w:type="dxa"/>
              <w:left w:w="130" w:type="dxa"/>
              <w:right w:w="130" w:type="dxa"/>
            </w:tcMar>
          </w:tcPr>
          <w:p>
            <w:pPr>
              <w:spacing w:before="0" w:after="0"/>
            </w:pPr>
            <w:r>
              <w:rPr>
                <w:rFonts w:ascii="Calibri" w:hAnsi="Calibri"/>
                <w:color w:val="2D3237"/>
                <w:sz w:val="17"/>
              </w:rPr>
              <w:t>Automated fine-grained Active Directory / Entra ID password policies.</w:t>
            </w:r>
          </w:p>
        </w:tc>
      </w:tr>
      <w:tr>
        <w:tc>
          <w:tcPr>
            <w:tcW w:type="dxa" w:w="2592"/>
            <w:shd w:fill="FFFFFF"/>
            <w:tcMar>
              <w:top w:w="95" w:type="dxa"/>
              <w:bottom w:w="95" w:type="dxa"/>
              <w:left w:w="130" w:type="dxa"/>
              <w:right w:w="130" w:type="dxa"/>
            </w:tcMar>
          </w:tcPr>
          <w:p>
            <w:pPr>
              <w:spacing w:before="0" w:after="0"/>
            </w:pPr>
            <w:r>
              <w:rPr>
                <w:rFonts w:ascii="Calibri" w:hAnsi="Calibri"/>
                <w:color w:val="2D3237"/>
                <w:sz w:val="17"/>
              </w:rPr>
              <w:t>Complexity Requirements</w:t>
            </w:r>
          </w:p>
        </w:tc>
        <w:tc>
          <w:tcPr>
            <w:tcW w:type="dxa" w:w="3888"/>
            <w:shd w:fill="FFFFFF"/>
            <w:tcMar>
              <w:top w:w="95" w:type="dxa"/>
              <w:bottom w:w="95" w:type="dxa"/>
              <w:left w:w="130" w:type="dxa"/>
              <w:right w:w="130" w:type="dxa"/>
            </w:tcMar>
          </w:tcPr>
          <w:p>
            <w:pPr>
              <w:spacing w:before="0" w:after="0"/>
            </w:pPr>
            <w:r>
              <w:rPr>
                <w:rFonts w:ascii="Calibri" w:hAnsi="Calibri"/>
                <w:color w:val="2D3237"/>
                <w:sz w:val="17"/>
              </w:rPr>
              <w:t>Must contain uppercase, lowercase, numerical digits, and special characters; dictionary words prohibited.</w:t>
            </w:r>
          </w:p>
        </w:tc>
        <w:tc>
          <w:tcPr>
            <w:tcW w:type="dxa" w:w="2549"/>
            <w:shd w:fill="FFFFFF"/>
            <w:tcMar>
              <w:top w:w="95" w:type="dxa"/>
              <w:bottom w:w="95" w:type="dxa"/>
              <w:left w:w="130" w:type="dxa"/>
              <w:right w:w="130" w:type="dxa"/>
            </w:tcMar>
          </w:tcPr>
          <w:p>
            <w:pPr>
              <w:spacing w:before="0" w:after="0"/>
            </w:pPr>
            <w:r>
              <w:rPr>
                <w:rFonts w:ascii="Calibri" w:hAnsi="Calibri"/>
                <w:color w:val="2D3237"/>
                <w:sz w:val="17"/>
              </w:rPr>
              <w:t>Automated Azure AD Password Protection with custom G42 banned word lists.</w:t>
            </w:r>
          </w:p>
        </w:tc>
      </w:tr>
      <w:tr>
        <w:tc>
          <w:tcPr>
            <w:tcW w:type="dxa" w:w="2592"/>
            <w:shd w:fill="F7F9FB"/>
            <w:tcMar>
              <w:top w:w="95" w:type="dxa"/>
              <w:bottom w:w="95" w:type="dxa"/>
              <w:left w:w="130" w:type="dxa"/>
              <w:right w:w="130" w:type="dxa"/>
            </w:tcMar>
          </w:tcPr>
          <w:p>
            <w:pPr>
              <w:spacing w:before="0" w:after="0"/>
            </w:pPr>
            <w:r>
              <w:rPr>
                <w:rFonts w:ascii="Calibri" w:hAnsi="Calibri"/>
                <w:color w:val="2D3237"/>
                <w:sz w:val="17"/>
              </w:rPr>
              <w:t>Password Rotation Policy</w:t>
            </w:r>
          </w:p>
        </w:tc>
        <w:tc>
          <w:tcPr>
            <w:tcW w:type="dxa" w:w="3888"/>
            <w:shd w:fill="F7F9FB"/>
            <w:tcMar>
              <w:top w:w="95" w:type="dxa"/>
              <w:bottom w:w="95" w:type="dxa"/>
              <w:left w:w="130" w:type="dxa"/>
              <w:right w:w="130" w:type="dxa"/>
            </w:tcMar>
          </w:tcPr>
          <w:p>
            <w:pPr>
              <w:spacing w:before="0" w:after="0"/>
            </w:pPr>
            <w:r>
              <w:rPr>
                <w:rFonts w:ascii="Calibri" w:hAnsi="Calibri"/>
                <w:color w:val="2D3237"/>
                <w:sz w:val="17"/>
              </w:rPr>
              <w:t>Mandatory rotation every 90 days for privileged accounts; annual or breach-triggered rotation for standard users.</w:t>
            </w:r>
          </w:p>
        </w:tc>
        <w:tc>
          <w:tcPr>
            <w:tcW w:type="dxa" w:w="2549"/>
            <w:shd w:fill="F7F9FB"/>
            <w:tcMar>
              <w:top w:w="95" w:type="dxa"/>
              <w:bottom w:w="95" w:type="dxa"/>
              <w:left w:w="130" w:type="dxa"/>
              <w:right w:w="130" w:type="dxa"/>
            </w:tcMar>
          </w:tcPr>
          <w:p>
            <w:pPr>
              <w:spacing w:before="0" w:after="0"/>
            </w:pPr>
            <w:r>
              <w:rPr>
                <w:rFonts w:ascii="Calibri" w:hAnsi="Calibri"/>
                <w:color w:val="2D3237"/>
                <w:sz w:val="17"/>
              </w:rPr>
              <w:t>Automated credential expiration and notification pipelines.</w:t>
            </w:r>
          </w:p>
        </w:tc>
      </w:tr>
      <w:tr>
        <w:tc>
          <w:tcPr>
            <w:tcW w:type="dxa" w:w="2592"/>
            <w:shd w:fill="FFFFFF"/>
            <w:tcMar>
              <w:top w:w="95" w:type="dxa"/>
              <w:bottom w:w="95" w:type="dxa"/>
              <w:left w:w="130" w:type="dxa"/>
              <w:right w:w="130" w:type="dxa"/>
            </w:tcMar>
          </w:tcPr>
          <w:p>
            <w:pPr>
              <w:spacing w:before="0" w:after="0"/>
            </w:pPr>
            <w:r>
              <w:rPr>
                <w:rFonts w:ascii="Calibri" w:hAnsi="Calibri"/>
                <w:color w:val="2D3237"/>
                <w:sz w:val="17"/>
              </w:rPr>
              <w:t>Credential Reuse Restriction</w:t>
            </w:r>
          </w:p>
        </w:tc>
        <w:tc>
          <w:tcPr>
            <w:tcW w:type="dxa" w:w="3888"/>
            <w:shd w:fill="FFFFFF"/>
            <w:tcMar>
              <w:top w:w="95" w:type="dxa"/>
              <w:bottom w:w="95" w:type="dxa"/>
              <w:left w:w="130" w:type="dxa"/>
              <w:right w:w="130" w:type="dxa"/>
            </w:tcMar>
          </w:tcPr>
          <w:p>
            <w:pPr>
              <w:spacing w:before="0" w:after="0"/>
            </w:pPr>
            <w:r>
              <w:rPr>
                <w:rFonts w:ascii="Calibri" w:hAnsi="Calibri"/>
                <w:color w:val="2D3237"/>
                <w:sz w:val="17"/>
              </w:rPr>
              <w:t>System must remember and block reuse of the previous 24 passwords used by the account.</w:t>
            </w:r>
          </w:p>
        </w:tc>
        <w:tc>
          <w:tcPr>
            <w:tcW w:type="dxa" w:w="2549"/>
            <w:shd w:fill="FFFFFF"/>
            <w:tcMar>
              <w:top w:w="95" w:type="dxa"/>
              <w:bottom w:w="95" w:type="dxa"/>
              <w:left w:w="130" w:type="dxa"/>
              <w:right w:w="130" w:type="dxa"/>
            </w:tcMar>
          </w:tcPr>
          <w:p>
            <w:pPr>
              <w:spacing w:before="0" w:after="0"/>
            </w:pPr>
            <w:r>
              <w:rPr>
                <w:rFonts w:ascii="Calibri" w:hAnsi="Calibri"/>
                <w:color w:val="2D3237"/>
                <w:sz w:val="17"/>
              </w:rPr>
              <w:t>Directory password history enforcement.</w:t>
            </w:r>
          </w:p>
        </w:tc>
      </w:tr>
      <w:tr>
        <w:tc>
          <w:tcPr>
            <w:tcW w:type="dxa" w:w="2592"/>
            <w:shd w:fill="F7F9FB"/>
            <w:tcMar>
              <w:top w:w="95" w:type="dxa"/>
              <w:bottom w:w="95" w:type="dxa"/>
              <w:left w:w="130" w:type="dxa"/>
              <w:right w:w="130" w:type="dxa"/>
            </w:tcMar>
          </w:tcPr>
          <w:p>
            <w:pPr>
              <w:spacing w:before="0" w:after="0"/>
            </w:pPr>
            <w:r>
              <w:rPr>
                <w:rFonts w:ascii="Calibri" w:hAnsi="Calibri"/>
                <w:color w:val="2D3237"/>
                <w:sz w:val="17"/>
              </w:rPr>
              <w:t>Brute-Force Lockout</w:t>
            </w:r>
          </w:p>
        </w:tc>
        <w:tc>
          <w:tcPr>
            <w:tcW w:type="dxa" w:w="3888"/>
            <w:shd w:fill="F7F9FB"/>
            <w:tcMar>
              <w:top w:w="95" w:type="dxa"/>
              <w:bottom w:w="95" w:type="dxa"/>
              <w:left w:w="130" w:type="dxa"/>
              <w:right w:w="130" w:type="dxa"/>
            </w:tcMar>
          </w:tcPr>
          <w:p>
            <w:pPr>
              <w:spacing w:before="0" w:after="0"/>
            </w:pPr>
            <w:r>
              <w:rPr>
                <w:rFonts w:ascii="Calibri" w:hAnsi="Calibri"/>
                <w:color w:val="2D3237"/>
                <w:sz w:val="17"/>
              </w:rPr>
              <w:t>Account locked for 30 minutes after 5 consecutive failed authentication attempts; CSOC alert generated.</w:t>
            </w:r>
          </w:p>
        </w:tc>
        <w:tc>
          <w:tcPr>
            <w:tcW w:type="dxa" w:w="2549"/>
            <w:shd w:fill="F7F9FB"/>
            <w:tcMar>
              <w:top w:w="95" w:type="dxa"/>
              <w:bottom w:w="95" w:type="dxa"/>
              <w:left w:w="130" w:type="dxa"/>
              <w:right w:w="130" w:type="dxa"/>
            </w:tcMar>
          </w:tcPr>
          <w:p>
            <w:pPr>
              <w:spacing w:before="0" w:after="0"/>
            </w:pPr>
            <w:r>
              <w:rPr>
                <w:rFonts w:ascii="Calibri" w:hAnsi="Calibri"/>
                <w:color w:val="2D3237"/>
                <w:sz w:val="17"/>
              </w:rPr>
              <w:t>Smart Lockout algorithms analyzing IP reputation and attack patterns.</w:t>
            </w:r>
          </w:p>
        </w:tc>
      </w:tr>
    </w:tbl>
    <w:p>
      <w:pPr>
        <w:spacing w:before="0" w:after="80"/>
      </w:pPr>
    </w:p>
    <w:p>
      <w:r>
        <w:br w:type="page"/>
      </w:r>
    </w:p>
    <w:p>
      <w:pPr>
        <w:keepNext/>
        <w:spacing w:before="400" w:after="120"/>
      </w:pPr>
      <w:r>
        <w:rPr>
          <w:rFonts w:ascii="Calibri" w:hAnsi="Calibri"/>
          <w:b/>
          <w:color w:val="0B2545"/>
          <w:sz w:val="30"/>
        </w:rPr>
        <w:t>SECTION 5: PRIVILEGED ACCESS MANAGEMENT (PAM) &amp; JUST-IN-TIME (JIT)</w:t>
      </w:r>
    </w:p>
    <w:p>
      <w:pPr>
        <w:keepNext/>
        <w:spacing w:before="280" w:after="80"/>
      </w:pPr>
      <w:r>
        <w:rPr>
          <w:rFonts w:ascii="Calibri" w:hAnsi="Calibri"/>
          <w:b/>
          <w:color w:val="136F63"/>
          <w:sz w:val="24"/>
        </w:rPr>
        <w:t>5.1 Zero Standing Privileges (ZSP) Mandate</w:t>
      </w:r>
    </w:p>
    <w:p>
      <w:pPr>
        <w:spacing w:before="0" w:after="120" w:line="276" w:lineRule="auto"/>
      </w:pPr>
      <w:r>
        <w:rPr>
          <w:rFonts w:ascii="Calibri" w:hAnsi="Calibri"/>
          <w:color w:val="2D3237"/>
          <w:sz w:val="20"/>
        </w:rPr>
        <w:t>Clause 5.1.1 — In alignment with Zero Trust principles, G42 strictly enforces the doctrine of Zero Standing Privileges (ZSP). No user, service account, developer, or IT administrator shall possess permanent, standing administrative access (e.g., Domain Admin, Global Admin, AWS Root, Kubernetes Cluster-Admin) to production networks, cloud tenancies, or supercomputing nodes.</w:t>
      </w:r>
    </w:p>
    <w:p>
      <w:pPr>
        <w:spacing w:before="0" w:after="120" w:line="276" w:lineRule="auto"/>
      </w:pPr>
      <w:r>
        <w:rPr>
          <w:rFonts w:ascii="Calibri" w:hAnsi="Calibri"/>
          <w:color w:val="2D3237"/>
          <w:sz w:val="20"/>
        </w:rPr>
        <w:t>Clause 5.1.2 — All privileged operational tasks—including database schema alterations, network configuration updates, infrastructure provisioning, and production debugging—must be executed exclusively through ephemeral Just-In-Time (JIT) access elevation managed by CyberArk / Microsoft Entra Privileged Identity Management (PIM).</w:t>
      </w:r>
    </w:p>
    <w:p>
      <w:pPr>
        <w:keepNext/>
        <w:spacing w:before="280" w:after="80"/>
      </w:pPr>
      <w:r>
        <w:rPr>
          <w:rFonts w:ascii="Calibri" w:hAnsi="Calibri"/>
          <w:b/>
          <w:color w:val="136F63"/>
          <w:sz w:val="24"/>
        </w:rPr>
        <w:t>5.2 Just-In-Time Elevation &amp; Dual-Key Authorization Workflows</w:t>
      </w:r>
    </w:p>
    <w:p>
      <w:pPr>
        <w:spacing w:before="0" w:after="120" w:line="276" w:lineRule="auto"/>
      </w:pPr>
      <w:r>
        <w:rPr>
          <w:rFonts w:ascii="Calibri" w:hAnsi="Calibri"/>
          <w:color w:val="2D3237"/>
          <w:sz w:val="20"/>
        </w:rPr>
        <w:t>Clause 5.2.1 — JIT access requests must comply with the following mandatory elevation protocols:</w:t>
      </w:r>
    </w:p>
    <w:p>
      <w:pPr>
        <w:pStyle w:val="ListBullet"/>
        <w:spacing w:before="0" w:after="60" w:line="276" w:lineRule="auto"/>
      </w:pPr>
      <w:r>
        <w:rPr>
          <w:rFonts w:ascii="Calibri" w:hAnsi="Calibri"/>
          <w:b/>
          <w:color w:val="2D3237"/>
          <w:sz w:val="20"/>
        </w:rPr>
        <w:t xml:space="preserve">Time-Bounded Elevation (&lt; 4 Hours): </w:t>
      </w:r>
      <w:r>
        <w:rPr>
          <w:rFonts w:ascii="Calibri" w:hAnsi="Calibri"/>
          <w:color w:val="2D3237"/>
          <w:sz w:val="20"/>
        </w:rPr>
        <w:t>Elevated administrative credentials must be provisioned with an absolute maximum Time-To-Live (TTL) of 4 hours (240 minutes). Upon task completion or expiration of the TTL, all administrative permissions are automatically revoked by the PAM system.</w:t>
      </w:r>
    </w:p>
    <w:p>
      <w:pPr>
        <w:pStyle w:val="ListBullet"/>
        <w:spacing w:before="0" w:after="60" w:line="276" w:lineRule="auto"/>
      </w:pPr>
      <w:r>
        <w:rPr>
          <w:rFonts w:ascii="Calibri" w:hAnsi="Calibri"/>
          <w:b/>
          <w:color w:val="2D3237"/>
          <w:sz w:val="20"/>
        </w:rPr>
        <w:t xml:space="preserve">Mandatory Dual-Person Approval: </w:t>
      </w:r>
      <w:r>
        <w:rPr>
          <w:rFonts w:ascii="Calibri" w:hAnsi="Calibri"/>
          <w:color w:val="2D3237"/>
          <w:sz w:val="20"/>
        </w:rPr>
        <w:t>Privilege elevation requests targeting Tier 1 Critical Infrastructure or Level 4 Sovereign Data environments require Dual-Key (Maker-Checker) authorization from an independent authorized IT Manager and BU Security Lead.</w:t>
      </w:r>
    </w:p>
    <w:p>
      <w:pPr>
        <w:pStyle w:val="ListBullet"/>
        <w:spacing w:before="0" w:after="60" w:line="276" w:lineRule="auto"/>
      </w:pPr>
      <w:r>
        <w:rPr>
          <w:rFonts w:ascii="Calibri" w:hAnsi="Calibri"/>
          <w:b/>
          <w:color w:val="2D3237"/>
          <w:sz w:val="20"/>
        </w:rPr>
        <w:t xml:space="preserve">Change Ticket Cross-Referencing: </w:t>
      </w:r>
      <w:r>
        <w:rPr>
          <w:rFonts w:ascii="Calibri" w:hAnsi="Calibri"/>
          <w:color w:val="2D3237"/>
          <w:sz w:val="20"/>
        </w:rPr>
        <w:t>Every JIT request must cite a valid, approved Jira Service Desk ticket or ServiceNow change request number. Unlinked elevation requests are automatically rejected.</w:t>
      </w:r>
    </w:p>
    <w:p>
      <w:pPr>
        <w:keepNext/>
        <w:spacing w:before="200" w:after="40"/>
      </w:pPr>
      <w:r>
        <w:rPr>
          <w:rFonts w:ascii="Calibri" w:hAnsi="Calibri"/>
          <w:b/>
          <w:color w:val="0B2545"/>
          <w:sz w:val="21"/>
        </w:rPr>
        <w:t>5.3 Privileged Session Monitoring &amp; Immutable Keystroke Recording</w:t>
      </w:r>
    </w:p>
    <w:p>
      <w:pPr>
        <w:spacing w:before="0" w:after="120" w:line="276" w:lineRule="auto"/>
      </w:pPr>
      <w:r>
        <w:rPr>
          <w:rFonts w:ascii="Calibri" w:hAnsi="Calibri"/>
          <w:color w:val="2D3237"/>
          <w:sz w:val="20"/>
        </w:rPr>
        <w:t>Clause 5.3.1 — All privileged administrative sessions connecting to production servers, cloud consoles, or network appliances must be proxied through hardened Jump Hosts / PAM Bastions equipped with continuous video recording, keystroke logging, and session anomaly detection. Session recordings must be cryptographically signed and archived in WORM storage for a minimum of 3 years to support forensic investigations.</w:t>
      </w:r>
    </w:p>
    <w:tbl>
      <w:tblPr>
        <w:tblW w:type="auto" w:w="0"/>
        <w:jc w:val="center"/>
        <w:tblLayout w:type="fixed"/>
        <w:tblLook w:firstColumn="1" w:firstRow="1" w:lastColumn="0" w:lastRow="0" w:noHBand="0" w:noVBand="1" w:val="04A0"/>
      </w:tblPr>
      <w:tblGrid>
        <w:gridCol w:w="2016"/>
        <w:gridCol w:w="1728"/>
        <w:gridCol w:w="1296"/>
        <w:gridCol w:w="2304"/>
        <w:gridCol w:w="1685"/>
      </w:tblGrid>
      <w:tr>
        <w:tc>
          <w:tcPr>
            <w:tcW w:type="dxa" w:w="2016"/>
            <w:shd w:fill="0B2545"/>
            <w:tcMar>
              <w:top w:w="120" w:type="dxa"/>
              <w:bottom w:w="120" w:type="dxa"/>
              <w:left w:w="130" w:type="dxa"/>
              <w:right w:w="130" w:type="dxa"/>
            </w:tcMar>
          </w:tcPr>
          <w:p>
            <w:pPr>
              <w:spacing w:before="0" w:after="0"/>
              <w:jc w:val="left"/>
            </w:pPr>
            <w:r>
              <w:rPr>
                <w:rFonts w:ascii="Calibri" w:hAnsi="Calibri"/>
                <w:b/>
                <w:color w:val="FFFFFF"/>
                <w:sz w:val="18"/>
              </w:rPr>
              <w:t>Privileged Role</w:t>
            </w:r>
          </w:p>
        </w:tc>
        <w:tc>
          <w:tcPr>
            <w:tcW w:type="dxa" w:w="1728"/>
            <w:shd w:fill="0B2545"/>
            <w:tcMar>
              <w:top w:w="120" w:type="dxa"/>
              <w:bottom w:w="120" w:type="dxa"/>
              <w:left w:w="130" w:type="dxa"/>
              <w:right w:w="130" w:type="dxa"/>
            </w:tcMar>
          </w:tcPr>
          <w:p>
            <w:pPr>
              <w:spacing w:before="0" w:after="0"/>
              <w:jc w:val="left"/>
            </w:pPr>
            <w:r>
              <w:rPr>
                <w:rFonts w:ascii="Calibri" w:hAnsi="Calibri"/>
                <w:b/>
                <w:color w:val="FFFFFF"/>
                <w:sz w:val="18"/>
              </w:rPr>
              <w:t>Access Architecture</w:t>
            </w:r>
          </w:p>
        </w:tc>
        <w:tc>
          <w:tcPr>
            <w:tcW w:type="dxa" w:w="1296"/>
            <w:shd w:fill="0B2545"/>
            <w:tcMar>
              <w:top w:w="120" w:type="dxa"/>
              <w:bottom w:w="120" w:type="dxa"/>
              <w:left w:w="130" w:type="dxa"/>
              <w:right w:w="130" w:type="dxa"/>
            </w:tcMar>
          </w:tcPr>
          <w:p>
            <w:pPr>
              <w:spacing w:before="0" w:after="0"/>
              <w:jc w:val="left"/>
            </w:pPr>
            <w:r>
              <w:rPr>
                <w:rFonts w:ascii="Calibri" w:hAnsi="Calibri"/>
                <w:b/>
                <w:color w:val="FFFFFF"/>
                <w:sz w:val="18"/>
              </w:rPr>
              <w:t>Session TTL</w:t>
            </w:r>
          </w:p>
        </w:tc>
        <w:tc>
          <w:tcPr>
            <w:tcW w:type="dxa" w:w="2304"/>
            <w:shd w:fill="0B2545"/>
            <w:tcMar>
              <w:top w:w="120" w:type="dxa"/>
              <w:bottom w:w="120" w:type="dxa"/>
              <w:left w:w="130" w:type="dxa"/>
              <w:right w:w="130" w:type="dxa"/>
            </w:tcMar>
          </w:tcPr>
          <w:p>
            <w:pPr>
              <w:spacing w:before="0" w:after="0"/>
              <w:jc w:val="left"/>
            </w:pPr>
            <w:r>
              <w:rPr>
                <w:rFonts w:ascii="Calibri" w:hAnsi="Calibri"/>
                <w:b/>
                <w:color w:val="FFFFFF"/>
                <w:sz w:val="18"/>
              </w:rPr>
              <w:t>Approval Requirement</w:t>
            </w:r>
          </w:p>
        </w:tc>
        <w:tc>
          <w:tcPr>
            <w:tcW w:type="dxa" w:w="1685"/>
            <w:shd w:fill="0B2545"/>
            <w:tcMar>
              <w:top w:w="120" w:type="dxa"/>
              <w:bottom w:w="120" w:type="dxa"/>
              <w:left w:w="130" w:type="dxa"/>
              <w:right w:w="130" w:type="dxa"/>
            </w:tcMar>
          </w:tcPr>
          <w:p>
            <w:pPr>
              <w:spacing w:before="0" w:after="0"/>
              <w:jc w:val="left"/>
            </w:pPr>
            <w:r>
              <w:rPr>
                <w:rFonts w:ascii="Calibri" w:hAnsi="Calibri"/>
                <w:b/>
                <w:color w:val="FFFFFF"/>
                <w:sz w:val="18"/>
              </w:rPr>
              <w:t>Monitoring Mandate</w:t>
            </w:r>
          </w:p>
        </w:tc>
      </w:tr>
      <w:tr>
        <w:tc>
          <w:tcPr>
            <w:tcW w:type="dxa" w:w="2016"/>
            <w:shd w:fill="FFFFFF"/>
            <w:tcMar>
              <w:top w:w="95" w:type="dxa"/>
              <w:bottom w:w="95" w:type="dxa"/>
              <w:left w:w="130" w:type="dxa"/>
              <w:right w:w="130" w:type="dxa"/>
            </w:tcMar>
          </w:tcPr>
          <w:p>
            <w:pPr>
              <w:spacing w:before="0" w:after="0"/>
            </w:pPr>
            <w:r>
              <w:rPr>
                <w:rFonts w:ascii="Calibri" w:hAnsi="Calibri"/>
                <w:color w:val="2D3237"/>
                <w:sz w:val="17"/>
              </w:rPr>
              <w:t>Administrative Role / Scope</w:t>
            </w:r>
          </w:p>
        </w:tc>
        <w:tc>
          <w:tcPr>
            <w:tcW w:type="dxa" w:w="1728"/>
            <w:shd w:fill="FFFFFF"/>
            <w:tcMar>
              <w:top w:w="95" w:type="dxa"/>
              <w:bottom w:w="95" w:type="dxa"/>
              <w:left w:w="130" w:type="dxa"/>
              <w:right w:w="130" w:type="dxa"/>
            </w:tcMar>
          </w:tcPr>
          <w:p>
            <w:pPr>
              <w:spacing w:before="0" w:after="0"/>
            </w:pPr>
            <w:r>
              <w:rPr>
                <w:rFonts w:ascii="Calibri" w:hAnsi="Calibri"/>
                <w:color w:val="2D3237"/>
                <w:sz w:val="17"/>
              </w:rPr>
              <w:t>Access Model</w:t>
            </w:r>
          </w:p>
        </w:tc>
        <w:tc>
          <w:tcPr>
            <w:tcW w:type="dxa" w:w="1296"/>
            <w:shd w:fill="FFFFFF"/>
            <w:tcMar>
              <w:top w:w="95" w:type="dxa"/>
              <w:bottom w:w="95" w:type="dxa"/>
              <w:left w:w="130" w:type="dxa"/>
              <w:right w:w="130" w:type="dxa"/>
            </w:tcMar>
          </w:tcPr>
          <w:p>
            <w:pPr>
              <w:spacing w:before="0" w:after="0"/>
            </w:pPr>
            <w:r>
              <w:rPr>
                <w:rFonts w:ascii="Calibri" w:hAnsi="Calibri"/>
                <w:color w:val="2D3237"/>
                <w:sz w:val="17"/>
              </w:rPr>
              <w:t>Max Session TTL</w:t>
            </w:r>
          </w:p>
        </w:tc>
        <w:tc>
          <w:tcPr>
            <w:tcW w:type="dxa" w:w="2304"/>
            <w:shd w:fill="FFFFFF"/>
            <w:tcMar>
              <w:top w:w="95" w:type="dxa"/>
              <w:bottom w:w="95" w:type="dxa"/>
              <w:left w:w="130" w:type="dxa"/>
              <w:right w:w="130" w:type="dxa"/>
            </w:tcMar>
          </w:tcPr>
          <w:p>
            <w:pPr>
              <w:spacing w:before="0" w:after="0"/>
            </w:pPr>
            <w:r>
              <w:rPr>
                <w:rFonts w:ascii="Calibri" w:hAnsi="Calibri"/>
                <w:color w:val="2D3237"/>
                <w:sz w:val="17"/>
              </w:rPr>
              <w:t>Approval Gateway</w:t>
            </w:r>
          </w:p>
        </w:tc>
        <w:tc>
          <w:tcPr>
            <w:tcW w:type="dxa" w:w="1685"/>
            <w:shd w:fill="FFFFFF"/>
            <w:tcMar>
              <w:top w:w="95" w:type="dxa"/>
              <w:bottom w:w="95" w:type="dxa"/>
              <w:left w:w="130" w:type="dxa"/>
              <w:right w:w="130" w:type="dxa"/>
            </w:tcMar>
          </w:tcPr>
          <w:p>
            <w:pPr>
              <w:spacing w:before="0" w:after="0"/>
            </w:pPr>
            <w:r>
              <w:rPr>
                <w:rFonts w:ascii="Calibri" w:hAnsi="Calibri"/>
                <w:color w:val="2D3237"/>
                <w:sz w:val="17"/>
              </w:rPr>
              <w:t>Session Recording</w:t>
            </w:r>
          </w:p>
        </w:tc>
      </w:tr>
      <w:tr>
        <w:tc>
          <w:tcPr>
            <w:tcW w:type="dxa" w:w="2016"/>
            <w:shd w:fill="F7F9FB"/>
            <w:tcMar>
              <w:top w:w="95" w:type="dxa"/>
              <w:bottom w:w="95" w:type="dxa"/>
              <w:left w:w="130" w:type="dxa"/>
              <w:right w:w="130" w:type="dxa"/>
            </w:tcMar>
          </w:tcPr>
          <w:p>
            <w:pPr>
              <w:spacing w:before="0" w:after="0"/>
            </w:pPr>
            <w:r>
              <w:rPr>
                <w:rFonts w:ascii="Calibri" w:hAnsi="Calibri"/>
                <w:color w:val="2D3237"/>
                <w:sz w:val="17"/>
              </w:rPr>
              <w:t>Cloud Global Administrator (Azure/AWS)</w:t>
            </w:r>
          </w:p>
        </w:tc>
        <w:tc>
          <w:tcPr>
            <w:tcW w:type="dxa" w:w="1728"/>
            <w:shd w:fill="F7F9FB"/>
            <w:tcMar>
              <w:top w:w="95" w:type="dxa"/>
              <w:bottom w:w="95" w:type="dxa"/>
              <w:left w:w="130" w:type="dxa"/>
              <w:right w:w="130" w:type="dxa"/>
            </w:tcMar>
          </w:tcPr>
          <w:p>
            <w:pPr>
              <w:spacing w:before="0" w:after="0"/>
            </w:pPr>
            <w:r>
              <w:rPr>
                <w:rFonts w:ascii="Calibri" w:hAnsi="Calibri"/>
                <w:color w:val="2D3237"/>
                <w:sz w:val="17"/>
              </w:rPr>
              <w:t>Zero Standing (JIT Only)</w:t>
            </w:r>
          </w:p>
        </w:tc>
        <w:tc>
          <w:tcPr>
            <w:tcW w:type="dxa" w:w="1296"/>
            <w:shd w:fill="F7F9FB"/>
            <w:tcMar>
              <w:top w:w="95" w:type="dxa"/>
              <w:bottom w:w="95" w:type="dxa"/>
              <w:left w:w="130" w:type="dxa"/>
              <w:right w:w="130" w:type="dxa"/>
            </w:tcMar>
          </w:tcPr>
          <w:p>
            <w:pPr>
              <w:spacing w:before="0" w:after="0"/>
            </w:pPr>
            <w:r>
              <w:rPr>
                <w:rFonts w:ascii="Calibri" w:hAnsi="Calibri"/>
                <w:color w:val="2D3237"/>
                <w:sz w:val="17"/>
              </w:rPr>
              <w:t>2 Hours</w:t>
            </w:r>
          </w:p>
        </w:tc>
        <w:tc>
          <w:tcPr>
            <w:tcW w:type="dxa" w:w="2304"/>
            <w:shd w:fill="F7F9FB"/>
            <w:tcMar>
              <w:top w:w="95" w:type="dxa"/>
              <w:bottom w:w="95" w:type="dxa"/>
              <w:left w:w="130" w:type="dxa"/>
              <w:right w:w="130" w:type="dxa"/>
            </w:tcMar>
          </w:tcPr>
          <w:p>
            <w:pPr>
              <w:spacing w:before="0" w:after="0"/>
            </w:pPr>
            <w:r>
              <w:rPr>
                <w:rFonts w:ascii="Calibri" w:hAnsi="Calibri"/>
                <w:color w:val="2D3237"/>
                <w:sz w:val="17"/>
              </w:rPr>
              <w:t>Dual-Key: Group CISO + Infrastructure Director</w:t>
            </w:r>
          </w:p>
        </w:tc>
        <w:tc>
          <w:tcPr>
            <w:tcW w:type="dxa" w:w="1685"/>
            <w:shd w:fill="F7F9FB"/>
            <w:tcMar>
              <w:top w:w="95" w:type="dxa"/>
              <w:bottom w:w="95" w:type="dxa"/>
              <w:left w:w="130" w:type="dxa"/>
              <w:right w:w="130" w:type="dxa"/>
            </w:tcMar>
          </w:tcPr>
          <w:p>
            <w:pPr>
              <w:spacing w:before="0" w:after="0"/>
            </w:pPr>
            <w:r>
              <w:rPr>
                <w:rFonts w:ascii="Calibri" w:hAnsi="Calibri"/>
                <w:color w:val="2D3237"/>
                <w:sz w:val="17"/>
              </w:rPr>
              <w:t>Full Video + Keystroke Proxy</w:t>
            </w:r>
          </w:p>
        </w:tc>
      </w:tr>
      <w:tr>
        <w:tc>
          <w:tcPr>
            <w:tcW w:type="dxa" w:w="2016"/>
            <w:shd w:fill="FFFFFF"/>
            <w:tcMar>
              <w:top w:w="95" w:type="dxa"/>
              <w:bottom w:w="95" w:type="dxa"/>
              <w:left w:w="130" w:type="dxa"/>
              <w:right w:w="130" w:type="dxa"/>
            </w:tcMar>
          </w:tcPr>
          <w:p>
            <w:pPr>
              <w:spacing w:before="0" w:after="0"/>
            </w:pPr>
            <w:r>
              <w:rPr>
                <w:rFonts w:ascii="Calibri" w:hAnsi="Calibri"/>
                <w:color w:val="2D3237"/>
                <w:sz w:val="17"/>
              </w:rPr>
              <w:t>Kubernetes Production Cluster-Admin</w:t>
            </w:r>
          </w:p>
        </w:tc>
        <w:tc>
          <w:tcPr>
            <w:tcW w:type="dxa" w:w="1728"/>
            <w:shd w:fill="FFFFFF"/>
            <w:tcMar>
              <w:top w:w="95" w:type="dxa"/>
              <w:bottom w:w="95" w:type="dxa"/>
              <w:left w:w="130" w:type="dxa"/>
              <w:right w:w="130" w:type="dxa"/>
            </w:tcMar>
          </w:tcPr>
          <w:p>
            <w:pPr>
              <w:spacing w:before="0" w:after="0"/>
            </w:pPr>
            <w:r>
              <w:rPr>
                <w:rFonts w:ascii="Calibri" w:hAnsi="Calibri"/>
                <w:color w:val="2D3237"/>
                <w:sz w:val="17"/>
              </w:rPr>
              <w:t>Zero Standing (JIT Only)</w:t>
            </w:r>
          </w:p>
        </w:tc>
        <w:tc>
          <w:tcPr>
            <w:tcW w:type="dxa" w:w="1296"/>
            <w:shd w:fill="FFFFFF"/>
            <w:tcMar>
              <w:top w:w="95" w:type="dxa"/>
              <w:bottom w:w="95" w:type="dxa"/>
              <w:left w:w="130" w:type="dxa"/>
              <w:right w:w="130" w:type="dxa"/>
            </w:tcMar>
          </w:tcPr>
          <w:p>
            <w:pPr>
              <w:spacing w:before="0" w:after="0"/>
            </w:pPr>
            <w:r>
              <w:rPr>
                <w:rFonts w:ascii="Calibri" w:hAnsi="Calibri"/>
                <w:color w:val="2D3237"/>
                <w:sz w:val="17"/>
              </w:rPr>
              <w:t>4 Hours</w:t>
            </w:r>
          </w:p>
        </w:tc>
        <w:tc>
          <w:tcPr>
            <w:tcW w:type="dxa" w:w="2304"/>
            <w:shd w:fill="FFFFFF"/>
            <w:tcMar>
              <w:top w:w="95" w:type="dxa"/>
              <w:bottom w:w="95" w:type="dxa"/>
              <w:left w:w="130" w:type="dxa"/>
              <w:right w:w="130" w:type="dxa"/>
            </w:tcMar>
          </w:tcPr>
          <w:p>
            <w:pPr>
              <w:spacing w:before="0" w:after="0"/>
            </w:pPr>
            <w:r>
              <w:rPr>
                <w:rFonts w:ascii="Calibri" w:hAnsi="Calibri"/>
                <w:color w:val="2D3237"/>
                <w:sz w:val="17"/>
              </w:rPr>
              <w:t>Single-Key: Lead DevOps Engineer</w:t>
            </w:r>
          </w:p>
        </w:tc>
        <w:tc>
          <w:tcPr>
            <w:tcW w:type="dxa" w:w="1685"/>
            <w:shd w:fill="FFFFFF"/>
            <w:tcMar>
              <w:top w:w="95" w:type="dxa"/>
              <w:bottom w:w="95" w:type="dxa"/>
              <w:left w:w="130" w:type="dxa"/>
              <w:right w:w="130" w:type="dxa"/>
            </w:tcMar>
          </w:tcPr>
          <w:p>
            <w:pPr>
              <w:spacing w:before="0" w:after="0"/>
            </w:pPr>
            <w:r>
              <w:rPr>
                <w:rFonts w:ascii="Calibri" w:hAnsi="Calibri"/>
                <w:color w:val="2D3237"/>
                <w:sz w:val="17"/>
              </w:rPr>
              <w:t>Full API Audit + Shell Recording</w:t>
            </w:r>
          </w:p>
        </w:tc>
      </w:tr>
      <w:tr>
        <w:tc>
          <w:tcPr>
            <w:tcW w:type="dxa" w:w="2016"/>
            <w:shd w:fill="F7F9FB"/>
            <w:tcMar>
              <w:top w:w="95" w:type="dxa"/>
              <w:bottom w:w="95" w:type="dxa"/>
              <w:left w:w="130" w:type="dxa"/>
              <w:right w:w="130" w:type="dxa"/>
            </w:tcMar>
          </w:tcPr>
          <w:p>
            <w:pPr>
              <w:spacing w:before="0" w:after="0"/>
            </w:pPr>
            <w:r>
              <w:rPr>
                <w:rFonts w:ascii="Calibri" w:hAnsi="Calibri"/>
                <w:color w:val="2D3237"/>
                <w:sz w:val="17"/>
              </w:rPr>
              <w:t>Production Database DBA (Level 3 Data)</w:t>
            </w:r>
          </w:p>
        </w:tc>
        <w:tc>
          <w:tcPr>
            <w:tcW w:type="dxa" w:w="1728"/>
            <w:shd w:fill="F7F9FB"/>
            <w:tcMar>
              <w:top w:w="95" w:type="dxa"/>
              <w:bottom w:w="95" w:type="dxa"/>
              <w:left w:w="130" w:type="dxa"/>
              <w:right w:w="130" w:type="dxa"/>
            </w:tcMar>
          </w:tcPr>
          <w:p>
            <w:pPr>
              <w:spacing w:before="0" w:after="0"/>
            </w:pPr>
            <w:r>
              <w:rPr>
                <w:rFonts w:ascii="Calibri" w:hAnsi="Calibri"/>
                <w:color w:val="2D3237"/>
                <w:sz w:val="17"/>
              </w:rPr>
              <w:t>Zero Standing (JIT Only)</w:t>
            </w:r>
          </w:p>
        </w:tc>
        <w:tc>
          <w:tcPr>
            <w:tcW w:type="dxa" w:w="1296"/>
            <w:shd w:fill="F7F9FB"/>
            <w:tcMar>
              <w:top w:w="95" w:type="dxa"/>
              <w:bottom w:w="95" w:type="dxa"/>
              <w:left w:w="130" w:type="dxa"/>
              <w:right w:w="130" w:type="dxa"/>
            </w:tcMar>
          </w:tcPr>
          <w:p>
            <w:pPr>
              <w:spacing w:before="0" w:after="0"/>
            </w:pPr>
            <w:r>
              <w:rPr>
                <w:rFonts w:ascii="Calibri" w:hAnsi="Calibri"/>
                <w:color w:val="2D3237"/>
                <w:sz w:val="17"/>
              </w:rPr>
              <w:t>3 Hours</w:t>
            </w:r>
          </w:p>
        </w:tc>
        <w:tc>
          <w:tcPr>
            <w:tcW w:type="dxa" w:w="2304"/>
            <w:shd w:fill="F7F9FB"/>
            <w:tcMar>
              <w:top w:w="95" w:type="dxa"/>
              <w:bottom w:w="95" w:type="dxa"/>
              <w:left w:w="130" w:type="dxa"/>
              <w:right w:w="130" w:type="dxa"/>
            </w:tcMar>
          </w:tcPr>
          <w:p>
            <w:pPr>
              <w:spacing w:before="0" w:after="0"/>
            </w:pPr>
            <w:r>
              <w:rPr>
                <w:rFonts w:ascii="Calibri" w:hAnsi="Calibri"/>
                <w:color w:val="2D3237"/>
                <w:sz w:val="17"/>
              </w:rPr>
              <w:t>Single-Key: Database Architect</w:t>
            </w:r>
          </w:p>
        </w:tc>
        <w:tc>
          <w:tcPr>
            <w:tcW w:type="dxa" w:w="1685"/>
            <w:shd w:fill="F7F9FB"/>
            <w:tcMar>
              <w:top w:w="95" w:type="dxa"/>
              <w:bottom w:w="95" w:type="dxa"/>
              <w:left w:w="130" w:type="dxa"/>
              <w:right w:w="130" w:type="dxa"/>
            </w:tcMar>
          </w:tcPr>
          <w:p>
            <w:pPr>
              <w:spacing w:before="0" w:after="0"/>
            </w:pPr>
            <w:r>
              <w:rPr>
                <w:rFonts w:ascii="Calibri" w:hAnsi="Calibri"/>
                <w:color w:val="2D3237"/>
                <w:sz w:val="17"/>
              </w:rPr>
              <w:t>SQL Query Audit + Keystroke Proxy</w:t>
            </w:r>
          </w:p>
        </w:tc>
      </w:tr>
      <w:tr>
        <w:tc>
          <w:tcPr>
            <w:tcW w:type="dxa" w:w="2016"/>
            <w:shd w:fill="FFFFFF"/>
            <w:tcMar>
              <w:top w:w="95" w:type="dxa"/>
              <w:bottom w:w="95" w:type="dxa"/>
              <w:left w:w="130" w:type="dxa"/>
              <w:right w:w="130" w:type="dxa"/>
            </w:tcMar>
          </w:tcPr>
          <w:p>
            <w:pPr>
              <w:spacing w:before="0" w:after="0"/>
            </w:pPr>
            <w:r>
              <w:rPr>
                <w:rFonts w:ascii="Calibri" w:hAnsi="Calibri"/>
                <w:color w:val="2D3237"/>
                <w:sz w:val="17"/>
              </w:rPr>
              <w:t>Sovereign HPC Node Root Access</w:t>
            </w:r>
          </w:p>
        </w:tc>
        <w:tc>
          <w:tcPr>
            <w:tcW w:type="dxa" w:w="1728"/>
            <w:shd w:fill="FFFFFF"/>
            <w:tcMar>
              <w:top w:w="95" w:type="dxa"/>
              <w:bottom w:w="95" w:type="dxa"/>
              <w:left w:w="130" w:type="dxa"/>
              <w:right w:w="130" w:type="dxa"/>
            </w:tcMar>
          </w:tcPr>
          <w:p>
            <w:pPr>
              <w:spacing w:before="0" w:after="0"/>
            </w:pPr>
            <w:r>
              <w:rPr>
                <w:rFonts w:ascii="Calibri" w:hAnsi="Calibri"/>
                <w:color w:val="2D3237"/>
                <w:sz w:val="17"/>
              </w:rPr>
              <w:t>Zero Standing (JIT Only)</w:t>
            </w:r>
          </w:p>
        </w:tc>
        <w:tc>
          <w:tcPr>
            <w:tcW w:type="dxa" w:w="1296"/>
            <w:shd w:fill="FFFFFF"/>
            <w:tcMar>
              <w:top w:w="95" w:type="dxa"/>
              <w:bottom w:w="95" w:type="dxa"/>
              <w:left w:w="130" w:type="dxa"/>
              <w:right w:w="130" w:type="dxa"/>
            </w:tcMar>
          </w:tcPr>
          <w:p>
            <w:pPr>
              <w:spacing w:before="0" w:after="0"/>
            </w:pPr>
            <w:r>
              <w:rPr>
                <w:rFonts w:ascii="Calibri" w:hAnsi="Calibri"/>
                <w:color w:val="2D3237"/>
                <w:sz w:val="17"/>
              </w:rPr>
              <w:t>1 Hour</w:t>
            </w:r>
          </w:p>
        </w:tc>
        <w:tc>
          <w:tcPr>
            <w:tcW w:type="dxa" w:w="2304"/>
            <w:shd w:fill="FFFFFF"/>
            <w:tcMar>
              <w:top w:w="95" w:type="dxa"/>
              <w:bottom w:w="95" w:type="dxa"/>
              <w:left w:w="130" w:type="dxa"/>
              <w:right w:w="130" w:type="dxa"/>
            </w:tcMar>
          </w:tcPr>
          <w:p>
            <w:pPr>
              <w:spacing w:before="0" w:after="0"/>
            </w:pPr>
            <w:r>
              <w:rPr>
                <w:rFonts w:ascii="Calibri" w:hAnsi="Calibri"/>
                <w:color w:val="2D3237"/>
                <w:sz w:val="17"/>
              </w:rPr>
              <w:t>Dual-Key: Core42 CISO + Supercompute Director</w:t>
            </w:r>
          </w:p>
        </w:tc>
        <w:tc>
          <w:tcPr>
            <w:tcW w:type="dxa" w:w="1685"/>
            <w:shd w:fill="FFFFFF"/>
            <w:tcMar>
              <w:top w:w="95" w:type="dxa"/>
              <w:bottom w:w="95" w:type="dxa"/>
              <w:left w:w="130" w:type="dxa"/>
              <w:right w:w="130" w:type="dxa"/>
            </w:tcMar>
          </w:tcPr>
          <w:p>
            <w:pPr>
              <w:spacing w:before="0" w:after="0"/>
            </w:pPr>
            <w:r>
              <w:rPr>
                <w:rFonts w:ascii="Calibri" w:hAnsi="Calibri"/>
                <w:color w:val="2D3237"/>
                <w:sz w:val="17"/>
              </w:rPr>
              <w:t>Full Video + Air-Gapped HSM Log</w:t>
            </w:r>
          </w:p>
        </w:tc>
      </w:tr>
    </w:tbl>
    <w:p>
      <w:pPr>
        <w:spacing w:before="0" w:after="80"/>
      </w:pPr>
    </w:p>
    <w:p>
      <w:r>
        <w:br w:type="page"/>
      </w:r>
    </w:p>
    <w:p>
      <w:pPr>
        <w:keepNext/>
        <w:spacing w:before="400" w:after="120"/>
      </w:pPr>
      <w:r>
        <w:rPr>
          <w:rFonts w:ascii="Calibri" w:hAnsi="Calibri"/>
          <w:b/>
          <w:color w:val="0B2545"/>
          <w:sz w:val="30"/>
        </w:rPr>
        <w:t>SECTION 6: NETWORK SECURITY, MICRO-SEGMENTATION &amp; SD-PERIMETERS</w:t>
      </w:r>
    </w:p>
    <w:p>
      <w:pPr>
        <w:keepNext/>
        <w:spacing w:before="280" w:after="80"/>
      </w:pPr>
      <w:r>
        <w:rPr>
          <w:rFonts w:ascii="Calibri" w:hAnsi="Calibri"/>
          <w:b/>
          <w:color w:val="136F63"/>
          <w:sz w:val="24"/>
        </w:rPr>
        <w:t>6.1 Software-Defined Micro-Segmentation Standard</w:t>
      </w:r>
    </w:p>
    <w:p>
      <w:pPr>
        <w:spacing w:before="0" w:after="120" w:line="276" w:lineRule="auto"/>
      </w:pPr>
      <w:r>
        <w:rPr>
          <w:rFonts w:ascii="Calibri" w:hAnsi="Calibri"/>
          <w:color w:val="2D3237"/>
          <w:sz w:val="20"/>
        </w:rPr>
        <w:t>Clause 6.1.1 — Enterprise networks, virtual private clouds (VPCs), and data center fabrics across G42 must be architected into granular, isolated micro-segments enforced at the hypervisor, kernel (eBPF), and Next-Generation Firewall (NGFW) layers. Flat network topologies permitting uninspected east-west traffic between servers or applications are strictly prohibited.</w:t>
      </w:r>
    </w:p>
    <w:p>
      <w:pPr>
        <w:spacing w:before="0" w:after="120" w:line="276" w:lineRule="auto"/>
      </w:pPr>
      <w:r>
        <w:rPr>
          <w:rFonts w:ascii="Calibri" w:hAnsi="Calibri"/>
          <w:color w:val="2D3237"/>
          <w:sz w:val="20"/>
        </w:rPr>
        <w:t>Clause 6.1.2 — Micro-segmentation boundaries must be established based on workload sensitivity, operating company tenancy, application tier (web, application, database), and data classification level. By default, all inter-segment network communication is blocked (implicit deny all) unless explicitly permitted by an approved, cryptographically authenticated firewall rule.</w:t>
      </w:r>
    </w:p>
    <w:p>
      <w:pPr>
        <w:keepNext/>
        <w:spacing w:before="280" w:after="80"/>
      </w:pPr>
      <w:r>
        <w:rPr>
          <w:rFonts w:ascii="Calibri" w:hAnsi="Calibri"/>
          <w:b/>
          <w:color w:val="136F63"/>
          <w:sz w:val="24"/>
        </w:rPr>
        <w:t>6.2 Mutual TLS (mTLS 1.3) &amp; In-Transit Cryptographic Encapsulation</w:t>
      </w:r>
    </w:p>
    <w:p>
      <w:pPr>
        <w:pStyle w:val="ListBullet"/>
        <w:spacing w:before="0" w:after="60" w:line="276" w:lineRule="auto"/>
      </w:pPr>
      <w:r>
        <w:rPr>
          <w:rFonts w:ascii="Calibri" w:hAnsi="Calibri"/>
          <w:b/>
          <w:color w:val="2D3237"/>
          <w:sz w:val="20"/>
        </w:rPr>
        <w:t xml:space="preserve">Pervasive Service Mesh mTLS: </w:t>
      </w:r>
      <w:r>
        <w:rPr>
          <w:rFonts w:ascii="Calibri" w:hAnsi="Calibri"/>
          <w:color w:val="2D3237"/>
          <w:sz w:val="20"/>
        </w:rPr>
        <w:t>All microservice-to-microservice and server-to-server communications within enterprise Kubernetes clusters and VPCs must enforce mutual TLS (mTLS 1.3) with ephemeral X.509 certificates managed by Istio / HashiCorp Consul service meshes.</w:t>
      </w:r>
    </w:p>
    <w:p>
      <w:pPr>
        <w:pStyle w:val="ListBullet"/>
        <w:spacing w:before="0" w:after="60" w:line="276" w:lineRule="auto"/>
      </w:pPr>
      <w:r>
        <w:rPr>
          <w:rFonts w:ascii="Calibri" w:hAnsi="Calibri"/>
          <w:b/>
          <w:color w:val="2D3237"/>
          <w:sz w:val="20"/>
        </w:rPr>
        <w:t xml:space="preserve">Hard Ban on Cleartext Protocols: </w:t>
      </w:r>
      <w:r>
        <w:rPr>
          <w:rFonts w:ascii="Calibri" w:hAnsi="Calibri"/>
          <w:color w:val="2D3237"/>
          <w:sz w:val="20"/>
        </w:rPr>
        <w:t>Plaintext protocols (including HTTP, FTP, Telnet, unencrypted SNMP, and unencrypted LDAP) are banned across all production, staging, and development networks.</w:t>
      </w:r>
    </w:p>
    <w:p>
      <w:pPr>
        <w:pStyle w:val="ListBullet"/>
        <w:spacing w:before="0" w:after="60" w:line="276" w:lineRule="auto"/>
      </w:pPr>
      <w:r>
        <w:rPr>
          <w:rFonts w:ascii="Calibri" w:hAnsi="Calibri"/>
          <w:b/>
          <w:color w:val="2D3237"/>
          <w:sz w:val="20"/>
        </w:rPr>
        <w:t xml:space="preserve">Layer-3 Backbone Encryption: </w:t>
      </w:r>
      <w:r>
        <w:rPr>
          <w:rFonts w:ascii="Calibri" w:hAnsi="Calibri"/>
          <w:color w:val="2D3237"/>
          <w:sz w:val="20"/>
        </w:rPr>
        <w:t>Inter-data center traffic traversing public internet backbones or shared dark fiber must be encrypted at Layer 3 using MACsec (802.1AE) or IPsec with AES-256-GCM encryption.</w:t>
      </w:r>
    </w:p>
    <w:p>
      <w:pPr>
        <w:keepNext/>
        <w:spacing w:before="200" w:after="40"/>
      </w:pPr>
      <w:r>
        <w:rPr>
          <w:rFonts w:ascii="Calibri" w:hAnsi="Calibri"/>
          <w:b/>
          <w:color w:val="0B2545"/>
          <w:sz w:val="21"/>
        </w:rPr>
        <w:t>6.3 Software-Defined Perimeters (SDP) &amp; VPN Deprecation</w:t>
      </w:r>
    </w:p>
    <w:p>
      <w:pPr>
        <w:spacing w:before="0" w:after="120" w:line="276" w:lineRule="auto"/>
      </w:pPr>
      <w:r>
        <w:rPr>
          <w:rFonts w:ascii="Calibri" w:hAnsi="Calibri"/>
          <w:color w:val="2D3237"/>
          <w:sz w:val="20"/>
        </w:rPr>
        <w:t>Clause 6.3.1 — G42 mandates the phased deprecation of legacy remote-access Virtual Private Networks (VPNs). Remote connectivity for engineering staff and contractors must transition exclusively to Software-Defined Perimeter (SDP) / Zero Trust Network Access (ZTNA) solutions (e.g., Zscaler Private Access or Cloudflare Access). ZTNA ensures that remote users are granted application-specific connectivity without receiving broad network-level IP access.</w:t>
      </w:r>
    </w:p>
    <w:tbl>
      <w:tblPr>
        <w:tblW w:type="auto" w:w="0"/>
        <w:jc w:val="center"/>
        <w:tblLayout w:type="fixed"/>
        <w:tblLook w:firstColumn="1" w:firstRow="1" w:lastColumn="0" w:lastRow="0" w:noHBand="0" w:noVBand="1" w:val="04A0"/>
      </w:tblPr>
      <w:tblGrid>
        <w:gridCol w:w="2016"/>
        <w:gridCol w:w="2592"/>
        <w:gridCol w:w="2304"/>
        <w:gridCol w:w="2117"/>
      </w:tblGrid>
      <w:tr>
        <w:tc>
          <w:tcPr>
            <w:tcW w:type="dxa" w:w="2016"/>
            <w:shd w:fill="0B2545"/>
            <w:tcMar>
              <w:top w:w="120" w:type="dxa"/>
              <w:bottom w:w="120" w:type="dxa"/>
              <w:left w:w="130" w:type="dxa"/>
              <w:right w:w="130" w:type="dxa"/>
            </w:tcMar>
          </w:tcPr>
          <w:p>
            <w:pPr>
              <w:spacing w:before="0" w:after="0"/>
              <w:jc w:val="left"/>
            </w:pPr>
            <w:r>
              <w:rPr>
                <w:rFonts w:ascii="Calibri" w:hAnsi="Calibri"/>
                <w:b/>
                <w:color w:val="FFFFFF"/>
                <w:sz w:val="18"/>
              </w:rPr>
              <w:t>Security Zone</w:t>
            </w:r>
          </w:p>
        </w:tc>
        <w:tc>
          <w:tcPr>
            <w:tcW w:type="dxa" w:w="2592"/>
            <w:shd w:fill="0B2545"/>
            <w:tcMar>
              <w:top w:w="120" w:type="dxa"/>
              <w:bottom w:w="120" w:type="dxa"/>
              <w:left w:w="130" w:type="dxa"/>
              <w:right w:w="130" w:type="dxa"/>
            </w:tcMar>
          </w:tcPr>
          <w:p>
            <w:pPr>
              <w:spacing w:before="0" w:after="0"/>
              <w:jc w:val="left"/>
            </w:pPr>
            <w:r>
              <w:rPr>
                <w:rFonts w:ascii="Calibri" w:hAnsi="Calibri"/>
                <w:b/>
                <w:color w:val="FFFFFF"/>
                <w:sz w:val="18"/>
              </w:rPr>
              <w:t>Infrastructure Scope</w:t>
            </w:r>
          </w:p>
        </w:tc>
        <w:tc>
          <w:tcPr>
            <w:tcW w:type="dxa" w:w="2304"/>
            <w:shd w:fill="0B2545"/>
            <w:tcMar>
              <w:top w:w="120" w:type="dxa"/>
              <w:bottom w:w="120" w:type="dxa"/>
              <w:left w:w="130" w:type="dxa"/>
              <w:right w:w="130" w:type="dxa"/>
            </w:tcMar>
          </w:tcPr>
          <w:p>
            <w:pPr>
              <w:spacing w:before="0" w:after="0"/>
              <w:jc w:val="left"/>
            </w:pPr>
            <w:r>
              <w:rPr>
                <w:rFonts w:ascii="Calibri" w:hAnsi="Calibri"/>
                <w:b/>
                <w:color w:val="FFFFFF"/>
                <w:sz w:val="18"/>
              </w:rPr>
              <w:t>Inbound Policy</w:t>
            </w:r>
          </w:p>
        </w:tc>
        <w:tc>
          <w:tcPr>
            <w:tcW w:type="dxa" w:w="2117"/>
            <w:shd w:fill="0B2545"/>
            <w:tcMar>
              <w:top w:w="120" w:type="dxa"/>
              <w:bottom w:w="120" w:type="dxa"/>
              <w:left w:w="130" w:type="dxa"/>
              <w:right w:w="130" w:type="dxa"/>
            </w:tcMar>
          </w:tcPr>
          <w:p>
            <w:pPr>
              <w:spacing w:before="0" w:after="0"/>
              <w:jc w:val="left"/>
            </w:pPr>
            <w:r>
              <w:rPr>
                <w:rFonts w:ascii="Calibri" w:hAnsi="Calibri"/>
                <w:b/>
                <w:color w:val="FFFFFF"/>
                <w:sz w:val="18"/>
              </w:rPr>
              <w:t>Outbound Controls</w:t>
            </w:r>
          </w:p>
        </w:tc>
      </w:tr>
      <w:tr>
        <w:tc>
          <w:tcPr>
            <w:tcW w:type="dxa" w:w="2016"/>
            <w:shd w:fill="FFFFFF"/>
            <w:tcMar>
              <w:top w:w="95" w:type="dxa"/>
              <w:bottom w:w="95" w:type="dxa"/>
              <w:left w:w="130" w:type="dxa"/>
              <w:right w:w="130" w:type="dxa"/>
            </w:tcMar>
          </w:tcPr>
          <w:p>
            <w:pPr>
              <w:spacing w:before="0" w:after="0"/>
            </w:pPr>
            <w:r>
              <w:rPr>
                <w:rFonts w:ascii="Calibri" w:hAnsi="Calibri"/>
                <w:color w:val="2D3237"/>
                <w:sz w:val="17"/>
              </w:rPr>
              <w:t>Network Zone / Tier</w:t>
            </w:r>
          </w:p>
        </w:tc>
        <w:tc>
          <w:tcPr>
            <w:tcW w:type="dxa" w:w="2592"/>
            <w:shd w:fill="FFFFFF"/>
            <w:tcMar>
              <w:top w:w="95" w:type="dxa"/>
              <w:bottom w:w="95" w:type="dxa"/>
              <w:left w:w="130" w:type="dxa"/>
              <w:right w:w="130" w:type="dxa"/>
            </w:tcMar>
          </w:tcPr>
          <w:p>
            <w:pPr>
              <w:spacing w:before="0" w:after="0"/>
            </w:pPr>
            <w:r>
              <w:rPr>
                <w:rFonts w:ascii="Calibri" w:hAnsi="Calibri"/>
                <w:color w:val="2D3237"/>
                <w:sz w:val="17"/>
              </w:rPr>
              <w:t>Target Workloads &amp; Infrastructure</w:t>
            </w:r>
          </w:p>
        </w:tc>
        <w:tc>
          <w:tcPr>
            <w:tcW w:type="dxa" w:w="2304"/>
            <w:shd w:fill="FFFFFF"/>
            <w:tcMar>
              <w:top w:w="95" w:type="dxa"/>
              <w:bottom w:w="95" w:type="dxa"/>
              <w:left w:w="130" w:type="dxa"/>
              <w:right w:w="130" w:type="dxa"/>
            </w:tcMar>
          </w:tcPr>
          <w:p>
            <w:pPr>
              <w:spacing w:before="0" w:after="0"/>
            </w:pPr>
            <w:r>
              <w:rPr>
                <w:rFonts w:ascii="Calibri" w:hAnsi="Calibri"/>
                <w:color w:val="2D3237"/>
                <w:sz w:val="17"/>
              </w:rPr>
              <w:t>Inbound Access Policy</w:t>
            </w:r>
          </w:p>
        </w:tc>
        <w:tc>
          <w:tcPr>
            <w:tcW w:type="dxa" w:w="2117"/>
            <w:shd w:fill="FFFFFF"/>
            <w:tcMar>
              <w:top w:w="95" w:type="dxa"/>
              <w:bottom w:w="95" w:type="dxa"/>
              <w:left w:w="130" w:type="dxa"/>
              <w:right w:w="130" w:type="dxa"/>
            </w:tcMar>
          </w:tcPr>
          <w:p>
            <w:pPr>
              <w:spacing w:before="0" w:after="0"/>
            </w:pPr>
            <w:r>
              <w:rPr>
                <w:rFonts w:ascii="Calibri" w:hAnsi="Calibri"/>
                <w:color w:val="2D3237"/>
                <w:sz w:val="17"/>
              </w:rPr>
              <w:t>Outbound Egress Controls</w:t>
            </w:r>
          </w:p>
        </w:tc>
      </w:tr>
      <w:tr>
        <w:tc>
          <w:tcPr>
            <w:tcW w:type="dxa" w:w="2016"/>
            <w:shd w:fill="F7F9FB"/>
            <w:tcMar>
              <w:top w:w="95" w:type="dxa"/>
              <w:bottom w:w="95" w:type="dxa"/>
              <w:left w:w="130" w:type="dxa"/>
              <w:right w:w="130" w:type="dxa"/>
            </w:tcMar>
          </w:tcPr>
          <w:p>
            <w:pPr>
              <w:spacing w:before="0" w:after="0"/>
            </w:pPr>
            <w:r>
              <w:rPr>
                <w:rFonts w:ascii="Calibri" w:hAnsi="Calibri"/>
                <w:color w:val="2D3237"/>
                <w:sz w:val="17"/>
              </w:rPr>
              <w:t>Zone 0: Sovereign Supercompute</w:t>
            </w:r>
          </w:p>
        </w:tc>
        <w:tc>
          <w:tcPr>
            <w:tcW w:type="dxa" w:w="2592"/>
            <w:shd w:fill="F7F9FB"/>
            <w:tcMar>
              <w:top w:w="95" w:type="dxa"/>
              <w:bottom w:w="95" w:type="dxa"/>
              <w:left w:w="130" w:type="dxa"/>
              <w:right w:w="130" w:type="dxa"/>
            </w:tcMar>
          </w:tcPr>
          <w:p>
            <w:pPr>
              <w:spacing w:before="0" w:after="0"/>
            </w:pPr>
            <w:r>
              <w:rPr>
                <w:rFonts w:ascii="Calibri" w:hAnsi="Calibri"/>
                <w:color w:val="2D3237"/>
                <w:sz w:val="17"/>
              </w:rPr>
              <w:t>Condor Galaxy HPC nodes, raw AI training clusters, InfiniBand fabric.</w:t>
            </w:r>
          </w:p>
        </w:tc>
        <w:tc>
          <w:tcPr>
            <w:tcW w:type="dxa" w:w="2304"/>
            <w:shd w:fill="F7F9FB"/>
            <w:tcMar>
              <w:top w:w="95" w:type="dxa"/>
              <w:bottom w:w="95" w:type="dxa"/>
              <w:left w:w="130" w:type="dxa"/>
              <w:right w:w="130" w:type="dxa"/>
            </w:tcMar>
          </w:tcPr>
          <w:p>
            <w:pPr>
              <w:spacing w:before="0" w:after="0"/>
            </w:pPr>
            <w:r>
              <w:rPr>
                <w:rFonts w:ascii="Calibri" w:hAnsi="Calibri"/>
                <w:color w:val="2D3237"/>
                <w:sz w:val="17"/>
              </w:rPr>
              <w:t>Strict mTLS only from authorized orchestrator; zero direct internet access.</w:t>
            </w:r>
          </w:p>
        </w:tc>
        <w:tc>
          <w:tcPr>
            <w:tcW w:type="dxa" w:w="2117"/>
            <w:shd w:fill="F7F9FB"/>
            <w:tcMar>
              <w:top w:w="95" w:type="dxa"/>
              <w:bottom w:w="95" w:type="dxa"/>
              <w:left w:w="130" w:type="dxa"/>
              <w:right w:w="130" w:type="dxa"/>
            </w:tcMar>
          </w:tcPr>
          <w:p>
            <w:pPr>
              <w:spacing w:before="0" w:after="0"/>
            </w:pPr>
            <w:r>
              <w:rPr>
                <w:rFonts w:ascii="Calibri" w:hAnsi="Calibri"/>
                <w:color w:val="2D3237"/>
                <w:sz w:val="17"/>
              </w:rPr>
              <w:t>Air-gapped; zero internet egress; internal repository proxy only.</w:t>
            </w:r>
          </w:p>
        </w:tc>
      </w:tr>
      <w:tr>
        <w:tc>
          <w:tcPr>
            <w:tcW w:type="dxa" w:w="2016"/>
            <w:shd w:fill="FFFFFF"/>
            <w:tcMar>
              <w:top w:w="95" w:type="dxa"/>
              <w:bottom w:w="95" w:type="dxa"/>
              <w:left w:w="130" w:type="dxa"/>
              <w:right w:w="130" w:type="dxa"/>
            </w:tcMar>
          </w:tcPr>
          <w:p>
            <w:pPr>
              <w:spacing w:before="0" w:after="0"/>
            </w:pPr>
            <w:r>
              <w:rPr>
                <w:rFonts w:ascii="Calibri" w:hAnsi="Calibri"/>
                <w:color w:val="2D3237"/>
                <w:sz w:val="17"/>
              </w:rPr>
              <w:t>Zone 1: Production Core</w:t>
            </w:r>
          </w:p>
        </w:tc>
        <w:tc>
          <w:tcPr>
            <w:tcW w:type="dxa" w:w="2592"/>
            <w:shd w:fill="FFFFFF"/>
            <w:tcMar>
              <w:top w:w="95" w:type="dxa"/>
              <w:bottom w:w="95" w:type="dxa"/>
              <w:left w:w="130" w:type="dxa"/>
              <w:right w:w="130" w:type="dxa"/>
            </w:tcMar>
          </w:tcPr>
          <w:p>
            <w:pPr>
              <w:spacing w:before="0" w:after="0"/>
            </w:pPr>
            <w:r>
              <w:rPr>
                <w:rFonts w:ascii="Calibri" w:hAnsi="Calibri"/>
                <w:color w:val="2D3237"/>
                <w:sz w:val="17"/>
              </w:rPr>
              <w:t>Enterprise production databases, ERP backbones, Level 4 Sovereign data storage.</w:t>
            </w:r>
          </w:p>
        </w:tc>
        <w:tc>
          <w:tcPr>
            <w:tcW w:type="dxa" w:w="2304"/>
            <w:shd w:fill="FFFFFF"/>
            <w:tcMar>
              <w:top w:w="95" w:type="dxa"/>
              <w:bottom w:w="95" w:type="dxa"/>
              <w:left w:w="130" w:type="dxa"/>
              <w:right w:w="130" w:type="dxa"/>
            </w:tcMar>
          </w:tcPr>
          <w:p>
            <w:pPr>
              <w:spacing w:before="0" w:after="0"/>
            </w:pPr>
            <w:r>
              <w:rPr>
                <w:rFonts w:ascii="Calibri" w:hAnsi="Calibri"/>
                <w:color w:val="2D3237"/>
                <w:sz w:val="17"/>
              </w:rPr>
              <w:t>Deny all by default; JIT-authorized bastion proxies with MFA only.</w:t>
            </w:r>
          </w:p>
        </w:tc>
        <w:tc>
          <w:tcPr>
            <w:tcW w:type="dxa" w:w="2117"/>
            <w:shd w:fill="FFFFFF"/>
            <w:tcMar>
              <w:top w:w="95" w:type="dxa"/>
              <w:bottom w:w="95" w:type="dxa"/>
              <w:left w:w="130" w:type="dxa"/>
              <w:right w:w="130" w:type="dxa"/>
            </w:tcMar>
          </w:tcPr>
          <w:p>
            <w:pPr>
              <w:spacing w:before="0" w:after="0"/>
            </w:pPr>
            <w:r>
              <w:rPr>
                <w:rFonts w:ascii="Calibri" w:hAnsi="Calibri"/>
                <w:color w:val="2D3237"/>
                <w:sz w:val="17"/>
              </w:rPr>
              <w:t>Strictly limited to whitelisted secure API endpoints.</w:t>
            </w:r>
          </w:p>
        </w:tc>
      </w:tr>
      <w:tr>
        <w:tc>
          <w:tcPr>
            <w:tcW w:type="dxa" w:w="2016"/>
            <w:shd w:fill="F7F9FB"/>
            <w:tcMar>
              <w:top w:w="95" w:type="dxa"/>
              <w:bottom w:w="95" w:type="dxa"/>
              <w:left w:w="130" w:type="dxa"/>
              <w:right w:w="130" w:type="dxa"/>
            </w:tcMar>
          </w:tcPr>
          <w:p>
            <w:pPr>
              <w:spacing w:before="0" w:after="0"/>
            </w:pPr>
            <w:r>
              <w:rPr>
                <w:rFonts w:ascii="Calibri" w:hAnsi="Calibri"/>
                <w:color w:val="2D3237"/>
                <w:sz w:val="17"/>
              </w:rPr>
              <w:t>Zone 2: Application Tier</w:t>
            </w:r>
          </w:p>
        </w:tc>
        <w:tc>
          <w:tcPr>
            <w:tcW w:type="dxa" w:w="2592"/>
            <w:shd w:fill="F7F9FB"/>
            <w:tcMar>
              <w:top w:w="95" w:type="dxa"/>
              <w:bottom w:w="95" w:type="dxa"/>
              <w:left w:w="130" w:type="dxa"/>
              <w:right w:w="130" w:type="dxa"/>
            </w:tcMar>
          </w:tcPr>
          <w:p>
            <w:pPr>
              <w:spacing w:before="0" w:after="0"/>
            </w:pPr>
            <w:r>
              <w:rPr>
                <w:rFonts w:ascii="Calibri" w:hAnsi="Calibri"/>
                <w:color w:val="2D3237"/>
                <w:sz w:val="17"/>
              </w:rPr>
              <w:t>Customer-facing APIs, web applications, inference microservices.</w:t>
            </w:r>
          </w:p>
        </w:tc>
        <w:tc>
          <w:tcPr>
            <w:tcW w:type="dxa" w:w="2304"/>
            <w:shd w:fill="F7F9FB"/>
            <w:tcMar>
              <w:top w:w="95" w:type="dxa"/>
              <w:bottom w:w="95" w:type="dxa"/>
              <w:left w:w="130" w:type="dxa"/>
              <w:right w:w="130" w:type="dxa"/>
            </w:tcMar>
          </w:tcPr>
          <w:p>
            <w:pPr>
              <w:spacing w:before="0" w:after="0"/>
            </w:pPr>
            <w:r>
              <w:rPr>
                <w:rFonts w:ascii="Calibri" w:hAnsi="Calibri"/>
                <w:color w:val="2D3237"/>
                <w:sz w:val="17"/>
              </w:rPr>
              <w:t>TLS 1.3 from Web Application Firewall (WAF); Rate-limited.</w:t>
            </w:r>
          </w:p>
        </w:tc>
        <w:tc>
          <w:tcPr>
            <w:tcW w:type="dxa" w:w="2117"/>
            <w:shd w:fill="F7F9FB"/>
            <w:tcMar>
              <w:top w:w="95" w:type="dxa"/>
              <w:bottom w:w="95" w:type="dxa"/>
              <w:left w:w="130" w:type="dxa"/>
              <w:right w:w="130" w:type="dxa"/>
            </w:tcMar>
          </w:tcPr>
          <w:p>
            <w:pPr>
              <w:spacing w:before="0" w:after="0"/>
            </w:pPr>
            <w:r>
              <w:rPr>
                <w:rFonts w:ascii="Calibri" w:hAnsi="Calibri"/>
                <w:color w:val="2D3237"/>
                <w:sz w:val="17"/>
              </w:rPr>
              <w:t>Egress inspected via Next-Gen Firewall with deep packet inspection.</w:t>
            </w:r>
          </w:p>
        </w:tc>
      </w:tr>
      <w:tr>
        <w:tc>
          <w:tcPr>
            <w:tcW w:type="dxa" w:w="2016"/>
            <w:shd w:fill="FFFFFF"/>
            <w:tcMar>
              <w:top w:w="95" w:type="dxa"/>
              <w:bottom w:w="95" w:type="dxa"/>
              <w:left w:w="130" w:type="dxa"/>
              <w:right w:w="130" w:type="dxa"/>
            </w:tcMar>
          </w:tcPr>
          <w:p>
            <w:pPr>
              <w:spacing w:before="0" w:after="0"/>
            </w:pPr>
            <w:r>
              <w:rPr>
                <w:rFonts w:ascii="Calibri" w:hAnsi="Calibri"/>
                <w:color w:val="2D3237"/>
                <w:sz w:val="17"/>
              </w:rPr>
              <w:t>Zone 3: Corporate &amp; Workforce</w:t>
            </w:r>
          </w:p>
        </w:tc>
        <w:tc>
          <w:tcPr>
            <w:tcW w:type="dxa" w:w="2592"/>
            <w:shd w:fill="FFFFFF"/>
            <w:tcMar>
              <w:top w:w="95" w:type="dxa"/>
              <w:bottom w:w="95" w:type="dxa"/>
              <w:left w:w="130" w:type="dxa"/>
              <w:right w:w="130" w:type="dxa"/>
            </w:tcMar>
          </w:tcPr>
          <w:p>
            <w:pPr>
              <w:spacing w:before="0" w:after="0"/>
            </w:pPr>
            <w:r>
              <w:rPr>
                <w:rFonts w:ascii="Calibri" w:hAnsi="Calibri"/>
                <w:color w:val="2D3237"/>
                <w:sz w:val="17"/>
              </w:rPr>
              <w:t>Employee workstations, MDM endpoints, corporate SaaS platforms.</w:t>
            </w:r>
          </w:p>
        </w:tc>
        <w:tc>
          <w:tcPr>
            <w:tcW w:type="dxa" w:w="2304"/>
            <w:shd w:fill="FFFFFF"/>
            <w:tcMar>
              <w:top w:w="95" w:type="dxa"/>
              <w:bottom w:w="95" w:type="dxa"/>
              <w:left w:w="130" w:type="dxa"/>
              <w:right w:w="130" w:type="dxa"/>
            </w:tcMar>
          </w:tcPr>
          <w:p>
            <w:pPr>
              <w:spacing w:before="0" w:after="0"/>
            </w:pPr>
            <w:r>
              <w:rPr>
                <w:rFonts w:ascii="Calibri" w:hAnsi="Calibri"/>
                <w:color w:val="2D3237"/>
                <w:sz w:val="17"/>
              </w:rPr>
              <w:t>ZTNA app-level micro-tunnels; zero direct incoming connections.</w:t>
            </w:r>
          </w:p>
        </w:tc>
        <w:tc>
          <w:tcPr>
            <w:tcW w:type="dxa" w:w="2117"/>
            <w:shd w:fill="FFFFFF"/>
            <w:tcMar>
              <w:top w:w="95" w:type="dxa"/>
              <w:bottom w:w="95" w:type="dxa"/>
              <w:left w:w="130" w:type="dxa"/>
              <w:right w:w="130" w:type="dxa"/>
            </w:tcMar>
          </w:tcPr>
          <w:p>
            <w:pPr>
              <w:spacing w:before="0" w:after="0"/>
            </w:pPr>
            <w:r>
              <w:rPr>
                <w:rFonts w:ascii="Calibri" w:hAnsi="Calibri"/>
                <w:color w:val="2D3237"/>
                <w:sz w:val="17"/>
              </w:rPr>
              <w:t>Full TLS interception, Cloud DLP scanning, and DNS sinkholing.</w:t>
            </w:r>
          </w:p>
        </w:tc>
      </w:tr>
    </w:tbl>
    <w:p>
      <w:pPr>
        <w:spacing w:before="0" w:after="80"/>
      </w:pPr>
    </w:p>
    <w:p>
      <w:r>
        <w:br w:type="page"/>
      </w:r>
    </w:p>
    <w:p>
      <w:pPr>
        <w:keepNext/>
        <w:spacing w:before="400" w:after="120"/>
      </w:pPr>
      <w:r>
        <w:rPr>
          <w:rFonts w:ascii="Calibri" w:hAnsi="Calibri"/>
          <w:b/>
          <w:color w:val="0B2545"/>
          <w:sz w:val="30"/>
        </w:rPr>
        <w:t>SECTION 7: ENDPOINT SECURITY, MDM &amp; HOST ISOLATION STANDARDS</w:t>
      </w:r>
    </w:p>
    <w:p>
      <w:pPr>
        <w:keepNext/>
        <w:spacing w:before="280" w:after="80"/>
      </w:pPr>
      <w:r>
        <w:rPr>
          <w:rFonts w:ascii="Calibri" w:hAnsi="Calibri"/>
          <w:b/>
          <w:color w:val="136F63"/>
          <w:sz w:val="24"/>
        </w:rPr>
        <w:t>7.1 Enterprise Managed Device Mandate (Zero BYOD for Core Systems)</w:t>
      </w:r>
    </w:p>
    <w:p>
      <w:pPr>
        <w:spacing w:before="0" w:after="120" w:line="276" w:lineRule="auto"/>
      </w:pPr>
      <w:r>
        <w:rPr>
          <w:rFonts w:ascii="Calibri" w:hAnsi="Calibri"/>
          <w:color w:val="2D3237"/>
          <w:sz w:val="20"/>
        </w:rPr>
        <w:t>Clause 7.1.1 — Access to G42 internal systems, source code repositories, production databases, Slack workspaces, corporate email, and cloud environments is strictly restricted to G42-owned, enterprise-managed endpoints. Connecting non-managed personal laptops, tablets, or unverified mobile devices (BYOD) to corporate networks or cloud assets is strictly prohibited.</w:t>
      </w:r>
    </w:p>
    <w:p>
      <w:pPr>
        <w:spacing w:before="0" w:after="120" w:line="276" w:lineRule="auto"/>
      </w:pPr>
      <w:r>
        <w:rPr>
          <w:rFonts w:ascii="Calibri" w:hAnsi="Calibri"/>
          <w:color w:val="2D3237"/>
          <w:sz w:val="20"/>
        </w:rPr>
        <w:t>Clause 7.1.2 — All corporate laptops (macOS, Windows, Linux) must be enrolled in the Enterprise Mobile Device Management (MDM) platform (Microsoft Intune / Jamf Pro) prior to physical or logical distribution to personnel. Endpoint compliance policies are evaluated continuously; non-compliant devices are automatically quarantined from corporate resources.</w:t>
      </w:r>
    </w:p>
    <w:p>
      <w:pPr>
        <w:keepNext/>
        <w:spacing w:before="280" w:after="80"/>
      </w:pPr>
      <w:r>
        <w:rPr>
          <w:rFonts w:ascii="Calibri" w:hAnsi="Calibri"/>
          <w:b/>
          <w:color w:val="136F63"/>
          <w:sz w:val="24"/>
        </w:rPr>
        <w:t>7.2 Endpoint Detection &amp; Response (EDR/XDR) Standards</w:t>
      </w:r>
    </w:p>
    <w:p>
      <w:pPr>
        <w:spacing w:before="0" w:after="120" w:line="276" w:lineRule="auto"/>
      </w:pPr>
      <w:r>
        <w:rPr>
          <w:rFonts w:ascii="Calibri" w:hAnsi="Calibri"/>
          <w:color w:val="2D3237"/>
          <w:sz w:val="20"/>
        </w:rPr>
        <w:t>Clause 7.2.1 — All enterprise endpoints, physical servers, virtual machines, and cloud compute instances must maintain an active, un-tampered installation of the Group EDR sensor (CrowdStrike Falcon / Microsoft Defender for Endpoint).</w:t>
      </w:r>
    </w:p>
    <w:p>
      <w:pPr>
        <w:pStyle w:val="ListBullet"/>
        <w:spacing w:before="0" w:after="60" w:line="276" w:lineRule="auto"/>
      </w:pPr>
      <w:r>
        <w:rPr>
          <w:rFonts w:ascii="Calibri" w:hAnsi="Calibri"/>
          <w:b/>
          <w:color w:val="2D3237"/>
          <w:sz w:val="20"/>
        </w:rPr>
        <w:t xml:space="preserve">Real-Time Behavioral Blocking: </w:t>
      </w:r>
      <w:r>
        <w:rPr>
          <w:rFonts w:ascii="Calibri" w:hAnsi="Calibri"/>
          <w:color w:val="2D3237"/>
          <w:sz w:val="20"/>
        </w:rPr>
        <w:t>EDR sensors must operate with real-time behavioral blocking, kernel-level memory monitoring, script-control enforcement, and automated host isolation capabilities.</w:t>
      </w:r>
    </w:p>
    <w:p>
      <w:pPr>
        <w:pStyle w:val="ListBullet"/>
        <w:spacing w:before="0" w:after="60" w:line="276" w:lineRule="auto"/>
      </w:pPr>
      <w:r>
        <w:rPr>
          <w:rFonts w:ascii="Calibri" w:hAnsi="Calibri"/>
          <w:b/>
          <w:color w:val="2D3237"/>
          <w:sz w:val="20"/>
        </w:rPr>
        <w:t xml:space="preserve">Tamper-Proof Agent Architecture: </w:t>
      </w:r>
      <w:r>
        <w:rPr>
          <w:rFonts w:ascii="Calibri" w:hAnsi="Calibri"/>
          <w:color w:val="2D3237"/>
          <w:sz w:val="20"/>
        </w:rPr>
        <w:t>Users, including local system administrators, are cryptographically prevented from disabling, pausing, uninstalling, or modifying EDR services through tamper-protection locks.</w:t>
      </w:r>
    </w:p>
    <w:p>
      <w:pPr>
        <w:pStyle w:val="ListBullet"/>
        <w:spacing w:before="0" w:after="60" w:line="276" w:lineRule="auto"/>
      </w:pPr>
      <w:r>
        <w:rPr>
          <w:rFonts w:ascii="Calibri" w:hAnsi="Calibri"/>
          <w:b/>
          <w:color w:val="2D3237"/>
          <w:sz w:val="20"/>
        </w:rPr>
        <w:t xml:space="preserve">Automated Network Host Isolation: </w:t>
      </w:r>
      <w:r>
        <w:rPr>
          <w:rFonts w:ascii="Calibri" w:hAnsi="Calibri"/>
          <w:color w:val="2D3237"/>
          <w:sz w:val="20"/>
        </w:rPr>
        <w:t>Upon detection of high-confidence ransomware behavior or lateral movement attempts, the EDR platform is programmed to automatically isolate the host from the network within 15 seconds.</w:t>
      </w:r>
    </w:p>
    <w:p>
      <w:pPr>
        <w:keepNext/>
        <w:spacing w:before="200" w:after="40"/>
      </w:pPr>
      <w:r>
        <w:rPr>
          <w:rFonts w:ascii="Calibri" w:hAnsi="Calibri"/>
          <w:b/>
          <w:color w:val="0B2545"/>
          <w:sz w:val="21"/>
        </w:rPr>
        <w:t>7.3 Full-Disk Encryption &amp; Hardware Peripheral Controls</w:t>
      </w:r>
    </w:p>
    <w:p>
      <w:pPr>
        <w:spacing w:before="0" w:after="120" w:line="276" w:lineRule="auto"/>
      </w:pPr>
      <w:r>
        <w:rPr>
          <w:rFonts w:ascii="Calibri" w:hAnsi="Calibri"/>
          <w:color w:val="2D3237"/>
          <w:sz w:val="20"/>
        </w:rPr>
        <w:t>Clause 7.3.1 — All laptop hard drives and mobile devices must enforce hardware-backed Full-Disk Encryption (BitLocker with TPM 2.0 on Windows; FileVault with Secure Enclave on macOS; LUKS with TPM on Linux) utilizing AES-256 encryption. Recovery keys must be automatically escrowed in Azure AD Key Vault.</w:t>
      </w:r>
    </w:p>
    <w:p>
      <w:pPr>
        <w:spacing w:before="0" w:after="120" w:line="276" w:lineRule="auto"/>
      </w:pPr>
      <w:r>
        <w:rPr>
          <w:rFonts w:ascii="Calibri" w:hAnsi="Calibri"/>
          <w:color w:val="2D3237"/>
          <w:sz w:val="20"/>
        </w:rPr>
        <w:t>Clause 7.3.2 — Peripheral USB mass storage devices (flash drives, external hard disks) are blocked by default via MDM device control policies. Authorized read/write USB access requires temporary, ticketed CISO approval and enforces mandatory hardware encryption on the storage media.</w:t>
      </w:r>
    </w:p>
    <w:p>
      <w:r>
        <w:br w:type="page"/>
      </w:r>
    </w:p>
    <w:p>
      <w:pPr>
        <w:keepNext/>
        <w:spacing w:before="400" w:after="120"/>
      </w:pPr>
      <w:r>
        <w:rPr>
          <w:rFonts w:ascii="Calibri" w:hAnsi="Calibri"/>
          <w:b/>
          <w:color w:val="0B2545"/>
          <w:sz w:val="30"/>
        </w:rPr>
        <w:t>SECTION 8: CLOUD SECURITY, SOVEREIGN INFRASTRUCTURE &amp; CONTAINERS</w:t>
      </w:r>
    </w:p>
    <w:p>
      <w:pPr>
        <w:keepNext/>
        <w:spacing w:before="280" w:after="80"/>
      </w:pPr>
      <w:r>
        <w:rPr>
          <w:rFonts w:ascii="Calibri" w:hAnsi="Calibri"/>
          <w:b/>
          <w:color w:val="136F63"/>
          <w:sz w:val="24"/>
        </w:rPr>
        <w:t>8.1 Cloud Security Posture Management (CSPM) &amp; CIEM</w:t>
      </w:r>
    </w:p>
    <w:p>
      <w:pPr>
        <w:spacing w:before="0" w:after="120" w:line="276" w:lineRule="auto"/>
      </w:pPr>
      <w:r>
        <w:rPr>
          <w:rFonts w:ascii="Calibri" w:hAnsi="Calibri"/>
          <w:color w:val="2D3237"/>
          <w:sz w:val="20"/>
        </w:rPr>
        <w:t>Clause 8.1.1 — All public, private, and sovereign cloud tenancies across Microsoft Azure, AWS, Google Cloud Platform, and Core42 Sovereign Fabric must be integrated into the Group Cloud Security Posture Management (CSPM) platform (Wiz / Microsoft Defender for Cloud).</w:t>
      </w:r>
    </w:p>
    <w:p>
      <w:pPr>
        <w:spacing w:before="0" w:after="120" w:line="276" w:lineRule="auto"/>
      </w:pPr>
      <w:r>
        <w:rPr>
          <w:rFonts w:ascii="Calibri" w:hAnsi="Calibri"/>
          <w:color w:val="2D3237"/>
          <w:sz w:val="20"/>
        </w:rPr>
        <w:t>Clause 8.1.2 — Cloud environments must enforce automated guardrails through Infrastructure-as-Code (Terraform / Bicep / CloudFormation) linters. Public S3/Blob storage buckets, unencrypted database snapshots, unrestricted 0.0.0.0/0 security group ingress rules, and standing IAM root credentials are automatically remediated and terminated by CSPM bots within 120 seconds of creation.</w:t>
      </w:r>
    </w:p>
    <w:p>
      <w:pPr>
        <w:keepNext/>
        <w:spacing w:before="280" w:after="80"/>
      </w:pPr>
      <w:r>
        <w:rPr>
          <w:rFonts w:ascii="Calibri" w:hAnsi="Calibri"/>
          <w:b/>
          <w:color w:val="136F63"/>
          <w:sz w:val="24"/>
        </w:rPr>
        <w:t>8.2 Kubernetes &amp; Container Security Standards</w:t>
      </w:r>
    </w:p>
    <w:p>
      <w:pPr>
        <w:spacing w:before="0" w:after="120" w:line="276" w:lineRule="auto"/>
      </w:pPr>
      <w:r>
        <w:rPr>
          <w:rFonts w:ascii="Calibri" w:hAnsi="Calibri"/>
          <w:color w:val="2D3237"/>
          <w:sz w:val="20"/>
        </w:rPr>
        <w:t>Clause 8.2.1 — All containerized applications, microservices, and AI training runtimes hosted across enterprise Kubernetes clusters must adhere to strict container hardening baselines:</w:t>
      </w:r>
    </w:p>
    <w:p>
      <w:pPr>
        <w:pStyle w:val="ListBullet"/>
        <w:spacing w:before="0" w:after="60" w:line="276" w:lineRule="auto"/>
      </w:pPr>
      <w:r>
        <w:rPr>
          <w:rFonts w:ascii="Calibri" w:hAnsi="Calibri"/>
          <w:b/>
          <w:color w:val="2D3237"/>
          <w:sz w:val="20"/>
        </w:rPr>
        <w:t xml:space="preserve">Non-Root Container Execution: </w:t>
      </w:r>
      <w:r>
        <w:rPr>
          <w:rFonts w:ascii="Calibri" w:hAnsi="Calibri"/>
          <w:color w:val="2D3237"/>
          <w:sz w:val="20"/>
        </w:rPr>
        <w:t>Containers must NEVER execute as the root user. All container manifests must enforce 'runAsNonRoot: true', 'readOnlyRootFilesystem: true', and drop all unnecessary Linux capabilities.</w:t>
      </w:r>
    </w:p>
    <w:p>
      <w:pPr>
        <w:pStyle w:val="ListBullet"/>
        <w:spacing w:before="0" w:after="60" w:line="276" w:lineRule="auto"/>
      </w:pPr>
      <w:r>
        <w:rPr>
          <w:rFonts w:ascii="Calibri" w:hAnsi="Calibri"/>
          <w:b/>
          <w:color w:val="2D3237"/>
          <w:sz w:val="20"/>
        </w:rPr>
        <w:t xml:space="preserve">Hardened Golden Images: </w:t>
      </w:r>
      <w:r>
        <w:rPr>
          <w:rFonts w:ascii="Calibri" w:hAnsi="Calibri"/>
          <w:color w:val="2D3237"/>
          <w:sz w:val="20"/>
        </w:rPr>
        <w:t>Base container images must be sourced exclusively from the hardened, scanned G42 Secure Container Registry. Public Docker Hub images are blocked at the ingress gateway.</w:t>
      </w:r>
    </w:p>
    <w:p>
      <w:pPr>
        <w:pStyle w:val="ListBullet"/>
        <w:spacing w:before="0" w:after="60" w:line="276" w:lineRule="auto"/>
      </w:pPr>
      <w:r>
        <w:rPr>
          <w:rFonts w:ascii="Calibri" w:hAnsi="Calibri"/>
          <w:b/>
          <w:color w:val="2D3237"/>
          <w:sz w:val="20"/>
        </w:rPr>
        <w:t xml:space="preserve">eBPF Runtime Defense &amp; OPA Policies: </w:t>
      </w:r>
      <w:r>
        <w:rPr>
          <w:rFonts w:ascii="Calibri" w:hAnsi="Calibri"/>
          <w:color w:val="2D3237"/>
          <w:sz w:val="20"/>
        </w:rPr>
        <w:t>Kubernetes clusters must enforce dynamic admission controllers (Kyverno / OPA Gatekeeper) and eBPF-based runtime security (TETRAGON / Cilium) to block unapproved syscalls.</w:t>
      </w:r>
    </w:p>
    <w:p>
      <w:pPr>
        <w:keepNext/>
        <w:spacing w:before="200" w:after="40"/>
      </w:pPr>
      <w:r>
        <w:rPr>
          <w:rFonts w:ascii="Calibri" w:hAnsi="Calibri"/>
          <w:b/>
          <w:color w:val="0B2545"/>
          <w:sz w:val="21"/>
        </w:rPr>
        <w:t>8.3 Sovereign AI Cloud &amp; Air-Gapped Enclaves</w:t>
      </w:r>
    </w:p>
    <w:p>
      <w:pPr>
        <w:spacing w:before="0" w:after="120" w:line="276" w:lineRule="auto"/>
      </w:pPr>
      <w:r>
        <w:rPr>
          <w:rFonts w:ascii="Calibri" w:hAnsi="Calibri"/>
          <w:color w:val="2D3237"/>
          <w:sz w:val="20"/>
        </w:rPr>
        <w:t>Clause 8.3.1 — Workloads involving Level 4 Sovereign Data, classified government models, or national genomic repositories must be deployed within physically isolated, air-gapped sovereign cloud regions operated by Core42. These sovereign enclaves maintain independent identity providers, zero internet ingress/egress routes, and dedicated cryptographic HSM hardware.</w:t>
      </w:r>
    </w:p>
    <w:tbl>
      <w:tblPr>
        <w:tblW w:type="auto" w:w="0"/>
        <w:jc w:val="center"/>
        <w:tblLayout w:type="fixed"/>
        <w:tblLook w:firstColumn="1" w:firstRow="1" w:lastColumn="0" w:lastRow="0" w:noHBand="0" w:noVBand="1" w:val="04A0"/>
      </w:tblPr>
      <w:tblGrid>
        <w:gridCol w:w="2016"/>
        <w:gridCol w:w="3312"/>
        <w:gridCol w:w="2160"/>
        <w:gridCol w:w="1541"/>
      </w:tblGrid>
      <w:tr>
        <w:tc>
          <w:tcPr>
            <w:tcW w:type="dxa" w:w="2016"/>
            <w:shd w:fill="0B2545"/>
            <w:tcMar>
              <w:top w:w="120" w:type="dxa"/>
              <w:bottom w:w="120" w:type="dxa"/>
              <w:left w:w="130" w:type="dxa"/>
              <w:right w:w="130" w:type="dxa"/>
            </w:tcMar>
          </w:tcPr>
          <w:p>
            <w:pPr>
              <w:spacing w:before="0" w:after="0"/>
              <w:jc w:val="left"/>
            </w:pPr>
            <w:r>
              <w:rPr>
                <w:rFonts w:ascii="Calibri" w:hAnsi="Calibri"/>
                <w:b/>
                <w:color w:val="FFFFFF"/>
                <w:sz w:val="18"/>
              </w:rPr>
              <w:t>Infrastructure Layer</w:t>
            </w:r>
          </w:p>
        </w:tc>
        <w:tc>
          <w:tcPr>
            <w:tcW w:type="dxa" w:w="3312"/>
            <w:shd w:fill="0B2545"/>
            <w:tcMar>
              <w:top w:w="120" w:type="dxa"/>
              <w:bottom w:w="120" w:type="dxa"/>
              <w:left w:w="130" w:type="dxa"/>
              <w:right w:w="130" w:type="dxa"/>
            </w:tcMar>
          </w:tcPr>
          <w:p>
            <w:pPr>
              <w:spacing w:before="0" w:after="0"/>
              <w:jc w:val="left"/>
            </w:pPr>
            <w:r>
              <w:rPr>
                <w:rFonts w:ascii="Calibri" w:hAnsi="Calibri"/>
                <w:b/>
                <w:color w:val="FFFFFF"/>
                <w:sz w:val="18"/>
              </w:rPr>
              <w:t>Mandatory Security Control</w:t>
            </w:r>
          </w:p>
        </w:tc>
        <w:tc>
          <w:tcPr>
            <w:tcW w:type="dxa" w:w="2160"/>
            <w:shd w:fill="0B2545"/>
            <w:tcMar>
              <w:top w:w="120" w:type="dxa"/>
              <w:bottom w:w="120" w:type="dxa"/>
              <w:left w:w="130" w:type="dxa"/>
              <w:right w:w="130" w:type="dxa"/>
            </w:tcMar>
          </w:tcPr>
          <w:p>
            <w:pPr>
              <w:spacing w:before="0" w:after="0"/>
              <w:jc w:val="left"/>
            </w:pPr>
            <w:r>
              <w:rPr>
                <w:rFonts w:ascii="Calibri" w:hAnsi="Calibri"/>
                <w:b/>
                <w:color w:val="FFFFFF"/>
                <w:sz w:val="18"/>
              </w:rPr>
              <w:t>Tooling Architecture</w:t>
            </w:r>
          </w:p>
        </w:tc>
        <w:tc>
          <w:tcPr>
            <w:tcW w:type="dxa" w:w="1541"/>
            <w:shd w:fill="0B2545"/>
            <w:tcMar>
              <w:top w:w="120" w:type="dxa"/>
              <w:bottom w:w="120" w:type="dxa"/>
              <w:left w:w="130" w:type="dxa"/>
              <w:right w:w="130" w:type="dxa"/>
            </w:tcMar>
          </w:tcPr>
          <w:p>
            <w:pPr>
              <w:spacing w:before="0" w:after="0"/>
              <w:jc w:val="left"/>
            </w:pPr>
            <w:r>
              <w:rPr>
                <w:rFonts w:ascii="Calibri" w:hAnsi="Calibri"/>
                <w:b/>
                <w:color w:val="FFFFFF"/>
                <w:sz w:val="18"/>
              </w:rPr>
              <w:t>Review SLA</w:t>
            </w:r>
          </w:p>
        </w:tc>
      </w:tr>
      <w:tr>
        <w:tc>
          <w:tcPr>
            <w:tcW w:type="dxa" w:w="2016"/>
            <w:shd w:fill="FFFFFF"/>
            <w:tcMar>
              <w:top w:w="95" w:type="dxa"/>
              <w:bottom w:w="95" w:type="dxa"/>
              <w:left w:w="130" w:type="dxa"/>
              <w:right w:w="130" w:type="dxa"/>
            </w:tcMar>
          </w:tcPr>
          <w:p>
            <w:pPr>
              <w:spacing w:before="0" w:after="0"/>
            </w:pPr>
            <w:r>
              <w:rPr>
                <w:rFonts w:ascii="Calibri" w:hAnsi="Calibri"/>
                <w:color w:val="2D3237"/>
                <w:sz w:val="17"/>
              </w:rPr>
              <w:t>Cloud Layer</w:t>
            </w:r>
          </w:p>
        </w:tc>
        <w:tc>
          <w:tcPr>
            <w:tcW w:type="dxa" w:w="3312"/>
            <w:shd w:fill="FFFFFF"/>
            <w:tcMar>
              <w:top w:w="95" w:type="dxa"/>
              <w:bottom w:w="95" w:type="dxa"/>
              <w:left w:w="130" w:type="dxa"/>
              <w:right w:w="130" w:type="dxa"/>
            </w:tcMar>
          </w:tcPr>
          <w:p>
            <w:pPr>
              <w:spacing w:before="0" w:after="0"/>
            </w:pPr>
            <w:r>
              <w:rPr>
                <w:rFonts w:ascii="Calibri" w:hAnsi="Calibri"/>
                <w:color w:val="2D3237"/>
                <w:sz w:val="17"/>
              </w:rPr>
              <w:t>Primary Security Control</w:t>
            </w:r>
          </w:p>
        </w:tc>
        <w:tc>
          <w:tcPr>
            <w:tcW w:type="dxa" w:w="2160"/>
            <w:shd w:fill="FFFFFF"/>
            <w:tcMar>
              <w:top w:w="95" w:type="dxa"/>
              <w:bottom w:w="95" w:type="dxa"/>
              <w:left w:w="130" w:type="dxa"/>
              <w:right w:w="130" w:type="dxa"/>
            </w:tcMar>
          </w:tcPr>
          <w:p>
            <w:pPr>
              <w:spacing w:before="0" w:after="0"/>
            </w:pPr>
            <w:r>
              <w:rPr>
                <w:rFonts w:ascii="Calibri" w:hAnsi="Calibri"/>
                <w:color w:val="2D3237"/>
                <w:sz w:val="17"/>
              </w:rPr>
              <w:t>Automated Remediation Tool</w:t>
            </w:r>
          </w:p>
        </w:tc>
        <w:tc>
          <w:tcPr>
            <w:tcW w:type="dxa" w:w="1541"/>
            <w:shd w:fill="FFFFFF"/>
            <w:tcMar>
              <w:top w:w="95" w:type="dxa"/>
              <w:bottom w:w="95" w:type="dxa"/>
              <w:left w:w="130" w:type="dxa"/>
              <w:right w:w="130" w:type="dxa"/>
            </w:tcMar>
          </w:tcPr>
          <w:p>
            <w:pPr>
              <w:spacing w:before="0" w:after="0"/>
            </w:pPr>
            <w:r>
              <w:rPr>
                <w:rFonts w:ascii="Calibri" w:hAnsi="Calibri"/>
                <w:color w:val="2D3237"/>
                <w:sz w:val="17"/>
              </w:rPr>
              <w:t>Verification SLA</w:t>
            </w:r>
          </w:p>
        </w:tc>
      </w:tr>
      <w:tr>
        <w:tc>
          <w:tcPr>
            <w:tcW w:type="dxa" w:w="2016"/>
            <w:shd w:fill="F7F9FB"/>
            <w:tcMar>
              <w:top w:w="95" w:type="dxa"/>
              <w:bottom w:w="95" w:type="dxa"/>
              <w:left w:w="130" w:type="dxa"/>
              <w:right w:w="130" w:type="dxa"/>
            </w:tcMar>
          </w:tcPr>
          <w:p>
            <w:pPr>
              <w:spacing w:before="0" w:after="0"/>
            </w:pPr>
            <w:r>
              <w:rPr>
                <w:rFonts w:ascii="Calibri" w:hAnsi="Calibri"/>
                <w:color w:val="2D3237"/>
                <w:sz w:val="17"/>
              </w:rPr>
              <w:t>IAM &amp; Permissions (CIEM)</w:t>
            </w:r>
          </w:p>
        </w:tc>
        <w:tc>
          <w:tcPr>
            <w:tcW w:type="dxa" w:w="3312"/>
            <w:shd w:fill="F7F9FB"/>
            <w:tcMar>
              <w:top w:w="95" w:type="dxa"/>
              <w:bottom w:w="95" w:type="dxa"/>
              <w:left w:w="130" w:type="dxa"/>
              <w:right w:w="130" w:type="dxa"/>
            </w:tcMar>
          </w:tcPr>
          <w:p>
            <w:pPr>
              <w:spacing w:before="0" w:after="0"/>
            </w:pPr>
            <w:r>
              <w:rPr>
                <w:rFonts w:ascii="Calibri" w:hAnsi="Calibri"/>
                <w:color w:val="2D3237"/>
                <w:sz w:val="17"/>
              </w:rPr>
              <w:t>Zero standing admin privileges; automated pruning of unused IAM roles.</w:t>
            </w:r>
          </w:p>
        </w:tc>
        <w:tc>
          <w:tcPr>
            <w:tcW w:type="dxa" w:w="2160"/>
            <w:shd w:fill="F7F9FB"/>
            <w:tcMar>
              <w:top w:w="95" w:type="dxa"/>
              <w:bottom w:w="95" w:type="dxa"/>
              <w:left w:w="130" w:type="dxa"/>
              <w:right w:w="130" w:type="dxa"/>
            </w:tcMar>
          </w:tcPr>
          <w:p>
            <w:pPr>
              <w:spacing w:before="0" w:after="0"/>
            </w:pPr>
            <w:r>
              <w:rPr>
                <w:rFonts w:ascii="Calibri" w:hAnsi="Calibri"/>
                <w:color w:val="2D3237"/>
                <w:sz w:val="17"/>
              </w:rPr>
              <w:t>Microsoft Entra PIM / Wiz CIEM</w:t>
            </w:r>
          </w:p>
        </w:tc>
        <w:tc>
          <w:tcPr>
            <w:tcW w:type="dxa" w:w="1541"/>
            <w:shd w:fill="F7F9FB"/>
            <w:tcMar>
              <w:top w:w="95" w:type="dxa"/>
              <w:bottom w:w="95" w:type="dxa"/>
              <w:left w:w="130" w:type="dxa"/>
              <w:right w:w="130" w:type="dxa"/>
            </w:tcMar>
          </w:tcPr>
          <w:p>
            <w:pPr>
              <w:spacing w:before="0" w:after="0"/>
            </w:pPr>
            <w:r>
              <w:rPr>
                <w:rFonts w:ascii="Calibri" w:hAnsi="Calibri"/>
                <w:color w:val="2D3237"/>
                <w:sz w:val="17"/>
              </w:rPr>
              <w:t>Continuous (Daily Review)</w:t>
            </w:r>
          </w:p>
        </w:tc>
      </w:tr>
      <w:tr>
        <w:tc>
          <w:tcPr>
            <w:tcW w:type="dxa" w:w="2016"/>
            <w:shd w:fill="FFFFFF"/>
            <w:tcMar>
              <w:top w:w="95" w:type="dxa"/>
              <w:bottom w:w="95" w:type="dxa"/>
              <w:left w:w="130" w:type="dxa"/>
              <w:right w:w="130" w:type="dxa"/>
            </w:tcMar>
          </w:tcPr>
          <w:p>
            <w:pPr>
              <w:spacing w:before="0" w:after="0"/>
            </w:pPr>
            <w:r>
              <w:rPr>
                <w:rFonts w:ascii="Calibri" w:hAnsi="Calibri"/>
                <w:color w:val="2D3237"/>
                <w:sz w:val="17"/>
              </w:rPr>
              <w:t>Infrastructure as Code (IaC)</w:t>
            </w:r>
          </w:p>
        </w:tc>
        <w:tc>
          <w:tcPr>
            <w:tcW w:type="dxa" w:w="3312"/>
            <w:shd w:fill="FFFFFF"/>
            <w:tcMar>
              <w:top w:w="95" w:type="dxa"/>
              <w:bottom w:w="95" w:type="dxa"/>
              <w:left w:w="130" w:type="dxa"/>
              <w:right w:w="130" w:type="dxa"/>
            </w:tcMar>
          </w:tcPr>
          <w:p>
            <w:pPr>
              <w:spacing w:before="0" w:after="0"/>
            </w:pPr>
            <w:r>
              <w:rPr>
                <w:rFonts w:ascii="Calibri" w:hAnsi="Calibri"/>
                <w:color w:val="2D3237"/>
                <w:sz w:val="17"/>
              </w:rPr>
              <w:t>Automated static security analysis of Terraform scripts before merge.</w:t>
            </w:r>
          </w:p>
        </w:tc>
        <w:tc>
          <w:tcPr>
            <w:tcW w:type="dxa" w:w="2160"/>
            <w:shd w:fill="FFFFFF"/>
            <w:tcMar>
              <w:top w:w="95" w:type="dxa"/>
              <w:bottom w:w="95" w:type="dxa"/>
              <w:left w:w="130" w:type="dxa"/>
              <w:right w:w="130" w:type="dxa"/>
            </w:tcMar>
          </w:tcPr>
          <w:p>
            <w:pPr>
              <w:spacing w:before="0" w:after="0"/>
            </w:pPr>
            <w:r>
              <w:rPr>
                <w:rFonts w:ascii="Calibri" w:hAnsi="Calibri"/>
                <w:color w:val="2D3237"/>
                <w:sz w:val="17"/>
              </w:rPr>
              <w:t>Checkov / tfsec in GitHub CI/CD</w:t>
            </w:r>
          </w:p>
        </w:tc>
        <w:tc>
          <w:tcPr>
            <w:tcW w:type="dxa" w:w="1541"/>
            <w:shd w:fill="FFFFFF"/>
            <w:tcMar>
              <w:top w:w="95" w:type="dxa"/>
              <w:bottom w:w="95" w:type="dxa"/>
              <w:left w:w="130" w:type="dxa"/>
              <w:right w:w="130" w:type="dxa"/>
            </w:tcMar>
          </w:tcPr>
          <w:p>
            <w:pPr>
              <w:spacing w:before="0" w:after="0"/>
            </w:pPr>
            <w:r>
              <w:rPr>
                <w:rFonts w:ascii="Calibri" w:hAnsi="Calibri"/>
                <w:color w:val="2D3237"/>
                <w:sz w:val="17"/>
              </w:rPr>
              <w:t>Pre-Commit / Pre-Merge</w:t>
            </w:r>
          </w:p>
        </w:tc>
      </w:tr>
      <w:tr>
        <w:tc>
          <w:tcPr>
            <w:tcW w:type="dxa" w:w="2016"/>
            <w:shd w:fill="F7F9FB"/>
            <w:tcMar>
              <w:top w:w="95" w:type="dxa"/>
              <w:bottom w:w="95" w:type="dxa"/>
              <w:left w:w="130" w:type="dxa"/>
              <w:right w:w="130" w:type="dxa"/>
            </w:tcMar>
          </w:tcPr>
          <w:p>
            <w:pPr>
              <w:spacing w:before="0" w:after="0"/>
            </w:pPr>
            <w:r>
              <w:rPr>
                <w:rFonts w:ascii="Calibri" w:hAnsi="Calibri"/>
                <w:color w:val="2D3237"/>
                <w:sz w:val="17"/>
              </w:rPr>
              <w:t>Container Registry</w:t>
            </w:r>
          </w:p>
        </w:tc>
        <w:tc>
          <w:tcPr>
            <w:tcW w:type="dxa" w:w="3312"/>
            <w:shd w:fill="F7F9FB"/>
            <w:tcMar>
              <w:top w:w="95" w:type="dxa"/>
              <w:bottom w:w="95" w:type="dxa"/>
              <w:left w:w="130" w:type="dxa"/>
              <w:right w:w="130" w:type="dxa"/>
            </w:tcMar>
          </w:tcPr>
          <w:p>
            <w:pPr>
              <w:spacing w:before="0" w:after="0"/>
            </w:pPr>
            <w:r>
              <w:rPr>
                <w:rFonts w:ascii="Calibri" w:hAnsi="Calibri"/>
                <w:color w:val="2D3237"/>
                <w:sz w:val="17"/>
              </w:rPr>
              <w:t>Vulnerability scanning, SBOM generation, and cryptographic Cosign signing.</w:t>
            </w:r>
          </w:p>
        </w:tc>
        <w:tc>
          <w:tcPr>
            <w:tcW w:type="dxa" w:w="2160"/>
            <w:shd w:fill="F7F9FB"/>
            <w:tcMar>
              <w:top w:w="95" w:type="dxa"/>
              <w:bottom w:w="95" w:type="dxa"/>
              <w:left w:w="130" w:type="dxa"/>
              <w:right w:w="130" w:type="dxa"/>
            </w:tcMar>
          </w:tcPr>
          <w:p>
            <w:pPr>
              <w:spacing w:before="0" w:after="0"/>
            </w:pPr>
            <w:r>
              <w:rPr>
                <w:rFonts w:ascii="Calibri" w:hAnsi="Calibri"/>
                <w:color w:val="2D3237"/>
                <w:sz w:val="17"/>
              </w:rPr>
              <w:t>Aqua Security / Trivy Engine</w:t>
            </w:r>
          </w:p>
        </w:tc>
        <w:tc>
          <w:tcPr>
            <w:tcW w:type="dxa" w:w="1541"/>
            <w:shd w:fill="F7F9FB"/>
            <w:tcMar>
              <w:top w:w="95" w:type="dxa"/>
              <w:bottom w:w="95" w:type="dxa"/>
              <w:left w:w="130" w:type="dxa"/>
              <w:right w:w="130" w:type="dxa"/>
            </w:tcMar>
          </w:tcPr>
          <w:p>
            <w:pPr>
              <w:spacing w:before="0" w:after="0"/>
            </w:pPr>
            <w:r>
              <w:rPr>
                <w:rFonts w:ascii="Calibri" w:hAnsi="Calibri"/>
                <w:color w:val="2D3237"/>
                <w:sz w:val="17"/>
              </w:rPr>
              <w:t>Automated on image push</w:t>
            </w:r>
          </w:p>
        </w:tc>
      </w:tr>
      <w:tr>
        <w:tc>
          <w:tcPr>
            <w:tcW w:type="dxa" w:w="2016"/>
            <w:shd w:fill="FFFFFF"/>
            <w:tcMar>
              <w:top w:w="95" w:type="dxa"/>
              <w:bottom w:w="95" w:type="dxa"/>
              <w:left w:w="130" w:type="dxa"/>
              <w:right w:w="130" w:type="dxa"/>
            </w:tcMar>
          </w:tcPr>
          <w:p>
            <w:pPr>
              <w:spacing w:before="0" w:after="0"/>
            </w:pPr>
            <w:r>
              <w:rPr>
                <w:rFonts w:ascii="Calibri" w:hAnsi="Calibri"/>
                <w:color w:val="2D3237"/>
                <w:sz w:val="17"/>
              </w:rPr>
              <w:t>Kubernetes Runtime</w:t>
            </w:r>
          </w:p>
        </w:tc>
        <w:tc>
          <w:tcPr>
            <w:tcW w:type="dxa" w:w="3312"/>
            <w:shd w:fill="FFFFFF"/>
            <w:tcMar>
              <w:top w:w="95" w:type="dxa"/>
              <w:bottom w:w="95" w:type="dxa"/>
              <w:left w:w="130" w:type="dxa"/>
              <w:right w:w="130" w:type="dxa"/>
            </w:tcMar>
          </w:tcPr>
          <w:p>
            <w:pPr>
              <w:spacing w:before="0" w:after="0"/>
            </w:pPr>
            <w:r>
              <w:rPr>
                <w:rFonts w:ascii="Calibri" w:hAnsi="Calibri"/>
                <w:color w:val="2D3237"/>
                <w:sz w:val="17"/>
              </w:rPr>
              <w:t>eBPF syscall monitoring, kernel anomaly detection, pod isolation.</w:t>
            </w:r>
          </w:p>
        </w:tc>
        <w:tc>
          <w:tcPr>
            <w:tcW w:type="dxa" w:w="2160"/>
            <w:shd w:fill="FFFFFF"/>
            <w:tcMar>
              <w:top w:w="95" w:type="dxa"/>
              <w:bottom w:w="95" w:type="dxa"/>
              <w:left w:w="130" w:type="dxa"/>
              <w:right w:w="130" w:type="dxa"/>
            </w:tcMar>
          </w:tcPr>
          <w:p>
            <w:pPr>
              <w:spacing w:before="0" w:after="0"/>
            </w:pPr>
            <w:r>
              <w:rPr>
                <w:rFonts w:ascii="Calibri" w:hAnsi="Calibri"/>
                <w:color w:val="2D3237"/>
                <w:sz w:val="17"/>
              </w:rPr>
              <w:t>Cilium / Isovalent eBPF Mesh</w:t>
            </w:r>
          </w:p>
        </w:tc>
        <w:tc>
          <w:tcPr>
            <w:tcW w:type="dxa" w:w="1541"/>
            <w:shd w:fill="FFFFFF"/>
            <w:tcMar>
              <w:top w:w="95" w:type="dxa"/>
              <w:bottom w:w="95" w:type="dxa"/>
              <w:left w:w="130" w:type="dxa"/>
              <w:right w:w="130" w:type="dxa"/>
            </w:tcMar>
          </w:tcPr>
          <w:p>
            <w:pPr>
              <w:spacing w:before="0" w:after="0"/>
            </w:pPr>
            <w:r>
              <w:rPr>
                <w:rFonts w:ascii="Calibri" w:hAnsi="Calibri"/>
                <w:color w:val="2D3237"/>
                <w:sz w:val="17"/>
              </w:rPr>
              <w:t>Real-time (&lt; 100ms response)</w:t>
            </w:r>
          </w:p>
        </w:tc>
      </w:tr>
    </w:tbl>
    <w:p>
      <w:pPr>
        <w:spacing w:before="0" w:after="80"/>
      </w:pPr>
    </w:p>
    <w:p>
      <w:r>
        <w:br w:type="page"/>
      </w:r>
    </w:p>
    <w:p>
      <w:pPr>
        <w:keepNext/>
        <w:spacing w:before="400" w:after="120"/>
      </w:pPr>
      <w:r>
        <w:rPr>
          <w:rFonts w:ascii="Calibri" w:hAnsi="Calibri"/>
          <w:b/>
          <w:color w:val="0B2545"/>
          <w:sz w:val="30"/>
        </w:rPr>
        <w:t>SECTION 9: CRYPTOGRAPHIC STANDARDS &amp; KEY MANAGEMENT</w:t>
      </w:r>
    </w:p>
    <w:p>
      <w:pPr>
        <w:keepNext/>
        <w:spacing w:before="280" w:after="80"/>
      </w:pPr>
      <w:r>
        <w:rPr>
          <w:rFonts w:ascii="Calibri" w:hAnsi="Calibri"/>
          <w:b/>
          <w:color w:val="136F63"/>
          <w:sz w:val="24"/>
        </w:rPr>
        <w:t>9.1 Enterprise Cryptographic Algorithm Baseline</w:t>
      </w:r>
    </w:p>
    <w:p>
      <w:pPr>
        <w:spacing w:before="0" w:after="120" w:line="276" w:lineRule="auto"/>
      </w:pPr>
      <w:r>
        <w:rPr>
          <w:rFonts w:ascii="Calibri" w:hAnsi="Calibri"/>
          <w:color w:val="2D3237"/>
          <w:sz w:val="20"/>
        </w:rPr>
        <w:t>Clause 9.1.1 — All encryption mechanisms implemented across G42 infrastructure, software applications, databases, communications networks, and AI storage fabrics must utilize strong, globally recognized, FIPS-approved cryptographic algorithms. Legacy or broken ciphers (including DES, 3DES, RC4, MD5, SHA-1, RSA keys &lt; 2048 bits) are strictly prohibited and blocked across all network appliances.</w:t>
      </w:r>
    </w:p>
    <w:p>
      <w:pPr>
        <w:pStyle w:val="ListBullet"/>
        <w:spacing w:before="0" w:after="60" w:line="276" w:lineRule="auto"/>
      </w:pPr>
      <w:r>
        <w:rPr>
          <w:rFonts w:ascii="Calibri" w:hAnsi="Calibri"/>
          <w:b/>
          <w:color w:val="2D3237"/>
          <w:sz w:val="20"/>
        </w:rPr>
        <w:t xml:space="preserve">Data at Rest: </w:t>
      </w:r>
      <w:r>
        <w:rPr>
          <w:rFonts w:ascii="Calibri" w:hAnsi="Calibri"/>
          <w:color w:val="2D3237"/>
          <w:sz w:val="20"/>
        </w:rPr>
        <w:t>All sensitive data at rest must be encrypted using AES-256 in Galois/Counter Mode (GCM) or XTS mode with unique per-tenant keys.</w:t>
      </w:r>
    </w:p>
    <w:p>
      <w:pPr>
        <w:pStyle w:val="ListBullet"/>
        <w:spacing w:before="0" w:after="60" w:line="276" w:lineRule="auto"/>
      </w:pPr>
      <w:r>
        <w:rPr>
          <w:rFonts w:ascii="Calibri" w:hAnsi="Calibri"/>
          <w:b/>
          <w:color w:val="2D3237"/>
          <w:sz w:val="20"/>
        </w:rPr>
        <w:t xml:space="preserve">Data in Transit: </w:t>
      </w:r>
      <w:r>
        <w:rPr>
          <w:rFonts w:ascii="Calibri" w:hAnsi="Calibri"/>
          <w:color w:val="2D3237"/>
          <w:sz w:val="20"/>
        </w:rPr>
        <w:t>All data in transit must enforce TLS 1.3 exclusively (TLS 1.2 permitted temporarily for validated legacy B2B integrations under written waiver; TLS 1.0 and 1.1 are banned). Modern cipher suites: ECDHE-ECDSA-AES256-GCM-SHA384 or ChaCha20-Poly1305.</w:t>
      </w:r>
    </w:p>
    <w:p>
      <w:pPr>
        <w:pStyle w:val="ListBullet"/>
        <w:spacing w:before="0" w:after="60" w:line="276" w:lineRule="auto"/>
      </w:pPr>
      <w:r>
        <w:rPr>
          <w:rFonts w:ascii="Calibri" w:hAnsi="Calibri"/>
          <w:b/>
          <w:color w:val="2D3237"/>
          <w:sz w:val="20"/>
        </w:rPr>
        <w:t xml:space="preserve">Digital Signatures &amp; Hashing: </w:t>
      </w:r>
      <w:r>
        <w:rPr>
          <w:rFonts w:ascii="Calibri" w:hAnsi="Calibri"/>
          <w:color w:val="2D3237"/>
          <w:sz w:val="20"/>
        </w:rPr>
        <w:t>Digital signatures must utilize RSA with minimum 4096-bit keys or Elliptic Curve Cryptography (ECDSA / Ed25519) with SHA-384 or SHA-512 hashing.</w:t>
      </w:r>
    </w:p>
    <w:p>
      <w:pPr>
        <w:keepNext/>
        <w:spacing w:before="280" w:after="80"/>
      </w:pPr>
      <w:r>
        <w:rPr>
          <w:rFonts w:ascii="Calibri" w:hAnsi="Calibri"/>
          <w:b/>
          <w:color w:val="136F63"/>
          <w:sz w:val="24"/>
        </w:rPr>
        <w:t>9.2 Customer-Managed Encryption Keys (CMEK) &amp; HSM Custody</w:t>
      </w:r>
    </w:p>
    <w:p>
      <w:pPr>
        <w:spacing w:before="0" w:after="120" w:line="276" w:lineRule="auto"/>
      </w:pPr>
      <w:r>
        <w:rPr>
          <w:rFonts w:ascii="Calibri" w:hAnsi="Calibri"/>
          <w:color w:val="2D3237"/>
          <w:sz w:val="20"/>
        </w:rPr>
        <w:t>Clause 9.2.1 — All Level 3 (Confidential) and Level 4 (Sovereign) data stored in cloud databases, object storage, and supercomputing volumes must be encrypted using Customer-Managed Encryption Keys (CMEK). Master encryption keys must be generated, stored, and rotated within dedicated, FIPS 140-2/3 Level 3 validated Hardware Security Modules (HSMs). Cloud service providers are technically prevented from accessing or exporting raw key material.</w:t>
      </w:r>
    </w:p>
    <w:p>
      <w:pPr>
        <w:spacing w:before="0" w:after="120" w:line="276" w:lineRule="auto"/>
      </w:pPr>
      <w:r>
        <w:rPr>
          <w:rFonts w:ascii="Calibri" w:hAnsi="Calibri"/>
          <w:color w:val="2D3237"/>
          <w:sz w:val="20"/>
        </w:rPr>
        <w:t>Clause 9.2.2 — Key rotation is enforced automatically: (a) Data Encryption Keys (DEKs) rotate every 90 days; (b) Key Encryption Keys (KEKs) rotate annually. In the event of suspected key compromise, automated emergency re-keying playbooks must re-encrypt critical data stores within 4 hours.</w:t>
      </w:r>
    </w:p>
    <w:p>
      <w:pPr>
        <w:keepNext/>
        <w:spacing w:before="200" w:after="40"/>
      </w:pPr>
      <w:r>
        <w:rPr>
          <w:rFonts w:ascii="Calibri" w:hAnsi="Calibri"/>
          <w:b/>
          <w:color w:val="0B2545"/>
          <w:sz w:val="21"/>
        </w:rPr>
        <w:t>9.3 Post-Quantum Cryptography (PQC) Readiness Roadmap</w:t>
      </w:r>
    </w:p>
    <w:p>
      <w:pPr>
        <w:spacing w:before="0" w:after="120" w:line="276" w:lineRule="auto"/>
      </w:pPr>
      <w:r>
        <w:rPr>
          <w:rFonts w:ascii="Calibri" w:hAnsi="Calibri"/>
          <w:color w:val="2D3237"/>
          <w:sz w:val="20"/>
        </w:rPr>
        <w:t>Clause 9.3.1 — To defend against future 'Harvest Now, Decrypt Later' quantum computing threats, G42 initiates mandatory Post-Quantum Cryptography transition protocols. All new foundational network backbones, long-term sovereign archival storage, and identity PKI infrastructures must implement hybrid post-quantum algorithms standardized by NIST (FIPS 203 ML-KEM / Kyber for key encapsulation, and FIPS 204 ML-DSA / Dilithium for digital signatures).</w:t>
      </w:r>
    </w:p>
    <w:p>
      <w:r>
        <w:br w:type="page"/>
      </w:r>
    </w:p>
    <w:p>
      <w:pPr>
        <w:keepNext/>
        <w:spacing w:before="400" w:after="120"/>
      </w:pPr>
      <w:r>
        <w:rPr>
          <w:rFonts w:ascii="Calibri" w:hAnsi="Calibri"/>
          <w:b/>
          <w:color w:val="0B2545"/>
          <w:sz w:val="30"/>
        </w:rPr>
        <w:t>SECTION 10: AUTONOMOUS AGENT IDENTITY &amp; GUARDRAILS (SAGE AGENT)</w:t>
      </w:r>
    </w:p>
    <w:p>
      <w:pPr>
        <w:keepNext/>
        <w:spacing w:before="280" w:after="80"/>
      </w:pPr>
      <w:r>
        <w:rPr>
          <w:rFonts w:ascii="Calibri" w:hAnsi="Calibri"/>
          <w:b/>
          <w:color w:val="136F63"/>
          <w:sz w:val="24"/>
        </w:rPr>
        <w:t>10.1 Machine Identity, PKI &amp; Service Principal Architecture</w:t>
      </w:r>
    </w:p>
    <w:p>
      <w:pPr>
        <w:spacing w:before="0" w:after="120" w:line="276" w:lineRule="auto"/>
      </w:pPr>
      <w:r>
        <w:rPr>
          <w:rFonts w:ascii="Calibri" w:hAnsi="Calibri"/>
          <w:color w:val="2D3237"/>
          <w:sz w:val="20"/>
        </w:rPr>
        <w:t>Clause 10.1.1 — Autonomous cognitive systems—specifically including Sage Agent, autonomous code-refactoring copilots, multi-agent orchestration fabrics, and automated IT service agents—are classified as Synthetic Enterprise Actors. Agents must never operate without a cryptographically bound identity registered in the G42 Central Identity Provider.</w:t>
      </w:r>
    </w:p>
    <w:p>
      <w:pPr>
        <w:spacing w:before="0" w:after="120" w:line="276" w:lineRule="auto"/>
      </w:pPr>
      <w:r>
        <w:rPr>
          <w:rFonts w:ascii="Calibri" w:hAnsi="Calibri"/>
          <w:color w:val="2D3237"/>
          <w:sz w:val="20"/>
        </w:rPr>
        <w:t>Clause 10.1.2 — Every deployed agent instance must be assigned an immutable Service Principal Name (SPN) and a unique Machine Identity Certificate (MIC) signed by the G42 Internal PKI. Agents are strictly prohibited from sharing user accounts, assuming human login sessions, or executing commands under anonymous tokens.</w:t>
      </w:r>
    </w:p>
    <w:p>
      <w:pPr>
        <w:keepNext/>
        <w:spacing w:before="280" w:after="80"/>
      </w:pPr>
      <w:r>
        <w:rPr>
          <w:rFonts w:ascii="Calibri" w:hAnsi="Calibri"/>
          <w:b/>
          <w:color w:val="136F63"/>
          <w:sz w:val="24"/>
        </w:rPr>
        <w:t>10.2 Ephemeral Credentialing &amp; Least-Privilege MCP Tool Calling</w:t>
      </w:r>
    </w:p>
    <w:p>
      <w:pPr>
        <w:pStyle w:val="ListBullet"/>
        <w:spacing w:before="0" w:after="60" w:line="276" w:lineRule="auto"/>
      </w:pPr>
      <w:r>
        <w:rPr>
          <w:rFonts w:ascii="Calibri" w:hAnsi="Calibri"/>
          <w:b/>
          <w:color w:val="2D3237"/>
          <w:sz w:val="20"/>
        </w:rPr>
        <w:t xml:space="preserve">Ephemeral Credentialing (TTL &lt; 3600s): </w:t>
      </w:r>
      <w:r>
        <w:rPr>
          <w:rFonts w:ascii="Calibri" w:hAnsi="Calibri"/>
          <w:color w:val="2D3237"/>
          <w:sz w:val="20"/>
        </w:rPr>
        <w:t>All API tokens, database connection strings, and infrastructure access keys utilized by Sage Agent must be dynamically issued via HashiCorp Vault with an absolute Time-To-Live (TTL) of 3,600 seconds (1 hour). Static, hardcoded API secrets in agent prompts or codebases are strictly prohibited.</w:t>
      </w:r>
    </w:p>
    <w:p>
      <w:pPr>
        <w:pStyle w:val="ListBullet"/>
        <w:spacing w:before="0" w:after="60" w:line="276" w:lineRule="auto"/>
      </w:pPr>
      <w:r>
        <w:rPr>
          <w:rFonts w:ascii="Calibri" w:hAnsi="Calibri"/>
          <w:b/>
          <w:color w:val="2D3237"/>
          <w:sz w:val="20"/>
        </w:rPr>
        <w:t xml:space="preserve">Deterministic Tool Schema Whitelisting: </w:t>
      </w:r>
      <w:r>
        <w:rPr>
          <w:rFonts w:ascii="Calibri" w:hAnsi="Calibri"/>
          <w:color w:val="2D3237"/>
          <w:sz w:val="20"/>
        </w:rPr>
        <w:t>Agent tool interactions via the Model Context Protocol (MCP) or OpenAI Function Calling must enforce deterministic schema validation. Agents are restricted to explicit whitelist tool registries; invoking arbitrary shell environments (eval, exec, bash) is hard-blocked.</w:t>
      </w:r>
    </w:p>
    <w:p>
      <w:pPr>
        <w:pStyle w:val="ListBullet"/>
        <w:spacing w:before="0" w:after="60" w:line="276" w:lineRule="auto"/>
      </w:pPr>
      <w:r>
        <w:rPr>
          <w:rFonts w:ascii="Calibri" w:hAnsi="Calibri"/>
          <w:b/>
          <w:color w:val="2D3237"/>
          <w:sz w:val="20"/>
        </w:rPr>
        <w:t xml:space="preserve">Payload Inspection &amp; Egress Filtering: </w:t>
      </w:r>
      <w:r>
        <w:rPr>
          <w:rFonts w:ascii="Calibri" w:hAnsi="Calibri"/>
          <w:color w:val="2D3237"/>
          <w:sz w:val="20"/>
        </w:rPr>
        <w:t>All outbound API calls executed by agents must route through the Enterprise API Security Gateway for real-time payload Data Loss Prevention (DLP) inspection, PII sanitization, and SQL injection filtering.</w:t>
      </w:r>
    </w:p>
    <w:p>
      <w:pPr>
        <w:keepNext/>
        <w:spacing w:before="200" w:after="40"/>
      </w:pPr>
      <w:r>
        <w:rPr>
          <w:rFonts w:ascii="Calibri" w:hAnsi="Calibri"/>
          <w:b/>
          <w:color w:val="0B2545"/>
          <w:sz w:val="21"/>
        </w:rPr>
        <w:t>10.3 Execution Sandboxing, Recursion Caps &amp; Hardware Kill-Switch</w:t>
      </w:r>
    </w:p>
    <w:p>
      <w:pPr>
        <w:spacing w:before="0" w:after="120" w:line="276" w:lineRule="auto"/>
      </w:pPr>
      <w:r>
        <w:rPr>
          <w:rFonts w:ascii="Calibri" w:hAnsi="Calibri"/>
          <w:color w:val="2D3237"/>
          <w:sz w:val="20"/>
        </w:rPr>
        <w:t>Clause 10.3.1 — To prevent runaway algorithmic execution, unbounded API billing, or denial-of-service conditions, all autonomous agents must execute within isolated micro-VM sandboxes (Firecracker / gVisor) governed by runtime circuit breakers: (a) Maximum sequential recursion depth is capped at 15 iterations per user prompt; (b) Maximum token consumption is capped at 100,000 tokens per transaction; and (c) Outbound API calls are capped at 30 requests per minute.</w:t>
      </w:r>
    </w:p>
    <w:p>
      <w:pPr>
        <w:spacing w:before="0" w:after="120" w:line="276" w:lineRule="auto"/>
      </w:pPr>
      <w:r>
        <w:rPr>
          <w:rFonts w:ascii="Calibri" w:hAnsi="Calibri"/>
          <w:color w:val="2D3237"/>
          <w:sz w:val="20"/>
        </w:rPr>
        <w:t>Clause 10.3.2 — The Group Cyber Security Operations Center (CSOC) maintains a global, hardware-enforced emergency kill-switch. In the event of detected anomalous behavioral deviation, cascading recursion loops, or unauthorized lateral movement, CSOC operators can revoke all agent tokens enterprise-wide within 300 milliseconds via the G42 Sentinel Dashboard.</w:t>
      </w:r>
    </w:p>
    <w:p>
      <w:r>
        <w:br w:type="page"/>
      </w:r>
    </w:p>
    <w:p>
      <w:pPr>
        <w:keepNext/>
        <w:spacing w:before="400" w:after="120"/>
      </w:pPr>
      <w:r>
        <w:rPr>
          <w:rFonts w:ascii="Calibri" w:hAnsi="Calibri"/>
          <w:b/>
          <w:color w:val="0B2545"/>
          <w:sz w:val="30"/>
        </w:rPr>
        <w:t>SECTION 11: VULNERABILITY MANAGEMENT &amp; PENETRATION TESTING</w:t>
      </w:r>
    </w:p>
    <w:p>
      <w:pPr>
        <w:keepNext/>
        <w:spacing w:before="280" w:after="80"/>
      </w:pPr>
      <w:r>
        <w:rPr>
          <w:rFonts w:ascii="Calibri" w:hAnsi="Calibri"/>
          <w:b/>
          <w:color w:val="136F63"/>
          <w:sz w:val="24"/>
        </w:rPr>
        <w:t>11.1 Continuous Automated Vulnerability Scanning</w:t>
      </w:r>
    </w:p>
    <w:p>
      <w:pPr>
        <w:spacing w:before="0" w:after="120" w:line="276" w:lineRule="auto"/>
      </w:pPr>
      <w:r>
        <w:rPr>
          <w:rFonts w:ascii="Calibri" w:hAnsi="Calibri"/>
          <w:color w:val="2D3237"/>
          <w:sz w:val="20"/>
        </w:rPr>
        <w:t>Clause 11.1.1 — All networks, cloud environments, virtual machines, container registries, web applications, and physical servers across G42 must undergo continuous automated vulnerability scanning managed by the Enterprise Vulnerability Management Platform (Qualys / Tenable / Wiz). Scanning covers Common Vulnerabilities and Exposures (CVE), configuration drift, missing security patches, and weak cipher configurations.</w:t>
      </w:r>
    </w:p>
    <w:p>
      <w:pPr>
        <w:keepNext/>
        <w:spacing w:before="280" w:after="80"/>
      </w:pPr>
      <w:r>
        <w:rPr>
          <w:rFonts w:ascii="Calibri" w:hAnsi="Calibri"/>
          <w:b/>
          <w:color w:val="136F63"/>
          <w:sz w:val="24"/>
        </w:rPr>
        <w:t>11.2 Mandatory Remediation SLAs by Vulnerability Severity</w:t>
      </w:r>
    </w:p>
    <w:p>
      <w:pPr>
        <w:spacing w:before="0" w:after="120" w:line="276" w:lineRule="auto"/>
      </w:pPr>
      <w:r>
        <w:rPr>
          <w:rFonts w:ascii="Calibri" w:hAnsi="Calibri"/>
          <w:color w:val="2D3237"/>
          <w:sz w:val="20"/>
        </w:rPr>
        <w:t>Clause 11.2.1 — Identified vulnerabilities must be remediated, patched, or mitigated by system owners in strict accordance with the following mandatory Service Level Agreements (SLAs):</w:t>
      </w:r>
    </w:p>
    <w:tbl>
      <w:tblPr>
        <w:tblW w:type="auto" w:w="0"/>
        <w:jc w:val="center"/>
        <w:tblLayout w:type="fixed"/>
        <w:tblLook w:firstColumn="1" w:firstRow="1" w:lastColumn="0" w:lastRow="0" w:noHBand="0" w:noVBand="1" w:val="04A0"/>
      </w:tblPr>
      <w:tblGrid>
        <w:gridCol w:w="2016"/>
        <w:gridCol w:w="3168"/>
        <w:gridCol w:w="2016"/>
        <w:gridCol w:w="1829"/>
      </w:tblGrid>
      <w:tr>
        <w:tc>
          <w:tcPr>
            <w:tcW w:type="dxa" w:w="2016"/>
            <w:shd w:fill="0B2545"/>
            <w:tcMar>
              <w:top w:w="120" w:type="dxa"/>
              <w:bottom w:w="120" w:type="dxa"/>
              <w:left w:w="130" w:type="dxa"/>
              <w:right w:w="130" w:type="dxa"/>
            </w:tcMar>
          </w:tcPr>
          <w:p>
            <w:pPr>
              <w:spacing w:before="0" w:after="0"/>
              <w:jc w:val="left"/>
            </w:pPr>
            <w:r>
              <w:rPr>
                <w:rFonts w:ascii="Calibri" w:hAnsi="Calibri"/>
                <w:b/>
                <w:color w:val="FFFFFF"/>
                <w:sz w:val="18"/>
              </w:rPr>
              <w:t>Vulnerability Severity</w:t>
            </w:r>
          </w:p>
        </w:tc>
        <w:tc>
          <w:tcPr>
            <w:tcW w:type="dxa" w:w="3168"/>
            <w:shd w:fill="0B2545"/>
            <w:tcMar>
              <w:top w:w="120" w:type="dxa"/>
              <w:bottom w:w="120" w:type="dxa"/>
              <w:left w:w="130" w:type="dxa"/>
              <w:right w:w="130" w:type="dxa"/>
            </w:tcMar>
          </w:tcPr>
          <w:p>
            <w:pPr>
              <w:spacing w:before="0" w:after="0"/>
              <w:jc w:val="left"/>
            </w:pPr>
            <w:r>
              <w:rPr>
                <w:rFonts w:ascii="Calibri" w:hAnsi="Calibri"/>
                <w:b/>
                <w:color w:val="FFFFFF"/>
                <w:sz w:val="18"/>
              </w:rPr>
              <w:t>CVSS Profile</w:t>
            </w:r>
          </w:p>
        </w:tc>
        <w:tc>
          <w:tcPr>
            <w:tcW w:type="dxa" w:w="2016"/>
            <w:shd w:fill="0B2545"/>
            <w:tcMar>
              <w:top w:w="120" w:type="dxa"/>
              <w:bottom w:w="120" w:type="dxa"/>
              <w:left w:w="130" w:type="dxa"/>
              <w:right w:w="130" w:type="dxa"/>
            </w:tcMar>
          </w:tcPr>
          <w:p>
            <w:pPr>
              <w:spacing w:before="0" w:after="0"/>
              <w:jc w:val="left"/>
            </w:pPr>
            <w:r>
              <w:rPr>
                <w:rFonts w:ascii="Calibri" w:hAnsi="Calibri"/>
                <w:b/>
                <w:color w:val="FFFFFF"/>
                <w:sz w:val="18"/>
              </w:rPr>
              <w:t>Remediation SLA</w:t>
            </w:r>
          </w:p>
        </w:tc>
        <w:tc>
          <w:tcPr>
            <w:tcW w:type="dxa" w:w="1829"/>
            <w:shd w:fill="0B2545"/>
            <w:tcMar>
              <w:top w:w="120" w:type="dxa"/>
              <w:bottom w:w="120" w:type="dxa"/>
              <w:left w:w="130" w:type="dxa"/>
              <w:right w:w="130" w:type="dxa"/>
            </w:tcMar>
          </w:tcPr>
          <w:p>
            <w:pPr>
              <w:spacing w:before="0" w:after="0"/>
              <w:jc w:val="left"/>
            </w:pPr>
            <w:r>
              <w:rPr>
                <w:rFonts w:ascii="Calibri" w:hAnsi="Calibri"/>
                <w:b/>
                <w:color w:val="FFFFFF"/>
                <w:sz w:val="18"/>
              </w:rPr>
              <w:t>Enforcement Consequence</w:t>
            </w:r>
          </w:p>
        </w:tc>
      </w:tr>
      <w:tr>
        <w:tc>
          <w:tcPr>
            <w:tcW w:type="dxa" w:w="2016"/>
            <w:shd w:fill="FFFFFF"/>
            <w:tcMar>
              <w:top w:w="95" w:type="dxa"/>
              <w:bottom w:w="95" w:type="dxa"/>
              <w:left w:w="130" w:type="dxa"/>
              <w:right w:w="130" w:type="dxa"/>
            </w:tcMar>
          </w:tcPr>
          <w:p>
            <w:pPr>
              <w:spacing w:before="0" w:after="0"/>
            </w:pPr>
            <w:r>
              <w:rPr>
                <w:rFonts w:ascii="Calibri" w:hAnsi="Calibri"/>
                <w:color w:val="2D3237"/>
                <w:sz w:val="17"/>
              </w:rPr>
              <w:t>CVSS v3/v4 Severity Rating</w:t>
            </w:r>
          </w:p>
        </w:tc>
        <w:tc>
          <w:tcPr>
            <w:tcW w:type="dxa" w:w="3168"/>
            <w:shd w:fill="FFFFFF"/>
            <w:tcMar>
              <w:top w:w="95" w:type="dxa"/>
              <w:bottom w:w="95" w:type="dxa"/>
              <w:left w:w="130" w:type="dxa"/>
              <w:right w:w="130" w:type="dxa"/>
            </w:tcMar>
          </w:tcPr>
          <w:p>
            <w:pPr>
              <w:spacing w:before="0" w:after="0"/>
            </w:pPr>
            <w:r>
              <w:rPr>
                <w:rFonts w:ascii="Calibri" w:hAnsi="Calibri"/>
                <w:color w:val="2D3237"/>
                <w:sz w:val="17"/>
              </w:rPr>
              <w:t>Score Range &amp; Exploitability Profile</w:t>
            </w:r>
          </w:p>
        </w:tc>
        <w:tc>
          <w:tcPr>
            <w:tcW w:type="dxa" w:w="2016"/>
            <w:shd w:fill="FFFFFF"/>
            <w:tcMar>
              <w:top w:w="95" w:type="dxa"/>
              <w:bottom w:w="95" w:type="dxa"/>
              <w:left w:w="130" w:type="dxa"/>
              <w:right w:w="130" w:type="dxa"/>
            </w:tcMar>
          </w:tcPr>
          <w:p>
            <w:pPr>
              <w:spacing w:before="0" w:after="0"/>
            </w:pPr>
            <w:r>
              <w:rPr>
                <w:rFonts w:ascii="Calibri" w:hAnsi="Calibri"/>
                <w:color w:val="2D3237"/>
                <w:sz w:val="17"/>
              </w:rPr>
              <w:t>Mandatory Remediation SLA</w:t>
            </w:r>
          </w:p>
        </w:tc>
        <w:tc>
          <w:tcPr>
            <w:tcW w:type="dxa" w:w="1829"/>
            <w:shd w:fill="FFFFFF"/>
            <w:tcMar>
              <w:top w:w="95" w:type="dxa"/>
              <w:bottom w:w="95" w:type="dxa"/>
              <w:left w:w="130" w:type="dxa"/>
              <w:right w:w="130" w:type="dxa"/>
            </w:tcMar>
          </w:tcPr>
          <w:p>
            <w:pPr>
              <w:spacing w:before="0" w:after="0"/>
            </w:pPr>
            <w:r>
              <w:rPr>
                <w:rFonts w:ascii="Calibri" w:hAnsi="Calibri"/>
                <w:color w:val="2D3237"/>
                <w:sz w:val="17"/>
              </w:rPr>
              <w:t>Consequence of SLA Breach</w:t>
            </w:r>
          </w:p>
        </w:tc>
      </w:tr>
      <w:tr>
        <w:tc>
          <w:tcPr>
            <w:tcW w:type="dxa" w:w="2016"/>
            <w:shd w:fill="F7F9FB"/>
            <w:tcMar>
              <w:top w:w="95" w:type="dxa"/>
              <w:bottom w:w="95" w:type="dxa"/>
              <w:left w:w="130" w:type="dxa"/>
              <w:right w:w="130" w:type="dxa"/>
            </w:tcMar>
          </w:tcPr>
          <w:p>
            <w:pPr>
              <w:spacing w:before="0" w:after="0"/>
            </w:pPr>
            <w:r>
              <w:rPr>
                <w:rFonts w:ascii="Calibri" w:hAnsi="Calibri"/>
                <w:color w:val="2D3237"/>
                <w:sz w:val="17"/>
              </w:rPr>
              <w:t>Critical (Severity 1)</w:t>
            </w:r>
          </w:p>
        </w:tc>
        <w:tc>
          <w:tcPr>
            <w:tcW w:type="dxa" w:w="3168"/>
            <w:shd w:fill="F7F9FB"/>
            <w:tcMar>
              <w:top w:w="95" w:type="dxa"/>
              <w:bottom w:w="95" w:type="dxa"/>
              <w:left w:w="130" w:type="dxa"/>
              <w:right w:w="130" w:type="dxa"/>
            </w:tcMar>
          </w:tcPr>
          <w:p>
            <w:pPr>
              <w:spacing w:before="0" w:after="0"/>
            </w:pPr>
            <w:r>
              <w:rPr>
                <w:rFonts w:ascii="Calibri" w:hAnsi="Calibri"/>
                <w:color w:val="2D3237"/>
                <w:sz w:val="17"/>
              </w:rPr>
              <w:t>CVSS 9.0 - 10.0 or actively exploited zero-day / remote code execution (RCE).</w:t>
            </w:r>
          </w:p>
        </w:tc>
        <w:tc>
          <w:tcPr>
            <w:tcW w:type="dxa" w:w="2016"/>
            <w:shd w:fill="F7F9FB"/>
            <w:tcMar>
              <w:top w:w="95" w:type="dxa"/>
              <w:bottom w:w="95" w:type="dxa"/>
              <w:left w:w="130" w:type="dxa"/>
              <w:right w:w="130" w:type="dxa"/>
            </w:tcMar>
          </w:tcPr>
          <w:p>
            <w:pPr>
              <w:spacing w:before="0" w:after="0"/>
            </w:pPr>
            <w:r>
              <w:rPr>
                <w:rFonts w:ascii="Calibri" w:hAnsi="Calibri"/>
                <w:color w:val="2D3237"/>
                <w:sz w:val="17"/>
              </w:rPr>
              <w:t>Remediation within 24 Hours (Immediate workaround in &lt; 6 hours).</w:t>
            </w:r>
          </w:p>
        </w:tc>
        <w:tc>
          <w:tcPr>
            <w:tcW w:type="dxa" w:w="1829"/>
            <w:shd w:fill="F7F9FB"/>
            <w:tcMar>
              <w:top w:w="95" w:type="dxa"/>
              <w:bottom w:w="95" w:type="dxa"/>
              <w:left w:w="130" w:type="dxa"/>
              <w:right w:w="130" w:type="dxa"/>
            </w:tcMar>
          </w:tcPr>
          <w:p>
            <w:pPr>
              <w:spacing w:before="0" w:after="0"/>
            </w:pPr>
            <w:r>
              <w:rPr>
                <w:rFonts w:ascii="Calibri" w:hAnsi="Calibri"/>
                <w:color w:val="2D3237"/>
                <w:sz w:val="17"/>
              </w:rPr>
              <w:t>Automated network isolation of vulnerable host by CSOC.</w:t>
            </w:r>
          </w:p>
        </w:tc>
      </w:tr>
      <w:tr>
        <w:tc>
          <w:tcPr>
            <w:tcW w:type="dxa" w:w="2016"/>
            <w:shd w:fill="FFFFFF"/>
            <w:tcMar>
              <w:top w:w="95" w:type="dxa"/>
              <w:bottom w:w="95" w:type="dxa"/>
              <w:left w:w="130" w:type="dxa"/>
              <w:right w:w="130" w:type="dxa"/>
            </w:tcMar>
          </w:tcPr>
          <w:p>
            <w:pPr>
              <w:spacing w:before="0" w:after="0"/>
            </w:pPr>
            <w:r>
              <w:rPr>
                <w:rFonts w:ascii="Calibri" w:hAnsi="Calibri"/>
                <w:color w:val="2D3237"/>
                <w:sz w:val="17"/>
              </w:rPr>
              <w:t>High (Severity 2)</w:t>
            </w:r>
          </w:p>
        </w:tc>
        <w:tc>
          <w:tcPr>
            <w:tcW w:type="dxa" w:w="3168"/>
            <w:shd w:fill="FFFFFF"/>
            <w:tcMar>
              <w:top w:w="95" w:type="dxa"/>
              <w:bottom w:w="95" w:type="dxa"/>
              <w:left w:w="130" w:type="dxa"/>
              <w:right w:w="130" w:type="dxa"/>
            </w:tcMar>
          </w:tcPr>
          <w:p>
            <w:pPr>
              <w:spacing w:before="0" w:after="0"/>
            </w:pPr>
            <w:r>
              <w:rPr>
                <w:rFonts w:ascii="Calibri" w:hAnsi="Calibri"/>
                <w:color w:val="2D3237"/>
                <w:sz w:val="17"/>
              </w:rPr>
              <w:t>CVSS 7.0 - 8.9: High privilege escalation, unauthenticated data exposure.</w:t>
            </w:r>
          </w:p>
        </w:tc>
        <w:tc>
          <w:tcPr>
            <w:tcW w:type="dxa" w:w="2016"/>
            <w:shd w:fill="FFFFFF"/>
            <w:tcMar>
              <w:top w:w="95" w:type="dxa"/>
              <w:bottom w:w="95" w:type="dxa"/>
              <w:left w:w="130" w:type="dxa"/>
              <w:right w:w="130" w:type="dxa"/>
            </w:tcMar>
          </w:tcPr>
          <w:p>
            <w:pPr>
              <w:spacing w:before="0" w:after="0"/>
            </w:pPr>
            <w:r>
              <w:rPr>
                <w:rFonts w:ascii="Calibri" w:hAnsi="Calibri"/>
                <w:color w:val="2D3237"/>
                <w:sz w:val="17"/>
              </w:rPr>
              <w:t>Remediation within 7 Calendar Days.</w:t>
            </w:r>
          </w:p>
        </w:tc>
        <w:tc>
          <w:tcPr>
            <w:tcW w:type="dxa" w:w="1829"/>
            <w:shd w:fill="FFFFFF"/>
            <w:tcMar>
              <w:top w:w="95" w:type="dxa"/>
              <w:bottom w:w="95" w:type="dxa"/>
              <w:left w:w="130" w:type="dxa"/>
              <w:right w:w="130" w:type="dxa"/>
            </w:tcMar>
          </w:tcPr>
          <w:p>
            <w:pPr>
              <w:spacing w:before="0" w:after="0"/>
            </w:pPr>
            <w:r>
              <w:rPr>
                <w:rFonts w:ascii="Calibri" w:hAnsi="Calibri"/>
                <w:color w:val="2D3237"/>
                <w:sz w:val="17"/>
              </w:rPr>
              <w:t>Escalation to OpCo CISO; change freeze on affected workload.</w:t>
            </w:r>
          </w:p>
        </w:tc>
      </w:tr>
      <w:tr>
        <w:tc>
          <w:tcPr>
            <w:tcW w:type="dxa" w:w="2016"/>
            <w:shd w:fill="F7F9FB"/>
            <w:tcMar>
              <w:top w:w="95" w:type="dxa"/>
              <w:bottom w:w="95" w:type="dxa"/>
              <w:left w:w="130" w:type="dxa"/>
              <w:right w:w="130" w:type="dxa"/>
            </w:tcMar>
          </w:tcPr>
          <w:p>
            <w:pPr>
              <w:spacing w:before="0" w:after="0"/>
            </w:pPr>
            <w:r>
              <w:rPr>
                <w:rFonts w:ascii="Calibri" w:hAnsi="Calibri"/>
                <w:color w:val="2D3237"/>
                <w:sz w:val="17"/>
              </w:rPr>
              <w:t>Medium (Severity 3)</w:t>
            </w:r>
          </w:p>
        </w:tc>
        <w:tc>
          <w:tcPr>
            <w:tcW w:type="dxa" w:w="3168"/>
            <w:shd w:fill="F7F9FB"/>
            <w:tcMar>
              <w:top w:w="95" w:type="dxa"/>
              <w:bottom w:w="95" w:type="dxa"/>
              <w:left w:w="130" w:type="dxa"/>
              <w:right w:w="130" w:type="dxa"/>
            </w:tcMar>
          </w:tcPr>
          <w:p>
            <w:pPr>
              <w:spacing w:before="0" w:after="0"/>
            </w:pPr>
            <w:r>
              <w:rPr>
                <w:rFonts w:ascii="Calibri" w:hAnsi="Calibri"/>
                <w:color w:val="2D3237"/>
                <w:sz w:val="17"/>
              </w:rPr>
              <w:t>CVSS 4.0 - 6.9: Local privilege escalation, authenticated data leakage.</w:t>
            </w:r>
          </w:p>
        </w:tc>
        <w:tc>
          <w:tcPr>
            <w:tcW w:type="dxa" w:w="2016"/>
            <w:shd w:fill="F7F9FB"/>
            <w:tcMar>
              <w:top w:w="95" w:type="dxa"/>
              <w:bottom w:w="95" w:type="dxa"/>
              <w:left w:w="130" w:type="dxa"/>
              <w:right w:w="130" w:type="dxa"/>
            </w:tcMar>
          </w:tcPr>
          <w:p>
            <w:pPr>
              <w:spacing w:before="0" w:after="0"/>
            </w:pPr>
            <w:r>
              <w:rPr>
                <w:rFonts w:ascii="Calibri" w:hAnsi="Calibri"/>
                <w:color w:val="2D3237"/>
                <w:sz w:val="17"/>
              </w:rPr>
              <w:t>Remediation within 30 Calendar Days.</w:t>
            </w:r>
          </w:p>
        </w:tc>
        <w:tc>
          <w:tcPr>
            <w:tcW w:type="dxa" w:w="1829"/>
            <w:shd w:fill="F7F9FB"/>
            <w:tcMar>
              <w:top w:w="95" w:type="dxa"/>
              <w:bottom w:w="95" w:type="dxa"/>
              <w:left w:w="130" w:type="dxa"/>
              <w:right w:w="130" w:type="dxa"/>
            </w:tcMar>
          </w:tcPr>
          <w:p>
            <w:pPr>
              <w:spacing w:before="0" w:after="0"/>
            </w:pPr>
            <w:r>
              <w:rPr>
                <w:rFonts w:ascii="Calibri" w:hAnsi="Calibri"/>
                <w:color w:val="2D3237"/>
                <w:sz w:val="17"/>
              </w:rPr>
              <w:t>Flagged in executive cybersecurity risk dashboard.</w:t>
            </w:r>
          </w:p>
        </w:tc>
      </w:tr>
      <w:tr>
        <w:tc>
          <w:tcPr>
            <w:tcW w:type="dxa" w:w="2016"/>
            <w:shd w:fill="FFFFFF"/>
            <w:tcMar>
              <w:top w:w="95" w:type="dxa"/>
              <w:bottom w:w="95" w:type="dxa"/>
              <w:left w:w="130" w:type="dxa"/>
              <w:right w:w="130" w:type="dxa"/>
            </w:tcMar>
          </w:tcPr>
          <w:p>
            <w:pPr>
              <w:spacing w:before="0" w:after="0"/>
            </w:pPr>
            <w:r>
              <w:rPr>
                <w:rFonts w:ascii="Calibri" w:hAnsi="Calibri"/>
                <w:color w:val="2D3237"/>
                <w:sz w:val="17"/>
              </w:rPr>
              <w:t>Low (Severity 4)</w:t>
            </w:r>
          </w:p>
        </w:tc>
        <w:tc>
          <w:tcPr>
            <w:tcW w:type="dxa" w:w="3168"/>
            <w:shd w:fill="FFFFFF"/>
            <w:tcMar>
              <w:top w:w="95" w:type="dxa"/>
              <w:bottom w:w="95" w:type="dxa"/>
              <w:left w:w="130" w:type="dxa"/>
              <w:right w:w="130" w:type="dxa"/>
            </w:tcMar>
          </w:tcPr>
          <w:p>
            <w:pPr>
              <w:spacing w:before="0" w:after="0"/>
            </w:pPr>
            <w:r>
              <w:rPr>
                <w:rFonts w:ascii="Calibri" w:hAnsi="Calibri"/>
                <w:color w:val="2D3237"/>
                <w:sz w:val="17"/>
              </w:rPr>
              <w:t>CVSS 0.1 - 3.9: Minor information disclosure, non-exploitable configuration flaw.</w:t>
            </w:r>
          </w:p>
        </w:tc>
        <w:tc>
          <w:tcPr>
            <w:tcW w:type="dxa" w:w="2016"/>
            <w:shd w:fill="FFFFFF"/>
            <w:tcMar>
              <w:top w:w="95" w:type="dxa"/>
              <w:bottom w:w="95" w:type="dxa"/>
              <w:left w:w="130" w:type="dxa"/>
              <w:right w:w="130" w:type="dxa"/>
            </w:tcMar>
          </w:tcPr>
          <w:p>
            <w:pPr>
              <w:spacing w:before="0" w:after="0"/>
            </w:pPr>
            <w:r>
              <w:rPr>
                <w:rFonts w:ascii="Calibri" w:hAnsi="Calibri"/>
                <w:color w:val="2D3237"/>
                <w:sz w:val="17"/>
              </w:rPr>
              <w:t>Remediation within 90 Calendar Days (Next routine patch cycle).</w:t>
            </w:r>
          </w:p>
        </w:tc>
        <w:tc>
          <w:tcPr>
            <w:tcW w:type="dxa" w:w="1829"/>
            <w:shd w:fill="FFFFFF"/>
            <w:tcMar>
              <w:top w:w="95" w:type="dxa"/>
              <w:bottom w:w="95" w:type="dxa"/>
              <w:left w:w="130" w:type="dxa"/>
              <w:right w:w="130" w:type="dxa"/>
            </w:tcMar>
          </w:tcPr>
          <w:p>
            <w:pPr>
              <w:spacing w:before="0" w:after="0"/>
            </w:pPr>
            <w:r>
              <w:rPr>
                <w:rFonts w:ascii="Calibri" w:hAnsi="Calibri"/>
                <w:color w:val="2D3237"/>
                <w:sz w:val="17"/>
              </w:rPr>
              <w:t>Resolved during standard sprint maintenance.</w:t>
            </w:r>
          </w:p>
        </w:tc>
      </w:tr>
    </w:tbl>
    <w:p>
      <w:pPr>
        <w:spacing w:before="0" w:after="80"/>
      </w:pPr>
    </w:p>
    <w:p>
      <w:pPr>
        <w:keepNext/>
        <w:spacing w:before="200" w:after="40"/>
      </w:pPr>
      <w:r>
        <w:rPr>
          <w:rFonts w:ascii="Calibri" w:hAnsi="Calibri"/>
          <w:b/>
          <w:color w:val="0B2545"/>
          <w:sz w:val="21"/>
        </w:rPr>
        <w:t>11.3 Independent Penetration Testing &amp; Adversarial Red-Teaming</w:t>
      </w:r>
    </w:p>
    <w:p>
      <w:pPr>
        <w:spacing w:before="0" w:after="120" w:line="276" w:lineRule="auto"/>
      </w:pPr>
      <w:r>
        <w:rPr>
          <w:rFonts w:ascii="Calibri" w:hAnsi="Calibri"/>
          <w:color w:val="2D3237"/>
          <w:sz w:val="20"/>
        </w:rPr>
        <w:t>Clause 11.3.1 — All Tier 1 and Tier 2 external-facing applications, sovereign cloud enclaves, and public API gateways must undergo comprehensive independent penetration testing at least semi-annually, conducted by accredited third-party offensive cybersecurity firms (CREST / CHECK certified). Additionally, the internal G42 Red Team conducts continuous simulated cyber attacks (breach and attack simulation - BAS) against internal production environments.</w:t>
      </w:r>
    </w:p>
    <w:p>
      <w:r>
        <w:br w:type="page"/>
      </w:r>
    </w:p>
    <w:p>
      <w:pPr>
        <w:keepNext/>
        <w:spacing w:before="400" w:after="120"/>
      </w:pPr>
      <w:r>
        <w:rPr>
          <w:rFonts w:ascii="Calibri" w:hAnsi="Calibri"/>
          <w:b/>
          <w:color w:val="0B2545"/>
          <w:sz w:val="30"/>
        </w:rPr>
        <w:t>SECTION 12: SECURITY OPERATIONS CENTER (CSOC) &amp; TELEMETRY</w:t>
      </w:r>
    </w:p>
    <w:p>
      <w:pPr>
        <w:keepNext/>
        <w:spacing w:before="280" w:after="80"/>
      </w:pPr>
      <w:r>
        <w:rPr>
          <w:rFonts w:ascii="Calibri" w:hAnsi="Calibri"/>
          <w:b/>
          <w:color w:val="136F63"/>
          <w:sz w:val="24"/>
        </w:rPr>
        <w:t>12.1 Centralized Security Information &amp; Event Management (SIEM)</w:t>
      </w:r>
    </w:p>
    <w:p>
      <w:pPr>
        <w:spacing w:before="0" w:after="120" w:line="276" w:lineRule="auto"/>
      </w:pPr>
      <w:r>
        <w:rPr>
          <w:rFonts w:ascii="Calibri" w:hAnsi="Calibri"/>
          <w:color w:val="2D3237"/>
          <w:sz w:val="20"/>
        </w:rPr>
        <w:t>Clause 12.1.1 — All computing nodes, firewalls, routers, cloud tenancies, Kubernetes clusters, identity systems (Entra ID), databases, and developer workstations must stream real-time security telemetry to the central G42 SIEM platform (Microsoft Sentinel / Splunk Enterprise Security).</w:t>
      </w:r>
    </w:p>
    <w:p>
      <w:pPr>
        <w:spacing w:before="0" w:after="120" w:line="276" w:lineRule="auto"/>
      </w:pPr>
      <w:r>
        <w:rPr>
          <w:rFonts w:ascii="Calibri" w:hAnsi="Calibri"/>
          <w:color w:val="2D3237"/>
          <w:sz w:val="20"/>
        </w:rPr>
        <w:t>Clause 12.1.2 — Audit logs must capture: (a) Timestamp (synchronized via authenticated NTP to UTC); (b) Source and destination IP addresses; (c) Authenticated User/Machine Identity (SPN); (d) Resource requested; (e) Decision outcome (permit/deny); and (f) Session ID. In accordance with UAE national cyber compliance, all security audit logs must be cryptographically hashed, forwarded to immutable write-once storage, and retained for a minimum of 365 calendar days.</w:t>
      </w:r>
    </w:p>
    <w:p>
      <w:pPr>
        <w:keepNext/>
        <w:spacing w:before="280" w:after="80"/>
      </w:pPr>
      <w:r>
        <w:rPr>
          <w:rFonts w:ascii="Calibri" w:hAnsi="Calibri"/>
          <w:b/>
          <w:color w:val="136F63"/>
          <w:sz w:val="24"/>
        </w:rPr>
        <w:t>12.2 Security Orchestration, Automation &amp; Response (SOAR)</w:t>
      </w:r>
    </w:p>
    <w:p>
      <w:pPr>
        <w:spacing w:before="0" w:after="120" w:line="276" w:lineRule="auto"/>
      </w:pPr>
      <w:r>
        <w:rPr>
          <w:rFonts w:ascii="Calibri" w:hAnsi="Calibri"/>
          <w:color w:val="2D3237"/>
          <w:sz w:val="20"/>
        </w:rPr>
        <w:t>Clause 12.2.1 — The G42 Cyber Security Operations Center (CSOC) operates 24/7/365, utilizing automated SOAR playbooks to respond to high-velocity cyber attacks without human delay. Automated playbooks include: (a) Instant IP address blocking at the border firewall upon detection of DDoS or brute-force patterns; (b) Immediate account suspension upon detection of impossible travel anomalies or credential stuffing; and (c) Automated memory dumping and host isolation upon EDR malware detection.</w:t>
      </w:r>
    </w:p>
    <w:p>
      <w:pPr>
        <w:keepNext/>
        <w:spacing w:before="200" w:after="40"/>
      </w:pPr>
      <w:r>
        <w:rPr>
          <w:rFonts w:ascii="Calibri" w:hAnsi="Calibri"/>
          <w:b/>
          <w:color w:val="0B2545"/>
          <w:sz w:val="21"/>
        </w:rPr>
        <w:t>12.3 Proactive Threat Hunting &amp; MITRE ATT&amp;CK Mapping</w:t>
      </w:r>
    </w:p>
    <w:p>
      <w:pPr>
        <w:spacing w:before="0" w:after="120" w:line="276" w:lineRule="auto"/>
      </w:pPr>
      <w:r>
        <w:rPr>
          <w:rFonts w:ascii="Calibri" w:hAnsi="Calibri"/>
          <w:color w:val="2D3237"/>
          <w:sz w:val="20"/>
        </w:rPr>
        <w:t>Clause 12.3.1 — CSOC Threat Intelligence analysts must conduct continuous, proactive threat hunting across all group telemetry, mapping observed adversary behaviors directly against the MITRE ATT&amp;CK Enterprise Framework. High-priority threat hunting targets include nation-state Advanced Persistent Threat (APT) groups, supply chain backdoors, and novel AI jailbreak exploit chains.</w:t>
      </w:r>
    </w:p>
    <w:p>
      <w:r>
        <w:br w:type="page"/>
      </w:r>
    </w:p>
    <w:p>
      <w:pPr>
        <w:keepNext/>
        <w:spacing w:before="400" w:after="120"/>
      </w:pPr>
      <w:r>
        <w:rPr>
          <w:rFonts w:ascii="Calibri" w:hAnsi="Calibri"/>
          <w:b/>
          <w:color w:val="0B2545"/>
          <w:sz w:val="30"/>
        </w:rPr>
        <w:t>SECTION 13: CYBER INCIDENT MANAGEMENT &amp; REGULATORY DISCLOSURE</w:t>
      </w:r>
    </w:p>
    <w:p>
      <w:pPr>
        <w:keepNext/>
        <w:spacing w:before="280" w:after="80"/>
      </w:pPr>
      <w:r>
        <w:rPr>
          <w:rFonts w:ascii="Calibri" w:hAnsi="Calibri"/>
          <w:b/>
          <w:color w:val="136F63"/>
          <w:sz w:val="24"/>
        </w:rPr>
        <w:t>13.1 Enterprise Cyber Incident Severity Matrix</w:t>
      </w:r>
    </w:p>
    <w:p>
      <w:pPr>
        <w:spacing w:before="0" w:after="120" w:line="276" w:lineRule="auto"/>
      </w:pPr>
      <w:r>
        <w:rPr>
          <w:rFonts w:ascii="Calibri" w:hAnsi="Calibri"/>
          <w:color w:val="2D3237"/>
          <w:sz w:val="20"/>
        </w:rPr>
        <w:t>Clause 13.1.1 — All detected security incidents, unauthorized data exposures, ransomware activations, and network intrusions must be classified according to the Enterprise Cyber Incident Severity Matrix:</w:t>
      </w:r>
    </w:p>
    <w:tbl>
      <w:tblPr>
        <w:tblW w:type="auto" w:w="0"/>
        <w:jc w:val="center"/>
        <w:tblLayout w:type="fixed"/>
        <w:tblLook w:firstColumn="1" w:firstRow="1" w:lastColumn="0" w:lastRow="0" w:noHBand="0" w:noVBand="1" w:val="04A0"/>
      </w:tblPr>
      <w:tblGrid>
        <w:gridCol w:w="1872"/>
        <w:gridCol w:w="2880"/>
        <w:gridCol w:w="2016"/>
        <w:gridCol w:w="2261"/>
      </w:tblGrid>
      <w:tr>
        <w:tc>
          <w:tcPr>
            <w:tcW w:type="dxa" w:w="1872"/>
            <w:shd w:fill="0B2545"/>
            <w:tcMar>
              <w:top w:w="120" w:type="dxa"/>
              <w:bottom w:w="120" w:type="dxa"/>
              <w:left w:w="130" w:type="dxa"/>
              <w:right w:w="130" w:type="dxa"/>
            </w:tcMar>
          </w:tcPr>
          <w:p>
            <w:pPr>
              <w:spacing w:before="0" w:after="0"/>
              <w:jc w:val="left"/>
            </w:pPr>
            <w:r>
              <w:rPr>
                <w:rFonts w:ascii="Calibri" w:hAnsi="Calibri"/>
                <w:b/>
                <w:color w:val="FFFFFF"/>
                <w:sz w:val="18"/>
              </w:rPr>
              <w:t>Incident Severity</w:t>
            </w:r>
          </w:p>
        </w:tc>
        <w:tc>
          <w:tcPr>
            <w:tcW w:type="dxa" w:w="2880"/>
            <w:shd w:fill="0B2545"/>
            <w:tcMar>
              <w:top w:w="120" w:type="dxa"/>
              <w:bottom w:w="120" w:type="dxa"/>
              <w:left w:w="130" w:type="dxa"/>
              <w:right w:w="130" w:type="dxa"/>
            </w:tcMar>
          </w:tcPr>
          <w:p>
            <w:pPr>
              <w:spacing w:before="0" w:after="0"/>
              <w:jc w:val="left"/>
            </w:pPr>
            <w:r>
              <w:rPr>
                <w:rFonts w:ascii="Calibri" w:hAnsi="Calibri"/>
                <w:b/>
                <w:color w:val="FFFFFF"/>
                <w:sz w:val="18"/>
              </w:rPr>
              <w:t>Impact &amp; Profile</w:t>
            </w:r>
          </w:p>
        </w:tc>
        <w:tc>
          <w:tcPr>
            <w:tcW w:type="dxa" w:w="2016"/>
            <w:shd w:fill="0B2545"/>
            <w:tcMar>
              <w:top w:w="120" w:type="dxa"/>
              <w:bottom w:w="120" w:type="dxa"/>
              <w:left w:w="130" w:type="dxa"/>
              <w:right w:w="130" w:type="dxa"/>
            </w:tcMar>
          </w:tcPr>
          <w:p>
            <w:pPr>
              <w:spacing w:before="0" w:after="0"/>
              <w:jc w:val="left"/>
            </w:pPr>
            <w:r>
              <w:rPr>
                <w:rFonts w:ascii="Calibri" w:hAnsi="Calibri"/>
                <w:b/>
                <w:color w:val="FFFFFF"/>
                <w:sz w:val="18"/>
              </w:rPr>
              <w:t>Target SLA</w:t>
            </w:r>
          </w:p>
        </w:tc>
        <w:tc>
          <w:tcPr>
            <w:tcW w:type="dxa" w:w="2261"/>
            <w:shd w:fill="0B2545"/>
            <w:tcMar>
              <w:top w:w="120" w:type="dxa"/>
              <w:bottom w:w="120" w:type="dxa"/>
              <w:left w:w="130" w:type="dxa"/>
              <w:right w:w="130" w:type="dxa"/>
            </w:tcMar>
          </w:tcPr>
          <w:p>
            <w:pPr>
              <w:spacing w:before="0" w:after="0"/>
              <w:jc w:val="left"/>
            </w:pPr>
            <w:r>
              <w:rPr>
                <w:rFonts w:ascii="Calibri" w:hAnsi="Calibri"/>
                <w:b/>
                <w:color w:val="FFFFFF"/>
                <w:sz w:val="18"/>
              </w:rPr>
              <w:t>Mandatory Escalation</w:t>
            </w:r>
          </w:p>
        </w:tc>
      </w:tr>
      <w:tr>
        <w:tc>
          <w:tcPr>
            <w:tcW w:type="dxa" w:w="1872"/>
            <w:shd w:fill="FFFFFF"/>
            <w:tcMar>
              <w:top w:w="95" w:type="dxa"/>
              <w:bottom w:w="95" w:type="dxa"/>
              <w:left w:w="130" w:type="dxa"/>
              <w:right w:w="130" w:type="dxa"/>
            </w:tcMar>
          </w:tcPr>
          <w:p>
            <w:pPr>
              <w:spacing w:before="0" w:after="0"/>
            </w:pPr>
            <w:r>
              <w:rPr>
                <w:rFonts w:ascii="Calibri" w:hAnsi="Calibri"/>
                <w:color w:val="2D3237"/>
                <w:sz w:val="17"/>
              </w:rPr>
              <w:t>Severity Level</w:t>
            </w:r>
          </w:p>
        </w:tc>
        <w:tc>
          <w:tcPr>
            <w:tcW w:type="dxa" w:w="2880"/>
            <w:shd w:fill="FFFFFF"/>
            <w:tcMar>
              <w:top w:w="95" w:type="dxa"/>
              <w:bottom w:w="95" w:type="dxa"/>
              <w:left w:w="130" w:type="dxa"/>
              <w:right w:w="130" w:type="dxa"/>
            </w:tcMar>
          </w:tcPr>
          <w:p>
            <w:pPr>
              <w:spacing w:before="0" w:after="0"/>
            </w:pPr>
            <w:r>
              <w:rPr>
                <w:rFonts w:ascii="Calibri" w:hAnsi="Calibri"/>
                <w:color w:val="2D3237"/>
                <w:sz w:val="17"/>
              </w:rPr>
              <w:t>Incident Profile &amp; Real-World Impact Examples</w:t>
            </w:r>
          </w:p>
        </w:tc>
        <w:tc>
          <w:tcPr>
            <w:tcW w:type="dxa" w:w="2016"/>
            <w:shd w:fill="FFFFFF"/>
            <w:tcMar>
              <w:top w:w="95" w:type="dxa"/>
              <w:bottom w:w="95" w:type="dxa"/>
              <w:left w:w="130" w:type="dxa"/>
              <w:right w:w="130" w:type="dxa"/>
            </w:tcMar>
          </w:tcPr>
          <w:p>
            <w:pPr>
              <w:spacing w:before="0" w:after="0"/>
            </w:pPr>
            <w:r>
              <w:rPr>
                <w:rFonts w:ascii="Calibri" w:hAnsi="Calibri"/>
                <w:color w:val="2D3237"/>
                <w:sz w:val="17"/>
              </w:rPr>
              <w:t>CSOC Response SLA</w:t>
            </w:r>
          </w:p>
        </w:tc>
        <w:tc>
          <w:tcPr>
            <w:tcW w:type="dxa" w:w="2261"/>
            <w:shd w:fill="FFFFFF"/>
            <w:tcMar>
              <w:top w:w="95" w:type="dxa"/>
              <w:bottom w:w="95" w:type="dxa"/>
              <w:left w:w="130" w:type="dxa"/>
              <w:right w:w="130" w:type="dxa"/>
            </w:tcMar>
          </w:tcPr>
          <w:p>
            <w:pPr>
              <w:spacing w:before="0" w:after="0"/>
            </w:pPr>
            <w:r>
              <w:rPr>
                <w:rFonts w:ascii="Calibri" w:hAnsi="Calibri"/>
                <w:color w:val="2D3237"/>
                <w:sz w:val="17"/>
              </w:rPr>
              <w:t>Mandatory Escalation &amp; Notification</w:t>
            </w:r>
          </w:p>
        </w:tc>
      </w:tr>
      <w:tr>
        <w:tc>
          <w:tcPr>
            <w:tcW w:type="dxa" w:w="1872"/>
            <w:shd w:fill="F7F9FB"/>
            <w:tcMar>
              <w:top w:w="95" w:type="dxa"/>
              <w:bottom w:w="95" w:type="dxa"/>
              <w:left w:w="130" w:type="dxa"/>
              <w:right w:w="130" w:type="dxa"/>
            </w:tcMar>
          </w:tcPr>
          <w:p>
            <w:pPr>
              <w:spacing w:before="0" w:after="0"/>
            </w:pPr>
            <w:r>
              <w:rPr>
                <w:rFonts w:ascii="Calibri" w:hAnsi="Calibri"/>
                <w:color w:val="2D3237"/>
                <w:sz w:val="17"/>
              </w:rPr>
              <w:t>Severity 1: Critical Cyber Emergency</w:t>
            </w:r>
          </w:p>
        </w:tc>
        <w:tc>
          <w:tcPr>
            <w:tcW w:type="dxa" w:w="2880"/>
            <w:shd w:fill="F7F9FB"/>
            <w:tcMar>
              <w:top w:w="95" w:type="dxa"/>
              <w:bottom w:w="95" w:type="dxa"/>
              <w:left w:w="130" w:type="dxa"/>
              <w:right w:w="130" w:type="dxa"/>
            </w:tcMar>
          </w:tcPr>
          <w:p>
            <w:pPr>
              <w:spacing w:before="0" w:after="0"/>
            </w:pPr>
            <w:r>
              <w:rPr>
                <w:rFonts w:ascii="Calibri" w:hAnsi="Calibri"/>
                <w:color w:val="2D3237"/>
                <w:sz w:val="17"/>
              </w:rPr>
              <w:t>Active ransomware encryption; unauthorized exfiltration of Level 4 Sovereign Data; compromise of cloud root keys; full outage of supercomputing fabric.</w:t>
            </w:r>
          </w:p>
        </w:tc>
        <w:tc>
          <w:tcPr>
            <w:tcW w:type="dxa" w:w="2016"/>
            <w:shd w:fill="F7F9FB"/>
            <w:tcMar>
              <w:top w:w="95" w:type="dxa"/>
              <w:bottom w:w="95" w:type="dxa"/>
              <w:left w:w="130" w:type="dxa"/>
              <w:right w:w="130" w:type="dxa"/>
            </w:tcMar>
          </w:tcPr>
          <w:p>
            <w:pPr>
              <w:spacing w:before="0" w:after="0"/>
            </w:pPr>
            <w:r>
              <w:rPr>
                <w:rFonts w:ascii="Calibri" w:hAnsi="Calibri"/>
                <w:color w:val="2D3237"/>
                <w:sz w:val="17"/>
              </w:rPr>
              <w:t>Immediate Response (&lt; 15 Mins); Containment Target &lt; 2 Hours.</w:t>
            </w:r>
          </w:p>
        </w:tc>
        <w:tc>
          <w:tcPr>
            <w:tcW w:type="dxa" w:w="2261"/>
            <w:shd w:fill="F7F9FB"/>
            <w:tcMar>
              <w:top w:w="95" w:type="dxa"/>
              <w:bottom w:w="95" w:type="dxa"/>
              <w:left w:w="130" w:type="dxa"/>
              <w:right w:w="130" w:type="dxa"/>
            </w:tcMar>
          </w:tcPr>
          <w:p>
            <w:pPr>
              <w:spacing w:before="0" w:after="0"/>
            </w:pPr>
            <w:r>
              <w:rPr>
                <w:rFonts w:ascii="Calibri" w:hAnsi="Calibri"/>
                <w:color w:val="2D3237"/>
                <w:sz w:val="17"/>
              </w:rPr>
              <w:t>Immediate CSOC emergency containment; notify Group CEO, CISO, GC, Board Risk Council, and UAE Cyber Security Council within 2 hours.</w:t>
            </w:r>
          </w:p>
        </w:tc>
      </w:tr>
      <w:tr>
        <w:tc>
          <w:tcPr>
            <w:tcW w:type="dxa" w:w="1872"/>
            <w:shd w:fill="FFFFFF"/>
            <w:tcMar>
              <w:top w:w="95" w:type="dxa"/>
              <w:bottom w:w="95" w:type="dxa"/>
              <w:left w:w="130" w:type="dxa"/>
              <w:right w:w="130" w:type="dxa"/>
            </w:tcMar>
          </w:tcPr>
          <w:p>
            <w:pPr>
              <w:spacing w:before="0" w:after="0"/>
            </w:pPr>
            <w:r>
              <w:rPr>
                <w:rFonts w:ascii="Calibri" w:hAnsi="Calibri"/>
                <w:color w:val="2D3237"/>
                <w:sz w:val="17"/>
              </w:rPr>
              <w:t>Severity 2: Major Security Incident</w:t>
            </w:r>
          </w:p>
        </w:tc>
        <w:tc>
          <w:tcPr>
            <w:tcW w:type="dxa" w:w="2880"/>
            <w:shd w:fill="FFFFFF"/>
            <w:tcMar>
              <w:top w:w="95" w:type="dxa"/>
              <w:bottom w:w="95" w:type="dxa"/>
              <w:left w:w="130" w:type="dxa"/>
              <w:right w:w="130" w:type="dxa"/>
            </w:tcMar>
          </w:tcPr>
          <w:p>
            <w:pPr>
              <w:spacing w:before="0" w:after="0"/>
            </w:pPr>
            <w:r>
              <w:rPr>
                <w:rFonts w:ascii="Calibri" w:hAnsi="Calibri"/>
                <w:color w:val="2D3237"/>
                <w:sz w:val="17"/>
              </w:rPr>
              <w:t>Successful compromise of privileged administrator account; uncontained malware on production server; unauthorized database query on Level 3 data.</w:t>
            </w:r>
          </w:p>
        </w:tc>
        <w:tc>
          <w:tcPr>
            <w:tcW w:type="dxa" w:w="2016"/>
            <w:shd w:fill="FFFFFF"/>
            <w:tcMar>
              <w:top w:w="95" w:type="dxa"/>
              <w:bottom w:w="95" w:type="dxa"/>
              <w:left w:w="130" w:type="dxa"/>
              <w:right w:w="130" w:type="dxa"/>
            </w:tcMar>
          </w:tcPr>
          <w:p>
            <w:pPr>
              <w:spacing w:before="0" w:after="0"/>
            </w:pPr>
            <w:r>
              <w:rPr>
                <w:rFonts w:ascii="Calibri" w:hAnsi="Calibri"/>
                <w:color w:val="2D3237"/>
                <w:sz w:val="17"/>
              </w:rPr>
              <w:t>Response &lt; 30 Mins; Containment Target &lt; 6 Hours.</w:t>
            </w:r>
          </w:p>
        </w:tc>
        <w:tc>
          <w:tcPr>
            <w:tcW w:type="dxa" w:w="2261"/>
            <w:shd w:fill="FFFFFF"/>
            <w:tcMar>
              <w:top w:w="95" w:type="dxa"/>
              <w:bottom w:w="95" w:type="dxa"/>
              <w:left w:w="130" w:type="dxa"/>
              <w:right w:w="130" w:type="dxa"/>
            </w:tcMar>
          </w:tcPr>
          <w:p>
            <w:pPr>
              <w:spacing w:before="0" w:after="0"/>
            </w:pPr>
            <w:r>
              <w:rPr>
                <w:rFonts w:ascii="Calibri" w:hAnsi="Calibri"/>
                <w:color w:val="2D3237"/>
                <w:sz w:val="17"/>
              </w:rPr>
              <w:t>Escalate to OpCo CISO, Group Head of Cyber Defense; daily updates to Group CISO until full remediation.</w:t>
            </w:r>
          </w:p>
        </w:tc>
      </w:tr>
      <w:tr>
        <w:tc>
          <w:tcPr>
            <w:tcW w:type="dxa" w:w="1872"/>
            <w:shd w:fill="F7F9FB"/>
            <w:tcMar>
              <w:top w:w="95" w:type="dxa"/>
              <w:bottom w:w="95" w:type="dxa"/>
              <w:left w:w="130" w:type="dxa"/>
              <w:right w:w="130" w:type="dxa"/>
            </w:tcMar>
          </w:tcPr>
          <w:p>
            <w:pPr>
              <w:spacing w:before="0" w:after="0"/>
            </w:pPr>
            <w:r>
              <w:rPr>
                <w:rFonts w:ascii="Calibri" w:hAnsi="Calibri"/>
                <w:color w:val="2D3237"/>
                <w:sz w:val="17"/>
              </w:rPr>
              <w:t>Severity 3: Moderate Incident</w:t>
            </w:r>
          </w:p>
        </w:tc>
        <w:tc>
          <w:tcPr>
            <w:tcW w:type="dxa" w:w="2880"/>
            <w:shd w:fill="F7F9FB"/>
            <w:tcMar>
              <w:top w:w="95" w:type="dxa"/>
              <w:bottom w:w="95" w:type="dxa"/>
              <w:left w:w="130" w:type="dxa"/>
              <w:right w:w="130" w:type="dxa"/>
            </w:tcMar>
          </w:tcPr>
          <w:p>
            <w:pPr>
              <w:spacing w:before="0" w:after="0"/>
            </w:pPr>
            <w:r>
              <w:rPr>
                <w:rFonts w:ascii="Calibri" w:hAnsi="Calibri"/>
                <w:color w:val="2D3237"/>
                <w:sz w:val="17"/>
              </w:rPr>
              <w:t>Isolated malware infection on single employee laptop (contained by EDR); phishing attack with zero credential leakage; non-critical web defacement.</w:t>
            </w:r>
          </w:p>
        </w:tc>
        <w:tc>
          <w:tcPr>
            <w:tcW w:type="dxa" w:w="2016"/>
            <w:shd w:fill="F7F9FB"/>
            <w:tcMar>
              <w:top w:w="95" w:type="dxa"/>
              <w:bottom w:w="95" w:type="dxa"/>
              <w:left w:w="130" w:type="dxa"/>
              <w:right w:w="130" w:type="dxa"/>
            </w:tcMar>
          </w:tcPr>
          <w:p>
            <w:pPr>
              <w:spacing w:before="0" w:after="0"/>
            </w:pPr>
            <w:r>
              <w:rPr>
                <w:rFonts w:ascii="Calibri" w:hAnsi="Calibri"/>
                <w:color w:val="2D3237"/>
                <w:sz w:val="17"/>
              </w:rPr>
              <w:t>Response &lt; 2 Hours; Resolution Target &lt; 24 Hours.</w:t>
            </w:r>
          </w:p>
        </w:tc>
        <w:tc>
          <w:tcPr>
            <w:tcW w:type="dxa" w:w="2261"/>
            <w:shd w:fill="F7F9FB"/>
            <w:tcMar>
              <w:top w:w="95" w:type="dxa"/>
              <w:bottom w:w="95" w:type="dxa"/>
              <w:left w:w="130" w:type="dxa"/>
              <w:right w:w="130" w:type="dxa"/>
            </w:tcMar>
          </w:tcPr>
          <w:p>
            <w:pPr>
              <w:spacing w:before="0" w:after="0"/>
            </w:pPr>
            <w:r>
              <w:rPr>
                <w:rFonts w:ascii="Calibri" w:hAnsi="Calibri"/>
                <w:color w:val="2D3237"/>
                <w:sz w:val="17"/>
              </w:rPr>
              <w:t>Managed by CSOC Incident Response Team; logged in quarterly security compliance metrics.</w:t>
            </w:r>
          </w:p>
        </w:tc>
      </w:tr>
      <w:tr>
        <w:tc>
          <w:tcPr>
            <w:tcW w:type="dxa" w:w="1872"/>
            <w:shd w:fill="FFFFFF"/>
            <w:tcMar>
              <w:top w:w="95" w:type="dxa"/>
              <w:bottom w:w="95" w:type="dxa"/>
              <w:left w:w="130" w:type="dxa"/>
              <w:right w:w="130" w:type="dxa"/>
            </w:tcMar>
          </w:tcPr>
          <w:p>
            <w:pPr>
              <w:spacing w:before="0" w:after="0"/>
            </w:pPr>
            <w:r>
              <w:rPr>
                <w:rFonts w:ascii="Calibri" w:hAnsi="Calibri"/>
                <w:color w:val="2D3237"/>
                <w:sz w:val="17"/>
              </w:rPr>
              <w:t>Severity 4: Low-Level Event</w:t>
            </w:r>
          </w:p>
        </w:tc>
        <w:tc>
          <w:tcPr>
            <w:tcW w:type="dxa" w:w="2880"/>
            <w:shd w:fill="FFFFFF"/>
            <w:tcMar>
              <w:top w:w="95" w:type="dxa"/>
              <w:bottom w:w="95" w:type="dxa"/>
              <w:left w:w="130" w:type="dxa"/>
              <w:right w:w="130" w:type="dxa"/>
            </w:tcMar>
          </w:tcPr>
          <w:p>
            <w:pPr>
              <w:spacing w:before="0" w:after="0"/>
            </w:pPr>
            <w:r>
              <w:rPr>
                <w:rFonts w:ascii="Calibri" w:hAnsi="Calibri"/>
                <w:color w:val="2D3237"/>
                <w:sz w:val="17"/>
              </w:rPr>
              <w:t>Routine port scanning from external IP; isolated failed brute-force attempt; non-malicious policy violation (e.g., unauthorized USB insertion).</w:t>
            </w:r>
          </w:p>
        </w:tc>
        <w:tc>
          <w:tcPr>
            <w:tcW w:type="dxa" w:w="2016"/>
            <w:shd w:fill="FFFFFF"/>
            <w:tcMar>
              <w:top w:w="95" w:type="dxa"/>
              <w:bottom w:w="95" w:type="dxa"/>
              <w:left w:w="130" w:type="dxa"/>
              <w:right w:w="130" w:type="dxa"/>
            </w:tcMar>
          </w:tcPr>
          <w:p>
            <w:pPr>
              <w:spacing w:before="0" w:after="0"/>
            </w:pPr>
            <w:r>
              <w:rPr>
                <w:rFonts w:ascii="Calibri" w:hAnsi="Calibri"/>
                <w:color w:val="2D3237"/>
                <w:sz w:val="17"/>
              </w:rPr>
              <w:t>Response &lt; 8 Hours; Resolution Target &lt; 3 Business Days.</w:t>
            </w:r>
          </w:p>
        </w:tc>
        <w:tc>
          <w:tcPr>
            <w:tcW w:type="dxa" w:w="2261"/>
            <w:shd w:fill="FFFFFF"/>
            <w:tcMar>
              <w:top w:w="95" w:type="dxa"/>
              <w:bottom w:w="95" w:type="dxa"/>
              <w:left w:w="130" w:type="dxa"/>
              <w:right w:w="130" w:type="dxa"/>
            </w:tcMar>
          </w:tcPr>
          <w:p>
            <w:pPr>
              <w:spacing w:before="0" w:after="0"/>
            </w:pPr>
            <w:r>
              <w:rPr>
                <w:rFonts w:ascii="Calibri" w:hAnsi="Calibri"/>
                <w:color w:val="2D3237"/>
                <w:sz w:val="17"/>
              </w:rPr>
              <w:t>Handled via automated SOAR playbooks; archived in weekly audit telemetry.</w:t>
            </w:r>
          </w:p>
        </w:tc>
      </w:tr>
    </w:tbl>
    <w:p>
      <w:pPr>
        <w:spacing w:before="0" w:after="80"/>
      </w:pPr>
    </w:p>
    <w:p>
      <w:pPr>
        <w:keepNext/>
        <w:spacing w:before="280" w:after="80"/>
      </w:pPr>
      <w:r>
        <w:rPr>
          <w:rFonts w:ascii="Calibri" w:hAnsi="Calibri"/>
          <w:b/>
          <w:color w:val="136F63"/>
          <w:sz w:val="24"/>
        </w:rPr>
        <w:t>13.2 Statutory Regulatory Breach Notification (UAE &amp; Global)</w:t>
      </w:r>
    </w:p>
    <w:p>
      <w:pPr>
        <w:spacing w:before="0" w:after="120" w:line="276" w:lineRule="auto"/>
      </w:pPr>
      <w:r>
        <w:rPr>
          <w:rFonts w:ascii="Calibri" w:hAnsi="Calibri"/>
          <w:color w:val="2D3237"/>
          <w:sz w:val="20"/>
        </w:rPr>
        <w:t>Clause 13.2.1 — In the event of a confirmed personal data breach or critical infrastructure cybersecurity compromise, G42 must notify the UAE Cyber Security Council, the UAE Data Office, and affected international regulators within 72 hours of confirmation, in strict compliance with UAE Federal Decree-Law No. 45/2021 (Personal Data Protection Law) and international data privacy statutes.</w:t>
      </w:r>
    </w:p>
    <w:p>
      <w:r>
        <w:br w:type="page"/>
      </w:r>
    </w:p>
    <w:p>
      <w:pPr>
        <w:keepNext/>
        <w:spacing w:before="400" w:after="120"/>
      </w:pPr>
      <w:r>
        <w:rPr>
          <w:rFonts w:ascii="Calibri" w:hAnsi="Calibri"/>
          <w:b/>
          <w:color w:val="0B2545"/>
          <w:sz w:val="30"/>
        </w:rPr>
        <w:t>SECTION 14: THIRD-PARTY, VENDOR &amp; SUPPLY CHAIN CYBERSECURITY</w:t>
      </w:r>
    </w:p>
    <w:p>
      <w:pPr>
        <w:keepNext/>
        <w:spacing w:before="280" w:after="80"/>
      </w:pPr>
      <w:r>
        <w:rPr>
          <w:rFonts w:ascii="Calibri" w:hAnsi="Calibri"/>
          <w:b/>
          <w:color w:val="136F63"/>
          <w:sz w:val="24"/>
        </w:rPr>
        <w:t>14.1 Vendor Cybersecurity Risk Assessment (TPRM)</w:t>
      </w:r>
    </w:p>
    <w:p>
      <w:pPr>
        <w:spacing w:before="0" w:after="120" w:line="276" w:lineRule="auto"/>
      </w:pPr>
      <w:r>
        <w:rPr>
          <w:rFonts w:ascii="Calibri" w:hAnsi="Calibri"/>
          <w:color w:val="2D3237"/>
          <w:sz w:val="20"/>
        </w:rPr>
        <w:t>Clause 14.1.1 — All third-party vendors, SaaS providers, cloud hosting partners, IT contractors, and software suppliers must undergo rigorous Third-Party Risk Management (TPRM) cybersecurity evaluation prior to commercial contract execution and system onboarding. Commercial agreements must incorporate the mandatory G42 Third-Party Cybersecurity Addendum.</w:t>
      </w:r>
    </w:p>
    <w:p>
      <w:pPr>
        <w:pStyle w:val="ListBullet"/>
        <w:spacing w:before="0" w:after="60" w:line="276" w:lineRule="auto"/>
      </w:pPr>
      <w:r>
        <w:rPr>
          <w:rFonts w:ascii="Calibri" w:hAnsi="Calibri"/>
          <w:b/>
          <w:color w:val="2D3237"/>
          <w:sz w:val="20"/>
        </w:rPr>
        <w:t xml:space="preserve">Mandatory SOC 2 Type II &amp; ISO 27001: </w:t>
      </w:r>
      <w:r>
        <w:rPr>
          <w:rFonts w:ascii="Calibri" w:hAnsi="Calibri"/>
          <w:color w:val="2D3237"/>
          <w:sz w:val="20"/>
        </w:rPr>
        <w:t>SaaS platforms and vendors processing Level 3 (Confidential) or Level 4 (Sovereign) data must submit an annual, unqualified SOC 2 Type II audit report and valid ISO/IEC 27001:2022 certification.</w:t>
      </w:r>
    </w:p>
    <w:p>
      <w:pPr>
        <w:pStyle w:val="ListBullet"/>
        <w:spacing w:before="0" w:after="60" w:line="276" w:lineRule="auto"/>
      </w:pPr>
      <w:r>
        <w:rPr>
          <w:rFonts w:ascii="Calibri" w:hAnsi="Calibri"/>
          <w:b/>
          <w:color w:val="2D3237"/>
          <w:sz w:val="20"/>
        </w:rPr>
        <w:t xml:space="preserve">Zero Direct Vendor Network Peering: </w:t>
      </w:r>
      <w:r>
        <w:rPr>
          <w:rFonts w:ascii="Calibri" w:hAnsi="Calibri"/>
          <w:color w:val="2D3237"/>
          <w:sz w:val="20"/>
        </w:rPr>
        <w:t>Vendors are strictly prohibited from connecting directly to G42 internal networks; all vendor access must occur via isolated ZTNA micro-tunnels with mandatory hardware MFA and session recording.</w:t>
      </w:r>
    </w:p>
    <w:p>
      <w:pPr>
        <w:pStyle w:val="ListBullet"/>
        <w:spacing w:before="0" w:after="60" w:line="276" w:lineRule="auto"/>
      </w:pPr>
      <w:r>
        <w:rPr>
          <w:rFonts w:ascii="Calibri" w:hAnsi="Calibri"/>
          <w:b/>
          <w:color w:val="2D3237"/>
          <w:sz w:val="20"/>
        </w:rPr>
        <w:t xml:space="preserve">24-Hour Breach Notification Clause: </w:t>
      </w:r>
      <w:r>
        <w:rPr>
          <w:rFonts w:ascii="Calibri" w:hAnsi="Calibri"/>
          <w:color w:val="2D3237"/>
          <w:sz w:val="20"/>
        </w:rPr>
        <w:t>Commercial contracts must legally mandate that vendors report any cybersecurity compromise affecting G42 data within 24 hours of discovery.</w:t>
      </w:r>
    </w:p>
    <w:p>
      <w:pPr>
        <w:keepNext/>
        <w:spacing w:before="280" w:after="80"/>
      </w:pPr>
      <w:r>
        <w:rPr>
          <w:rFonts w:ascii="Calibri" w:hAnsi="Calibri"/>
          <w:b/>
          <w:color w:val="136F63"/>
          <w:sz w:val="24"/>
        </w:rPr>
        <w:t>14.2 Software Supply Chain Security &amp; Software Bill of Materials (SBOM)</w:t>
      </w:r>
    </w:p>
    <w:p>
      <w:pPr>
        <w:spacing w:before="0" w:after="120" w:line="276" w:lineRule="auto"/>
      </w:pPr>
      <w:r>
        <w:rPr>
          <w:rFonts w:ascii="Calibri" w:hAnsi="Calibri"/>
          <w:color w:val="2D3237"/>
          <w:sz w:val="20"/>
        </w:rPr>
        <w:t>Clause 14.2.1 — All custom software developed by external vendors or open-source dependencies ingested into G42 code repositories must provide a complete, machine-readable Software Bill of Materials (SBOM) in CycloneDX or SPDX format. Software dependencies must undergo automated static application security testing (SAST) and software composition analysis (SCA) to identify known CVE vulnerabilities and malicious open-source packages.</w:t>
      </w:r>
    </w:p>
    <w:p>
      <w:r>
        <w:br w:type="page"/>
      </w:r>
    </w:p>
    <w:p>
      <w:pPr>
        <w:keepNext/>
        <w:spacing w:before="400" w:after="120"/>
      </w:pPr>
      <w:r>
        <w:rPr>
          <w:rFonts w:ascii="Calibri" w:hAnsi="Calibri"/>
          <w:b/>
          <w:color w:val="0B2545"/>
          <w:sz w:val="30"/>
        </w:rPr>
        <w:t>SECTION 15: COMPLIANCE AUDITING, ENFORCEMENT &amp; DISCIPLINARY SANCTIONS</w:t>
      </w:r>
    </w:p>
    <w:p>
      <w:pPr>
        <w:keepNext/>
        <w:spacing w:before="280" w:after="80"/>
      </w:pPr>
      <w:r>
        <w:rPr>
          <w:rFonts w:ascii="Calibri" w:hAnsi="Calibri"/>
          <w:b/>
          <w:color w:val="136F63"/>
          <w:sz w:val="24"/>
        </w:rPr>
        <w:t>15.1 Continuous Compliance Auditing &amp; Forensic Reviews</w:t>
      </w:r>
    </w:p>
    <w:p>
      <w:pPr>
        <w:spacing w:before="0" w:after="120" w:line="276" w:lineRule="auto"/>
      </w:pPr>
      <w:r>
        <w:rPr>
          <w:rFonts w:ascii="Calibri" w:hAnsi="Calibri"/>
          <w:color w:val="2D3237"/>
          <w:sz w:val="20"/>
        </w:rPr>
        <w:t>Clause 15.1.1 — Adherence to this policy is audited continuously through automated compliance bots and periodic formal audits executed by the Group Internal Audit Directorate and the Group Information Security Assurance Team. System administrators and business unit leads must provide full cooperation during scheduled and unannounced security audits.</w:t>
      </w:r>
    </w:p>
    <w:p>
      <w:pPr>
        <w:keepNext/>
        <w:spacing w:before="280" w:after="80"/>
      </w:pPr>
      <w:r>
        <w:rPr>
          <w:rFonts w:ascii="Calibri" w:hAnsi="Calibri"/>
          <w:b/>
          <w:color w:val="136F63"/>
          <w:sz w:val="24"/>
        </w:rPr>
        <w:t>15.2 Disciplinary Sanctions &amp; Severity Matrix</w:t>
      </w:r>
    </w:p>
    <w:p>
      <w:pPr>
        <w:spacing w:before="0" w:after="120" w:line="276" w:lineRule="auto"/>
      </w:pPr>
      <w:r>
        <w:rPr>
          <w:rFonts w:ascii="Calibri" w:hAnsi="Calibri"/>
          <w:color w:val="2D3237"/>
          <w:sz w:val="20"/>
        </w:rPr>
        <w:t>Clause 15.2.1 — Any intentional circumvention, unauthorized modification of security controls, sharing of privileged credentials, or failure to remediate critical vulnerabilities within mandated SLAs shall result in formal disciplinary action under the Enterprise Disciplinary Matrix:</w:t>
      </w:r>
    </w:p>
    <w:tbl>
      <w:tblPr>
        <w:tblW w:type="auto" w:w="0"/>
        <w:jc w:val="center"/>
        <w:tblLayout w:type="fixed"/>
        <w:tblLook w:firstColumn="1" w:firstRow="1" w:lastColumn="0" w:lastRow="0" w:noHBand="0" w:noVBand="1" w:val="04A0"/>
      </w:tblPr>
      <w:tblGrid>
        <w:gridCol w:w="2016"/>
        <w:gridCol w:w="3456"/>
        <w:gridCol w:w="3557"/>
      </w:tblGrid>
      <w:tr>
        <w:tc>
          <w:tcPr>
            <w:tcW w:type="dxa" w:w="2016"/>
            <w:shd w:fill="0B2545"/>
            <w:tcMar>
              <w:top w:w="120" w:type="dxa"/>
              <w:bottom w:w="120" w:type="dxa"/>
              <w:left w:w="130" w:type="dxa"/>
              <w:right w:w="130" w:type="dxa"/>
            </w:tcMar>
          </w:tcPr>
          <w:p>
            <w:pPr>
              <w:spacing w:before="0" w:after="0"/>
              <w:jc w:val="left"/>
            </w:pPr>
            <w:r>
              <w:rPr>
                <w:rFonts w:ascii="Calibri" w:hAnsi="Calibri"/>
                <w:b/>
                <w:color w:val="FFFFFF"/>
                <w:sz w:val="18"/>
              </w:rPr>
              <w:t>Violation Severity</w:t>
            </w:r>
          </w:p>
        </w:tc>
        <w:tc>
          <w:tcPr>
            <w:tcW w:type="dxa" w:w="3456"/>
            <w:shd w:fill="0B2545"/>
            <w:tcMar>
              <w:top w:w="120" w:type="dxa"/>
              <w:bottom w:w="120" w:type="dxa"/>
              <w:left w:w="130" w:type="dxa"/>
              <w:right w:w="130" w:type="dxa"/>
            </w:tcMar>
          </w:tcPr>
          <w:p>
            <w:pPr>
              <w:spacing w:before="0" w:after="0"/>
              <w:jc w:val="left"/>
            </w:pPr>
            <w:r>
              <w:rPr>
                <w:rFonts w:ascii="Calibri" w:hAnsi="Calibri"/>
                <w:b/>
                <w:color w:val="FFFFFF"/>
                <w:sz w:val="18"/>
              </w:rPr>
              <w:t>Infraction Description</w:t>
            </w:r>
          </w:p>
        </w:tc>
        <w:tc>
          <w:tcPr>
            <w:tcW w:type="dxa" w:w="3557"/>
            <w:shd w:fill="0B2545"/>
            <w:tcMar>
              <w:top w:w="120" w:type="dxa"/>
              <w:bottom w:w="120" w:type="dxa"/>
              <w:left w:w="130" w:type="dxa"/>
              <w:right w:w="130" w:type="dxa"/>
            </w:tcMar>
          </w:tcPr>
          <w:p>
            <w:pPr>
              <w:spacing w:before="0" w:after="0"/>
              <w:jc w:val="left"/>
            </w:pPr>
            <w:r>
              <w:rPr>
                <w:rFonts w:ascii="Calibri" w:hAnsi="Calibri"/>
                <w:b/>
                <w:color w:val="FFFFFF"/>
                <w:sz w:val="18"/>
              </w:rPr>
              <w:t>Mandatory Disciplinary Sanctions</w:t>
            </w:r>
          </w:p>
        </w:tc>
      </w:tr>
      <w:tr>
        <w:tc>
          <w:tcPr>
            <w:tcW w:type="dxa" w:w="2016"/>
            <w:shd w:fill="FFFFFF"/>
            <w:tcMar>
              <w:top w:w="95" w:type="dxa"/>
              <w:bottom w:w="95" w:type="dxa"/>
              <w:left w:w="130" w:type="dxa"/>
              <w:right w:w="130" w:type="dxa"/>
            </w:tcMar>
          </w:tcPr>
          <w:p>
            <w:pPr>
              <w:spacing w:before="0" w:after="0"/>
            </w:pPr>
            <w:r>
              <w:rPr>
                <w:rFonts w:ascii="Calibri" w:hAnsi="Calibri"/>
                <w:color w:val="2D3237"/>
                <w:sz w:val="17"/>
              </w:rPr>
              <w:t>Infraction Severity</w:t>
            </w:r>
          </w:p>
        </w:tc>
        <w:tc>
          <w:tcPr>
            <w:tcW w:type="dxa" w:w="3456"/>
            <w:shd w:fill="FFFFFF"/>
            <w:tcMar>
              <w:top w:w="95" w:type="dxa"/>
              <w:bottom w:w="95" w:type="dxa"/>
              <w:left w:w="130" w:type="dxa"/>
              <w:right w:w="130" w:type="dxa"/>
            </w:tcMar>
          </w:tcPr>
          <w:p>
            <w:pPr>
              <w:spacing w:before="0" w:after="0"/>
            </w:pPr>
            <w:r>
              <w:rPr>
                <w:rFonts w:ascii="Calibri" w:hAnsi="Calibri"/>
                <w:color w:val="2D3237"/>
                <w:sz w:val="17"/>
              </w:rPr>
              <w:t>Nature of Security Policy Violation</w:t>
            </w:r>
          </w:p>
        </w:tc>
        <w:tc>
          <w:tcPr>
            <w:tcW w:type="dxa" w:w="3557"/>
            <w:shd w:fill="FFFFFF"/>
            <w:tcMar>
              <w:top w:w="95" w:type="dxa"/>
              <w:bottom w:w="95" w:type="dxa"/>
              <w:left w:w="130" w:type="dxa"/>
              <w:right w:w="130" w:type="dxa"/>
            </w:tcMar>
          </w:tcPr>
          <w:p>
            <w:pPr>
              <w:spacing w:before="0" w:after="0"/>
            </w:pPr>
            <w:r>
              <w:rPr>
                <w:rFonts w:ascii="Calibri" w:hAnsi="Calibri"/>
                <w:color w:val="2D3237"/>
                <w:sz w:val="17"/>
              </w:rPr>
              <w:t>Prescribed Disciplinary &amp; Legal Sanction</w:t>
            </w:r>
          </w:p>
        </w:tc>
      </w:tr>
      <w:tr>
        <w:tc>
          <w:tcPr>
            <w:tcW w:type="dxa" w:w="2016"/>
            <w:shd w:fill="F7F9FB"/>
            <w:tcMar>
              <w:top w:w="95" w:type="dxa"/>
              <w:bottom w:w="95" w:type="dxa"/>
              <w:left w:w="130" w:type="dxa"/>
              <w:right w:w="130" w:type="dxa"/>
            </w:tcMar>
          </w:tcPr>
          <w:p>
            <w:pPr>
              <w:spacing w:before="0" w:after="0"/>
            </w:pPr>
            <w:r>
              <w:rPr>
                <w:rFonts w:ascii="Calibri" w:hAnsi="Calibri"/>
                <w:color w:val="2D3237"/>
                <w:sz w:val="17"/>
              </w:rPr>
              <w:t>Level 1: Minor Administrative</w:t>
            </w:r>
          </w:p>
        </w:tc>
        <w:tc>
          <w:tcPr>
            <w:tcW w:type="dxa" w:w="3456"/>
            <w:shd w:fill="F7F9FB"/>
            <w:tcMar>
              <w:top w:w="95" w:type="dxa"/>
              <w:bottom w:w="95" w:type="dxa"/>
              <w:left w:w="130" w:type="dxa"/>
              <w:right w:w="130" w:type="dxa"/>
            </w:tcMar>
          </w:tcPr>
          <w:p>
            <w:pPr>
              <w:spacing w:before="0" w:after="0"/>
            </w:pPr>
            <w:r>
              <w:rPr>
                <w:rFonts w:ascii="Calibri" w:hAnsi="Calibri"/>
                <w:color w:val="2D3237"/>
                <w:sz w:val="17"/>
              </w:rPr>
              <w:t>Failure to complete annual cybersecurity awareness training on time; accidental failure to lock unattended workstation screen.</w:t>
            </w:r>
          </w:p>
        </w:tc>
        <w:tc>
          <w:tcPr>
            <w:tcW w:type="dxa" w:w="3557"/>
            <w:shd w:fill="F7F9FB"/>
            <w:tcMar>
              <w:top w:w="95" w:type="dxa"/>
              <w:bottom w:w="95" w:type="dxa"/>
              <w:left w:w="130" w:type="dxa"/>
              <w:right w:w="130" w:type="dxa"/>
            </w:tcMar>
          </w:tcPr>
          <w:p>
            <w:pPr>
              <w:spacing w:before="0" w:after="0"/>
            </w:pPr>
            <w:r>
              <w:rPr>
                <w:rFonts w:ascii="Calibri" w:hAnsi="Calibri"/>
                <w:color w:val="2D3237"/>
                <w:sz w:val="17"/>
              </w:rPr>
              <w:t>Written security reminder, mandatory completion of refresher training, documented in HR talent file.</w:t>
            </w:r>
          </w:p>
        </w:tc>
      </w:tr>
      <w:tr>
        <w:tc>
          <w:tcPr>
            <w:tcW w:type="dxa" w:w="2016"/>
            <w:shd w:fill="FFFFFF"/>
            <w:tcMar>
              <w:top w:w="95" w:type="dxa"/>
              <w:bottom w:w="95" w:type="dxa"/>
              <w:left w:w="130" w:type="dxa"/>
              <w:right w:w="130" w:type="dxa"/>
            </w:tcMar>
          </w:tcPr>
          <w:p>
            <w:pPr>
              <w:spacing w:before="0" w:after="0"/>
            </w:pPr>
            <w:r>
              <w:rPr>
                <w:rFonts w:ascii="Calibri" w:hAnsi="Calibri"/>
                <w:color w:val="2D3237"/>
                <w:sz w:val="17"/>
              </w:rPr>
              <w:t>Level 2: Serious Operational</w:t>
            </w:r>
          </w:p>
        </w:tc>
        <w:tc>
          <w:tcPr>
            <w:tcW w:type="dxa" w:w="3456"/>
            <w:shd w:fill="FFFFFF"/>
            <w:tcMar>
              <w:top w:w="95" w:type="dxa"/>
              <w:bottom w:w="95" w:type="dxa"/>
              <w:left w:w="130" w:type="dxa"/>
              <w:right w:w="130" w:type="dxa"/>
            </w:tcMar>
          </w:tcPr>
          <w:p>
            <w:pPr>
              <w:spacing w:before="0" w:after="0"/>
            </w:pPr>
            <w:r>
              <w:rPr>
                <w:rFonts w:ascii="Calibri" w:hAnsi="Calibri"/>
                <w:color w:val="2D3237"/>
                <w:sz w:val="17"/>
              </w:rPr>
              <w:t>Connecting unapproved personal USB device to corporate laptop; sharing non-privileged internal wiki without classification tag.</w:t>
            </w:r>
          </w:p>
        </w:tc>
        <w:tc>
          <w:tcPr>
            <w:tcW w:type="dxa" w:w="3557"/>
            <w:shd w:fill="FFFFFF"/>
            <w:tcMar>
              <w:top w:w="95" w:type="dxa"/>
              <w:bottom w:w="95" w:type="dxa"/>
              <w:left w:w="130" w:type="dxa"/>
              <w:right w:w="130" w:type="dxa"/>
            </w:tcMar>
          </w:tcPr>
          <w:p>
            <w:pPr>
              <w:spacing w:before="0" w:after="0"/>
            </w:pPr>
            <w:r>
              <w:rPr>
                <w:rFonts w:ascii="Calibri" w:hAnsi="Calibri"/>
                <w:color w:val="2D3237"/>
                <w:sz w:val="17"/>
              </w:rPr>
              <w:t>Formal written reprimand, mandatory re-certification of security credentials, forfeiture of quarterly bonus eligibility.</w:t>
            </w:r>
          </w:p>
        </w:tc>
      </w:tr>
      <w:tr>
        <w:tc>
          <w:tcPr>
            <w:tcW w:type="dxa" w:w="2016"/>
            <w:shd w:fill="F7F9FB"/>
            <w:tcMar>
              <w:top w:w="95" w:type="dxa"/>
              <w:bottom w:w="95" w:type="dxa"/>
              <w:left w:w="130" w:type="dxa"/>
              <w:right w:w="130" w:type="dxa"/>
            </w:tcMar>
          </w:tcPr>
          <w:p>
            <w:pPr>
              <w:spacing w:before="0" w:after="0"/>
            </w:pPr>
            <w:r>
              <w:rPr>
                <w:rFonts w:ascii="Calibri" w:hAnsi="Calibri"/>
                <w:color w:val="2D3237"/>
                <w:sz w:val="17"/>
              </w:rPr>
              <w:t>Level 3: Severe Violation</w:t>
            </w:r>
          </w:p>
        </w:tc>
        <w:tc>
          <w:tcPr>
            <w:tcW w:type="dxa" w:w="3456"/>
            <w:shd w:fill="F7F9FB"/>
            <w:tcMar>
              <w:top w:w="95" w:type="dxa"/>
              <w:bottom w:w="95" w:type="dxa"/>
              <w:left w:w="130" w:type="dxa"/>
              <w:right w:w="130" w:type="dxa"/>
            </w:tcMar>
          </w:tcPr>
          <w:p>
            <w:pPr>
              <w:spacing w:before="0" w:after="0"/>
            </w:pPr>
            <w:r>
              <w:rPr>
                <w:rFonts w:ascii="Calibri" w:hAnsi="Calibri"/>
                <w:color w:val="2D3237"/>
                <w:sz w:val="17"/>
              </w:rPr>
              <w:t>Sharing privileged credentials or hardware MFA tokens; disabling EDR sensors; deploying production cloud asset with 0.0.0.0/0 open access.</w:t>
            </w:r>
          </w:p>
        </w:tc>
        <w:tc>
          <w:tcPr>
            <w:tcW w:type="dxa" w:w="3557"/>
            <w:shd w:fill="F7F9FB"/>
            <w:tcMar>
              <w:top w:w="95" w:type="dxa"/>
              <w:bottom w:w="95" w:type="dxa"/>
              <w:left w:w="130" w:type="dxa"/>
              <w:right w:w="130" w:type="dxa"/>
            </w:tcMar>
          </w:tcPr>
          <w:p>
            <w:pPr>
              <w:spacing w:before="0" w:after="0"/>
            </w:pPr>
            <w:r>
              <w:rPr>
                <w:rFonts w:ascii="Calibri" w:hAnsi="Calibri"/>
                <w:color w:val="2D3237"/>
                <w:sz w:val="17"/>
              </w:rPr>
              <w:t>Final written warning, immediate suspension of privileged access for 90 days, demotion, suspension without pay for up to 30 days, LTIP clawback review.</w:t>
            </w:r>
          </w:p>
        </w:tc>
      </w:tr>
      <w:tr>
        <w:tc>
          <w:tcPr>
            <w:tcW w:type="dxa" w:w="2016"/>
            <w:shd w:fill="FFFFFF"/>
            <w:tcMar>
              <w:top w:w="95" w:type="dxa"/>
              <w:bottom w:w="95" w:type="dxa"/>
              <w:left w:w="130" w:type="dxa"/>
              <w:right w:w="130" w:type="dxa"/>
            </w:tcMar>
          </w:tcPr>
          <w:p>
            <w:pPr>
              <w:spacing w:before="0" w:after="0"/>
            </w:pPr>
            <w:r>
              <w:rPr>
                <w:rFonts w:ascii="Calibri" w:hAnsi="Calibri"/>
                <w:color w:val="2D3237"/>
                <w:sz w:val="17"/>
              </w:rPr>
              <w:t>Level 4: Gross Misconduct</w:t>
            </w:r>
          </w:p>
        </w:tc>
        <w:tc>
          <w:tcPr>
            <w:tcW w:type="dxa" w:w="3456"/>
            <w:shd w:fill="FFFFFF"/>
            <w:tcMar>
              <w:top w:w="95" w:type="dxa"/>
              <w:bottom w:w="95" w:type="dxa"/>
              <w:left w:w="130" w:type="dxa"/>
              <w:right w:w="130" w:type="dxa"/>
            </w:tcMar>
          </w:tcPr>
          <w:p>
            <w:pPr>
              <w:spacing w:before="0" w:after="0"/>
            </w:pPr>
            <w:r>
              <w:rPr>
                <w:rFonts w:ascii="Calibri" w:hAnsi="Calibri"/>
                <w:color w:val="2D3237"/>
                <w:sz w:val="17"/>
              </w:rPr>
              <w:t>Intentional installation of backdoors/malware; unauthorized exfiltration of sovereign datasets; selling credentials; sabotaging CSOC kill-switch.</w:t>
            </w:r>
          </w:p>
        </w:tc>
        <w:tc>
          <w:tcPr>
            <w:tcW w:type="dxa" w:w="3557"/>
            <w:shd w:fill="FFFFFF"/>
            <w:tcMar>
              <w:top w:w="95" w:type="dxa"/>
              <w:bottom w:w="95" w:type="dxa"/>
              <w:left w:w="130" w:type="dxa"/>
              <w:right w:w="130" w:type="dxa"/>
            </w:tcMar>
          </w:tcPr>
          <w:p>
            <w:pPr>
              <w:spacing w:before="0" w:after="0"/>
            </w:pPr>
            <w:r>
              <w:rPr>
                <w:rFonts w:ascii="Calibri" w:hAnsi="Calibri"/>
                <w:color w:val="2D3237"/>
                <w:sz w:val="17"/>
              </w:rPr>
              <w:t>Immediate summary dismissal for gross misconduct, complete cancellation of all unvested LTIP/equity grants, civil lawsuit for damages, and criminal referral to UAE Federal Prosecutors.</w:t>
            </w:r>
          </w:p>
        </w:tc>
      </w:tr>
    </w:tbl>
    <w:p>
      <w:pPr>
        <w:spacing w:before="0" w:after="80"/>
      </w:pPr>
    </w:p>
    <w:p>
      <w:pPr>
        <w:keepNext/>
        <w:spacing w:before="280" w:after="80"/>
      </w:pPr>
      <w:r>
        <w:rPr>
          <w:rFonts w:ascii="Calibri" w:hAnsi="Calibri"/>
          <w:b/>
          <w:color w:val="136F63"/>
          <w:sz w:val="24"/>
        </w:rPr>
        <w:t>15.3 Whistleblower Safe Harbor &amp; Confidential Reporting (EthicsPoint)</w:t>
      </w:r>
    </w:p>
    <w:p>
      <w:pPr>
        <w:spacing w:before="0" w:after="120" w:line="276" w:lineRule="auto"/>
      </w:pPr>
      <w:r>
        <w:rPr>
          <w:rFonts w:ascii="Calibri" w:hAnsi="Calibri"/>
          <w:color w:val="2D3237"/>
          <w:sz w:val="20"/>
        </w:rPr>
        <w:t>Clause 15.3.1 — Any employee, contractor, or vendor who discovers an unaddressed critical security vulnerability, unauthorized privileged access, suppressed breach event, or management pressure to bypass cybersecurity controls is protected under the G42 Whistleblower Safe Harbor Policy. Reports can be submitted 24/7 confidentially and anonymously via the EthicsPoint Portal at ethics.g42.ai or via phone at +971-2-GOV-G42. Retaliation against whistleblowers acting in good faith is strictly prohibited and results in immediate termination.</w:t>
      </w:r>
    </w:p>
    <w:p>
      <w:r>
        <w:br w:type="page"/>
      </w:r>
    </w:p>
    <w:p>
      <w:pPr>
        <w:keepNext/>
        <w:spacing w:before="400" w:after="120"/>
      </w:pPr>
      <w:r>
        <w:rPr>
          <w:rFonts w:ascii="Calibri" w:hAnsi="Calibri"/>
          <w:b/>
          <w:color w:val="0B2545"/>
          <w:sz w:val="30"/>
        </w:rPr>
        <w:t>SECTION 16: APPENDIX A — STATUTORY &amp; REGULATORY CONCORDANCE</w:t>
      </w:r>
    </w:p>
    <w:p>
      <w:pPr>
        <w:spacing w:before="0" w:after="120" w:line="276" w:lineRule="auto"/>
      </w:pPr>
      <w:r>
        <w:rPr>
          <w:rFonts w:ascii="Calibri" w:hAnsi="Calibri"/>
          <w:color w:val="2D3237"/>
          <w:sz w:val="20"/>
        </w:rPr>
        <w:t>Clause 16.1.1 — The G42 Enterprise Information Security &amp; Zero Trust Policy is harmonized against national and international cybersecurity frameworks, statutory decrees, and information assurance standards:</w:t>
      </w:r>
    </w:p>
    <w:tbl>
      <w:tblPr>
        <w:tblW w:type="auto" w:w="0"/>
        <w:jc w:val="center"/>
        <w:tblLayout w:type="fixed"/>
        <w:tblLook w:firstColumn="1" w:firstRow="1" w:lastColumn="0" w:lastRow="0" w:noHBand="0" w:noVBand="1" w:val="04A0"/>
      </w:tblPr>
      <w:tblGrid>
        <w:gridCol w:w="2304"/>
        <w:gridCol w:w="2016"/>
        <w:gridCol w:w="2016"/>
        <w:gridCol w:w="2693"/>
      </w:tblGrid>
      <w:tr>
        <w:tc>
          <w:tcPr>
            <w:tcW w:type="dxa" w:w="2304"/>
            <w:shd w:fill="0B2545"/>
            <w:tcMar>
              <w:top w:w="120" w:type="dxa"/>
              <w:bottom w:w="120" w:type="dxa"/>
              <w:left w:w="130" w:type="dxa"/>
              <w:right w:w="130" w:type="dxa"/>
            </w:tcMar>
          </w:tcPr>
          <w:p>
            <w:pPr>
              <w:spacing w:before="0" w:after="0"/>
              <w:jc w:val="left"/>
            </w:pPr>
            <w:r>
              <w:rPr>
                <w:rFonts w:ascii="Calibri" w:hAnsi="Calibri"/>
                <w:b/>
                <w:color w:val="FFFFFF"/>
                <w:sz w:val="18"/>
              </w:rPr>
              <w:t>Standard / Framework</w:t>
            </w:r>
          </w:p>
        </w:tc>
        <w:tc>
          <w:tcPr>
            <w:tcW w:type="dxa" w:w="2016"/>
            <w:shd w:fill="0B2545"/>
            <w:tcMar>
              <w:top w:w="120" w:type="dxa"/>
              <w:bottom w:w="120" w:type="dxa"/>
              <w:left w:w="130" w:type="dxa"/>
              <w:right w:w="130" w:type="dxa"/>
            </w:tcMar>
          </w:tcPr>
          <w:p>
            <w:pPr>
              <w:spacing w:before="0" w:after="0"/>
              <w:jc w:val="left"/>
            </w:pPr>
            <w:r>
              <w:rPr>
                <w:rFonts w:ascii="Calibri" w:hAnsi="Calibri"/>
                <w:b/>
                <w:color w:val="FFFFFF"/>
                <w:sz w:val="18"/>
              </w:rPr>
              <w:t>Regulatory Authority</w:t>
            </w:r>
          </w:p>
        </w:tc>
        <w:tc>
          <w:tcPr>
            <w:tcW w:type="dxa" w:w="2016"/>
            <w:shd w:fill="0B2545"/>
            <w:tcMar>
              <w:top w:w="120" w:type="dxa"/>
              <w:bottom w:w="120" w:type="dxa"/>
              <w:left w:w="130" w:type="dxa"/>
              <w:right w:w="130" w:type="dxa"/>
            </w:tcMar>
          </w:tcPr>
          <w:p>
            <w:pPr>
              <w:spacing w:before="0" w:after="0"/>
              <w:jc w:val="left"/>
            </w:pPr>
            <w:r>
              <w:rPr>
                <w:rFonts w:ascii="Calibri" w:hAnsi="Calibri"/>
                <w:b/>
                <w:color w:val="FFFFFF"/>
                <w:sz w:val="18"/>
              </w:rPr>
              <w:t>Aligned Sections</w:t>
            </w:r>
          </w:p>
        </w:tc>
        <w:tc>
          <w:tcPr>
            <w:tcW w:type="dxa" w:w="2693"/>
            <w:shd w:fill="0B2545"/>
            <w:tcMar>
              <w:top w:w="120" w:type="dxa"/>
              <w:bottom w:w="120" w:type="dxa"/>
              <w:left w:w="130" w:type="dxa"/>
              <w:right w:w="130" w:type="dxa"/>
            </w:tcMar>
          </w:tcPr>
          <w:p>
            <w:pPr>
              <w:spacing w:before="0" w:after="0"/>
              <w:jc w:val="left"/>
            </w:pPr>
            <w:r>
              <w:rPr>
                <w:rFonts w:ascii="Calibri" w:hAnsi="Calibri"/>
                <w:b/>
                <w:color w:val="FFFFFF"/>
                <w:sz w:val="18"/>
              </w:rPr>
              <w:t>Core Compliance Mandate</w:t>
            </w:r>
          </w:p>
        </w:tc>
      </w:tr>
      <w:tr>
        <w:tc>
          <w:tcPr>
            <w:tcW w:type="dxa" w:w="2304"/>
            <w:shd w:fill="FFFFFF"/>
            <w:tcMar>
              <w:top w:w="95" w:type="dxa"/>
              <w:bottom w:w="95" w:type="dxa"/>
              <w:left w:w="130" w:type="dxa"/>
              <w:right w:w="130" w:type="dxa"/>
            </w:tcMar>
          </w:tcPr>
          <w:p>
            <w:pPr>
              <w:spacing w:before="0" w:after="0"/>
            </w:pPr>
            <w:r>
              <w:rPr>
                <w:rFonts w:ascii="Calibri" w:hAnsi="Calibri"/>
                <w:color w:val="2D3237"/>
                <w:sz w:val="17"/>
              </w:rPr>
              <w:t>Statutory / Industry Standard</w:t>
            </w:r>
          </w:p>
        </w:tc>
        <w:tc>
          <w:tcPr>
            <w:tcW w:type="dxa" w:w="2016"/>
            <w:shd w:fill="FFFFFF"/>
            <w:tcMar>
              <w:top w:w="95" w:type="dxa"/>
              <w:bottom w:w="95" w:type="dxa"/>
              <w:left w:w="130" w:type="dxa"/>
              <w:right w:w="130" w:type="dxa"/>
            </w:tcMar>
          </w:tcPr>
          <w:p>
            <w:pPr>
              <w:spacing w:before="0" w:after="0"/>
            </w:pPr>
            <w:r>
              <w:rPr>
                <w:rFonts w:ascii="Calibri" w:hAnsi="Calibri"/>
                <w:color w:val="2D3237"/>
                <w:sz w:val="17"/>
              </w:rPr>
              <w:t>Issuing Authority</w:t>
            </w:r>
          </w:p>
        </w:tc>
        <w:tc>
          <w:tcPr>
            <w:tcW w:type="dxa" w:w="2016"/>
            <w:shd w:fill="FFFFFF"/>
            <w:tcMar>
              <w:top w:w="95" w:type="dxa"/>
              <w:bottom w:w="95" w:type="dxa"/>
              <w:left w:w="130" w:type="dxa"/>
              <w:right w:w="130" w:type="dxa"/>
            </w:tcMar>
          </w:tcPr>
          <w:p>
            <w:pPr>
              <w:spacing w:before="0" w:after="0"/>
            </w:pPr>
            <w:r>
              <w:rPr>
                <w:rFonts w:ascii="Calibri" w:hAnsi="Calibri"/>
                <w:color w:val="2D3237"/>
                <w:sz w:val="17"/>
              </w:rPr>
              <w:t>G42 Policy Section Alignment</w:t>
            </w:r>
          </w:p>
        </w:tc>
        <w:tc>
          <w:tcPr>
            <w:tcW w:type="dxa" w:w="2693"/>
            <w:shd w:fill="FFFFFF"/>
            <w:tcMar>
              <w:top w:w="95" w:type="dxa"/>
              <w:bottom w:w="95" w:type="dxa"/>
              <w:left w:w="130" w:type="dxa"/>
              <w:right w:w="130" w:type="dxa"/>
            </w:tcMar>
          </w:tcPr>
          <w:p>
            <w:pPr>
              <w:spacing w:before="0" w:after="0"/>
            </w:pPr>
            <w:r>
              <w:rPr>
                <w:rFonts w:ascii="Calibri" w:hAnsi="Calibri"/>
                <w:color w:val="2D3237"/>
                <w:sz w:val="17"/>
              </w:rPr>
              <w:t>Core Cybersecurity Control Mechanism</w:t>
            </w:r>
          </w:p>
        </w:tc>
      </w:tr>
      <w:tr>
        <w:tc>
          <w:tcPr>
            <w:tcW w:type="dxa" w:w="2304"/>
            <w:shd w:fill="F7F9FB"/>
            <w:tcMar>
              <w:top w:w="95" w:type="dxa"/>
              <w:bottom w:w="95" w:type="dxa"/>
              <w:left w:w="130" w:type="dxa"/>
              <w:right w:w="130" w:type="dxa"/>
            </w:tcMar>
          </w:tcPr>
          <w:p>
            <w:pPr>
              <w:spacing w:before="0" w:after="0"/>
            </w:pPr>
            <w:r>
              <w:rPr>
                <w:rFonts w:ascii="Calibri" w:hAnsi="Calibri"/>
                <w:color w:val="2D3237"/>
                <w:sz w:val="17"/>
              </w:rPr>
              <w:t>UAE National Electronic Security Authority (NESA IAS)</w:t>
            </w:r>
          </w:p>
        </w:tc>
        <w:tc>
          <w:tcPr>
            <w:tcW w:type="dxa" w:w="2016"/>
            <w:shd w:fill="F7F9FB"/>
            <w:tcMar>
              <w:top w:w="95" w:type="dxa"/>
              <w:bottom w:w="95" w:type="dxa"/>
              <w:left w:w="130" w:type="dxa"/>
              <w:right w:w="130" w:type="dxa"/>
            </w:tcMar>
          </w:tcPr>
          <w:p>
            <w:pPr>
              <w:spacing w:before="0" w:after="0"/>
            </w:pPr>
            <w:r>
              <w:rPr>
                <w:rFonts w:ascii="Calibri" w:hAnsi="Calibri"/>
                <w:color w:val="2D3237"/>
                <w:sz w:val="17"/>
              </w:rPr>
              <w:t>UAE Telecommunications &amp; Digital Gov Regulatory Authority (TDRA)</w:t>
            </w:r>
          </w:p>
        </w:tc>
        <w:tc>
          <w:tcPr>
            <w:tcW w:type="dxa" w:w="2016"/>
            <w:shd w:fill="F7F9FB"/>
            <w:tcMar>
              <w:top w:w="95" w:type="dxa"/>
              <w:bottom w:w="95" w:type="dxa"/>
              <w:left w:w="130" w:type="dxa"/>
              <w:right w:w="130" w:type="dxa"/>
            </w:tcMar>
          </w:tcPr>
          <w:p>
            <w:pPr>
              <w:spacing w:before="0" w:after="0"/>
            </w:pPr>
            <w:r>
              <w:rPr>
                <w:rFonts w:ascii="Calibri" w:hAnsi="Calibri"/>
                <w:color w:val="2D3237"/>
                <w:sz w:val="17"/>
              </w:rPr>
              <w:t>Section 3.1, Section 6.1, Section 12.1</w:t>
            </w:r>
          </w:p>
        </w:tc>
        <w:tc>
          <w:tcPr>
            <w:tcW w:type="dxa" w:w="2693"/>
            <w:shd w:fill="F7F9FB"/>
            <w:tcMar>
              <w:top w:w="95" w:type="dxa"/>
              <w:bottom w:w="95" w:type="dxa"/>
              <w:left w:w="130" w:type="dxa"/>
              <w:right w:w="130" w:type="dxa"/>
            </w:tcMar>
          </w:tcPr>
          <w:p>
            <w:pPr>
              <w:spacing w:before="0" w:after="0"/>
            </w:pPr>
            <w:r>
              <w:rPr>
                <w:rFonts w:ascii="Calibri" w:hAnsi="Calibri"/>
                <w:color w:val="2D3237"/>
                <w:sz w:val="17"/>
              </w:rPr>
              <w:t>National information assurance, critical infrastructure protection, mandatory 365-day audit logging.</w:t>
            </w:r>
          </w:p>
        </w:tc>
      </w:tr>
      <w:tr>
        <w:tc>
          <w:tcPr>
            <w:tcW w:type="dxa" w:w="2304"/>
            <w:shd w:fill="FFFFFF"/>
            <w:tcMar>
              <w:top w:w="95" w:type="dxa"/>
              <w:bottom w:w="95" w:type="dxa"/>
              <w:left w:w="130" w:type="dxa"/>
              <w:right w:w="130" w:type="dxa"/>
            </w:tcMar>
          </w:tcPr>
          <w:p>
            <w:pPr>
              <w:spacing w:before="0" w:after="0"/>
            </w:pPr>
            <w:r>
              <w:rPr>
                <w:rFonts w:ascii="Calibri" w:hAnsi="Calibri"/>
                <w:color w:val="2D3237"/>
                <w:sz w:val="17"/>
              </w:rPr>
              <w:t>ISO/IEC 27001:2022 (Information Security)</w:t>
            </w:r>
          </w:p>
        </w:tc>
        <w:tc>
          <w:tcPr>
            <w:tcW w:type="dxa" w:w="2016"/>
            <w:shd w:fill="FFFFFF"/>
            <w:tcMar>
              <w:top w:w="95" w:type="dxa"/>
              <w:bottom w:w="95" w:type="dxa"/>
              <w:left w:w="130" w:type="dxa"/>
              <w:right w:w="130" w:type="dxa"/>
            </w:tcMar>
          </w:tcPr>
          <w:p>
            <w:pPr>
              <w:spacing w:before="0" w:after="0"/>
            </w:pPr>
            <w:r>
              <w:rPr>
                <w:rFonts w:ascii="Calibri" w:hAnsi="Calibri"/>
                <w:color w:val="2D3237"/>
                <w:sz w:val="17"/>
              </w:rPr>
              <w:t>International Organization for Standardization (ISO)</w:t>
            </w:r>
          </w:p>
        </w:tc>
        <w:tc>
          <w:tcPr>
            <w:tcW w:type="dxa" w:w="2016"/>
            <w:shd w:fill="FFFFFF"/>
            <w:tcMar>
              <w:top w:w="95" w:type="dxa"/>
              <w:bottom w:w="95" w:type="dxa"/>
              <w:left w:w="130" w:type="dxa"/>
              <w:right w:w="130" w:type="dxa"/>
            </w:tcMar>
          </w:tcPr>
          <w:p>
            <w:pPr>
              <w:spacing w:before="0" w:after="0"/>
            </w:pPr>
            <w:r>
              <w:rPr>
                <w:rFonts w:ascii="Calibri" w:hAnsi="Calibri"/>
                <w:color w:val="2D3237"/>
                <w:sz w:val="17"/>
              </w:rPr>
              <w:t>Section 2.3, Section 5.1, Section 11.2</w:t>
            </w:r>
          </w:p>
        </w:tc>
        <w:tc>
          <w:tcPr>
            <w:tcW w:type="dxa" w:w="2693"/>
            <w:shd w:fill="FFFFFF"/>
            <w:tcMar>
              <w:top w:w="95" w:type="dxa"/>
              <w:bottom w:w="95" w:type="dxa"/>
              <w:left w:w="130" w:type="dxa"/>
              <w:right w:w="130" w:type="dxa"/>
            </w:tcMar>
          </w:tcPr>
          <w:p>
            <w:pPr>
              <w:spacing w:before="0" w:after="0"/>
            </w:pPr>
            <w:r>
              <w:rPr>
                <w:rFonts w:ascii="Calibri" w:hAnsi="Calibri"/>
                <w:color w:val="2D3237"/>
                <w:sz w:val="17"/>
              </w:rPr>
              <w:t>Information Security Management System (ISMS), risk assessment, operational control baseline.</w:t>
            </w:r>
          </w:p>
        </w:tc>
      </w:tr>
      <w:tr>
        <w:tc>
          <w:tcPr>
            <w:tcW w:type="dxa" w:w="2304"/>
            <w:shd w:fill="F7F9FB"/>
            <w:tcMar>
              <w:top w:w="95" w:type="dxa"/>
              <w:bottom w:w="95" w:type="dxa"/>
              <w:left w:w="130" w:type="dxa"/>
              <w:right w:w="130" w:type="dxa"/>
            </w:tcMar>
          </w:tcPr>
          <w:p>
            <w:pPr>
              <w:spacing w:before="0" w:after="0"/>
            </w:pPr>
            <w:r>
              <w:rPr>
                <w:rFonts w:ascii="Calibri" w:hAnsi="Calibri"/>
                <w:color w:val="2D3237"/>
                <w:sz w:val="17"/>
              </w:rPr>
              <w:t>NIST SP 800-207 (Zero Trust Architecture)</w:t>
            </w:r>
          </w:p>
        </w:tc>
        <w:tc>
          <w:tcPr>
            <w:tcW w:type="dxa" w:w="2016"/>
            <w:shd w:fill="F7F9FB"/>
            <w:tcMar>
              <w:top w:w="95" w:type="dxa"/>
              <w:bottom w:w="95" w:type="dxa"/>
              <w:left w:w="130" w:type="dxa"/>
              <w:right w:w="130" w:type="dxa"/>
            </w:tcMar>
          </w:tcPr>
          <w:p>
            <w:pPr>
              <w:spacing w:before="0" w:after="0"/>
            </w:pPr>
            <w:r>
              <w:rPr>
                <w:rFonts w:ascii="Calibri" w:hAnsi="Calibri"/>
                <w:color w:val="2D3237"/>
                <w:sz w:val="17"/>
              </w:rPr>
              <w:t>US National Institute of Standards and Technology</w:t>
            </w:r>
          </w:p>
        </w:tc>
        <w:tc>
          <w:tcPr>
            <w:tcW w:type="dxa" w:w="2016"/>
            <w:shd w:fill="F7F9FB"/>
            <w:tcMar>
              <w:top w:w="95" w:type="dxa"/>
              <w:bottom w:w="95" w:type="dxa"/>
              <w:left w:w="130" w:type="dxa"/>
              <w:right w:w="130" w:type="dxa"/>
            </w:tcMar>
          </w:tcPr>
          <w:p>
            <w:pPr>
              <w:spacing w:before="0" w:after="0"/>
            </w:pPr>
            <w:r>
              <w:rPr>
                <w:rFonts w:ascii="Calibri" w:hAnsi="Calibri"/>
                <w:color w:val="2D3237"/>
                <w:sz w:val="17"/>
              </w:rPr>
              <w:t>Section 3.1, Section 4.2, Section 6.1</w:t>
            </w:r>
          </w:p>
        </w:tc>
        <w:tc>
          <w:tcPr>
            <w:tcW w:type="dxa" w:w="2693"/>
            <w:shd w:fill="F7F9FB"/>
            <w:tcMar>
              <w:top w:w="95" w:type="dxa"/>
              <w:bottom w:w="95" w:type="dxa"/>
              <w:left w:w="130" w:type="dxa"/>
              <w:right w:w="130" w:type="dxa"/>
            </w:tcMar>
          </w:tcPr>
          <w:p>
            <w:pPr>
              <w:spacing w:before="0" w:after="0"/>
            </w:pPr>
            <w:r>
              <w:rPr>
                <w:rFonts w:ascii="Calibri" w:hAnsi="Calibri"/>
                <w:color w:val="2D3237"/>
                <w:sz w:val="17"/>
              </w:rPr>
              <w:t>Policy Decision Point (PDP) / Policy Enforcement Point (PEP) framework, continuous posture validation.</w:t>
            </w:r>
          </w:p>
        </w:tc>
      </w:tr>
      <w:tr>
        <w:tc>
          <w:tcPr>
            <w:tcW w:type="dxa" w:w="2304"/>
            <w:shd w:fill="FFFFFF"/>
            <w:tcMar>
              <w:top w:w="95" w:type="dxa"/>
              <w:bottom w:w="95" w:type="dxa"/>
              <w:left w:w="130" w:type="dxa"/>
              <w:right w:w="130" w:type="dxa"/>
            </w:tcMar>
          </w:tcPr>
          <w:p>
            <w:pPr>
              <w:spacing w:before="0" w:after="0"/>
            </w:pPr>
            <w:r>
              <w:rPr>
                <w:rFonts w:ascii="Calibri" w:hAnsi="Calibri"/>
                <w:color w:val="2D3237"/>
                <w:sz w:val="17"/>
              </w:rPr>
              <w:t>NIST Cybersecurity Framework (CSF 2.0)</w:t>
            </w:r>
          </w:p>
        </w:tc>
        <w:tc>
          <w:tcPr>
            <w:tcW w:type="dxa" w:w="2016"/>
            <w:shd w:fill="FFFFFF"/>
            <w:tcMar>
              <w:top w:w="95" w:type="dxa"/>
              <w:bottom w:w="95" w:type="dxa"/>
              <w:left w:w="130" w:type="dxa"/>
              <w:right w:w="130" w:type="dxa"/>
            </w:tcMar>
          </w:tcPr>
          <w:p>
            <w:pPr>
              <w:spacing w:before="0" w:after="0"/>
            </w:pPr>
            <w:r>
              <w:rPr>
                <w:rFonts w:ascii="Calibri" w:hAnsi="Calibri"/>
                <w:color w:val="2D3237"/>
                <w:sz w:val="17"/>
              </w:rPr>
              <w:t>US National Institute of Standards and Technology</w:t>
            </w:r>
          </w:p>
        </w:tc>
        <w:tc>
          <w:tcPr>
            <w:tcW w:type="dxa" w:w="2016"/>
            <w:shd w:fill="FFFFFF"/>
            <w:tcMar>
              <w:top w:w="95" w:type="dxa"/>
              <w:bottom w:w="95" w:type="dxa"/>
              <w:left w:w="130" w:type="dxa"/>
              <w:right w:w="130" w:type="dxa"/>
            </w:tcMar>
          </w:tcPr>
          <w:p>
            <w:pPr>
              <w:spacing w:before="0" w:after="0"/>
            </w:pPr>
            <w:r>
              <w:rPr>
                <w:rFonts w:ascii="Calibri" w:hAnsi="Calibri"/>
                <w:color w:val="2D3237"/>
                <w:sz w:val="17"/>
              </w:rPr>
              <w:t>Section 1.2, Section 11.1, Section 13.1</w:t>
            </w:r>
          </w:p>
        </w:tc>
        <w:tc>
          <w:tcPr>
            <w:tcW w:type="dxa" w:w="2693"/>
            <w:shd w:fill="FFFFFF"/>
            <w:tcMar>
              <w:top w:w="95" w:type="dxa"/>
              <w:bottom w:w="95" w:type="dxa"/>
              <w:left w:w="130" w:type="dxa"/>
              <w:right w:w="130" w:type="dxa"/>
            </w:tcMar>
          </w:tcPr>
          <w:p>
            <w:pPr>
              <w:spacing w:before="0" w:after="0"/>
            </w:pPr>
            <w:r>
              <w:rPr>
                <w:rFonts w:ascii="Calibri" w:hAnsi="Calibri"/>
                <w:color w:val="2D3237"/>
                <w:sz w:val="17"/>
              </w:rPr>
              <w:t>Govern, Identify, Protect, Detect, Respond, Recover core functions.</w:t>
            </w:r>
          </w:p>
        </w:tc>
      </w:tr>
      <w:tr>
        <w:tc>
          <w:tcPr>
            <w:tcW w:type="dxa" w:w="2304"/>
            <w:shd w:fill="F7F9FB"/>
            <w:tcMar>
              <w:top w:w="95" w:type="dxa"/>
              <w:bottom w:w="95" w:type="dxa"/>
              <w:left w:w="130" w:type="dxa"/>
              <w:right w:w="130" w:type="dxa"/>
            </w:tcMar>
          </w:tcPr>
          <w:p>
            <w:pPr>
              <w:spacing w:before="0" w:after="0"/>
            </w:pPr>
            <w:r>
              <w:rPr>
                <w:rFonts w:ascii="Calibri" w:hAnsi="Calibri"/>
                <w:color w:val="2D3237"/>
                <w:sz w:val="17"/>
              </w:rPr>
              <w:t>AICPA SOC 2 Type II Standards (Trust Services)</w:t>
            </w:r>
          </w:p>
        </w:tc>
        <w:tc>
          <w:tcPr>
            <w:tcW w:type="dxa" w:w="2016"/>
            <w:shd w:fill="F7F9FB"/>
            <w:tcMar>
              <w:top w:w="95" w:type="dxa"/>
              <w:bottom w:w="95" w:type="dxa"/>
              <w:left w:w="130" w:type="dxa"/>
              <w:right w:w="130" w:type="dxa"/>
            </w:tcMar>
          </w:tcPr>
          <w:p>
            <w:pPr>
              <w:spacing w:before="0" w:after="0"/>
            </w:pPr>
            <w:r>
              <w:rPr>
                <w:rFonts w:ascii="Calibri" w:hAnsi="Calibri"/>
                <w:color w:val="2D3237"/>
                <w:sz w:val="17"/>
              </w:rPr>
              <w:t>American Institute of Certified Public Accountants</w:t>
            </w:r>
          </w:p>
        </w:tc>
        <w:tc>
          <w:tcPr>
            <w:tcW w:type="dxa" w:w="2016"/>
            <w:shd w:fill="F7F9FB"/>
            <w:tcMar>
              <w:top w:w="95" w:type="dxa"/>
              <w:bottom w:w="95" w:type="dxa"/>
              <w:left w:w="130" w:type="dxa"/>
              <w:right w:w="130" w:type="dxa"/>
            </w:tcMar>
          </w:tcPr>
          <w:p>
            <w:pPr>
              <w:spacing w:before="0" w:after="0"/>
            </w:pPr>
            <w:r>
              <w:rPr>
                <w:rFonts w:ascii="Calibri" w:hAnsi="Calibri"/>
                <w:color w:val="2D3237"/>
                <w:sz w:val="17"/>
              </w:rPr>
              <w:t>Section 4.1, Section 8.1, Section 14.1</w:t>
            </w:r>
          </w:p>
        </w:tc>
        <w:tc>
          <w:tcPr>
            <w:tcW w:type="dxa" w:w="2693"/>
            <w:shd w:fill="F7F9FB"/>
            <w:tcMar>
              <w:top w:w="95" w:type="dxa"/>
              <w:bottom w:w="95" w:type="dxa"/>
              <w:left w:w="130" w:type="dxa"/>
              <w:right w:w="130" w:type="dxa"/>
            </w:tcMar>
          </w:tcPr>
          <w:p>
            <w:pPr>
              <w:spacing w:before="0" w:after="0"/>
            </w:pPr>
            <w:r>
              <w:rPr>
                <w:rFonts w:ascii="Calibri" w:hAnsi="Calibri"/>
                <w:color w:val="2D3237"/>
                <w:sz w:val="17"/>
              </w:rPr>
              <w:t>Security, Availability, Processing Integrity, Confidentiality, and Privacy controls.</w:t>
            </w:r>
          </w:p>
        </w:tc>
      </w:tr>
      <w:tr>
        <w:tc>
          <w:tcPr>
            <w:tcW w:type="dxa" w:w="2304"/>
            <w:shd w:fill="FFFFFF"/>
            <w:tcMar>
              <w:top w:w="95" w:type="dxa"/>
              <w:bottom w:w="95" w:type="dxa"/>
              <w:left w:w="130" w:type="dxa"/>
              <w:right w:w="130" w:type="dxa"/>
            </w:tcMar>
          </w:tcPr>
          <w:p>
            <w:pPr>
              <w:spacing w:before="0" w:after="0"/>
            </w:pPr>
            <w:r>
              <w:rPr>
                <w:rFonts w:ascii="Calibri" w:hAnsi="Calibri"/>
                <w:color w:val="2D3237"/>
                <w:sz w:val="17"/>
              </w:rPr>
              <w:t>UAE Federal Decree-Law No. 45/2021 (Data Protection)</w:t>
            </w:r>
          </w:p>
        </w:tc>
        <w:tc>
          <w:tcPr>
            <w:tcW w:type="dxa" w:w="2016"/>
            <w:shd w:fill="FFFFFF"/>
            <w:tcMar>
              <w:top w:w="95" w:type="dxa"/>
              <w:bottom w:w="95" w:type="dxa"/>
              <w:left w:w="130" w:type="dxa"/>
              <w:right w:w="130" w:type="dxa"/>
            </w:tcMar>
          </w:tcPr>
          <w:p>
            <w:pPr>
              <w:spacing w:before="0" w:after="0"/>
            </w:pPr>
            <w:r>
              <w:rPr>
                <w:rFonts w:ascii="Calibri" w:hAnsi="Calibri"/>
                <w:color w:val="2D3237"/>
                <w:sz w:val="17"/>
              </w:rPr>
              <w:t>UAE Data Office</w:t>
            </w:r>
          </w:p>
        </w:tc>
        <w:tc>
          <w:tcPr>
            <w:tcW w:type="dxa" w:w="2016"/>
            <w:shd w:fill="FFFFFF"/>
            <w:tcMar>
              <w:top w:w="95" w:type="dxa"/>
              <w:bottom w:w="95" w:type="dxa"/>
              <w:left w:w="130" w:type="dxa"/>
              <w:right w:w="130" w:type="dxa"/>
            </w:tcMar>
          </w:tcPr>
          <w:p>
            <w:pPr>
              <w:spacing w:before="0" w:after="0"/>
            </w:pPr>
            <w:r>
              <w:rPr>
                <w:rFonts w:ascii="Calibri" w:hAnsi="Calibri"/>
                <w:color w:val="2D3237"/>
                <w:sz w:val="17"/>
              </w:rPr>
              <w:t>Section 2.1, Section 9.2, Section 13.2</w:t>
            </w:r>
          </w:p>
        </w:tc>
        <w:tc>
          <w:tcPr>
            <w:tcW w:type="dxa" w:w="2693"/>
            <w:shd w:fill="FFFFFF"/>
            <w:tcMar>
              <w:top w:w="95" w:type="dxa"/>
              <w:bottom w:w="95" w:type="dxa"/>
              <w:left w:w="130" w:type="dxa"/>
              <w:right w:w="130" w:type="dxa"/>
            </w:tcMar>
          </w:tcPr>
          <w:p>
            <w:pPr>
              <w:spacing w:before="0" w:after="0"/>
            </w:pPr>
            <w:r>
              <w:rPr>
                <w:rFonts w:ascii="Calibri" w:hAnsi="Calibri"/>
                <w:color w:val="2D3237"/>
                <w:sz w:val="17"/>
              </w:rPr>
              <w:t>Sovereign data residency, mandatory breach disclosure within 72 hours, cryptographic controls.</w:t>
            </w:r>
          </w:p>
        </w:tc>
      </w:tr>
      <w:tr>
        <w:tc>
          <w:tcPr>
            <w:tcW w:type="dxa" w:w="2304"/>
            <w:shd w:fill="F7F9FB"/>
            <w:tcMar>
              <w:top w:w="95" w:type="dxa"/>
              <w:bottom w:w="95" w:type="dxa"/>
              <w:left w:w="130" w:type="dxa"/>
              <w:right w:w="130" w:type="dxa"/>
            </w:tcMar>
          </w:tcPr>
          <w:p>
            <w:pPr>
              <w:spacing w:before="0" w:after="0"/>
            </w:pPr>
            <w:r>
              <w:rPr>
                <w:rFonts w:ascii="Calibri" w:hAnsi="Calibri"/>
                <w:color w:val="2D3237"/>
                <w:sz w:val="17"/>
              </w:rPr>
              <w:t>FIPS 140-2 / 140-3 Cryptographic Standards</w:t>
            </w:r>
          </w:p>
        </w:tc>
        <w:tc>
          <w:tcPr>
            <w:tcW w:type="dxa" w:w="2016"/>
            <w:shd w:fill="F7F9FB"/>
            <w:tcMar>
              <w:top w:w="95" w:type="dxa"/>
              <w:bottom w:w="95" w:type="dxa"/>
              <w:left w:w="130" w:type="dxa"/>
              <w:right w:w="130" w:type="dxa"/>
            </w:tcMar>
          </w:tcPr>
          <w:p>
            <w:pPr>
              <w:spacing w:before="0" w:after="0"/>
            </w:pPr>
            <w:r>
              <w:rPr>
                <w:rFonts w:ascii="Calibri" w:hAnsi="Calibri"/>
                <w:color w:val="2D3237"/>
                <w:sz w:val="17"/>
              </w:rPr>
              <w:t>US National Institute of Standards and Technology</w:t>
            </w:r>
          </w:p>
        </w:tc>
        <w:tc>
          <w:tcPr>
            <w:tcW w:type="dxa" w:w="2016"/>
            <w:shd w:fill="F7F9FB"/>
            <w:tcMar>
              <w:top w:w="95" w:type="dxa"/>
              <w:bottom w:w="95" w:type="dxa"/>
              <w:left w:w="130" w:type="dxa"/>
              <w:right w:w="130" w:type="dxa"/>
            </w:tcMar>
          </w:tcPr>
          <w:p>
            <w:pPr>
              <w:spacing w:before="0" w:after="0"/>
            </w:pPr>
            <w:r>
              <w:rPr>
                <w:rFonts w:ascii="Calibri" w:hAnsi="Calibri"/>
                <w:color w:val="2D3237"/>
                <w:sz w:val="17"/>
              </w:rPr>
              <w:t>Section 4.2, Section 9.1, Section 9.2</w:t>
            </w:r>
          </w:p>
        </w:tc>
        <w:tc>
          <w:tcPr>
            <w:tcW w:type="dxa" w:w="2693"/>
            <w:shd w:fill="F7F9FB"/>
            <w:tcMar>
              <w:top w:w="95" w:type="dxa"/>
              <w:bottom w:w="95" w:type="dxa"/>
              <w:left w:w="130" w:type="dxa"/>
              <w:right w:w="130" w:type="dxa"/>
            </w:tcMar>
          </w:tcPr>
          <w:p>
            <w:pPr>
              <w:spacing w:before="0" w:after="0"/>
            </w:pPr>
            <w:r>
              <w:rPr>
                <w:rFonts w:ascii="Calibri" w:hAnsi="Calibri"/>
                <w:color w:val="2D3237"/>
                <w:sz w:val="17"/>
              </w:rPr>
              <w:t>Hardware Security Module (HSM) validation, FIDO2 token certification, AES-256-GCM.</w:t>
            </w:r>
          </w:p>
        </w:tc>
      </w:tr>
    </w:tbl>
    <w:p>
      <w:pPr>
        <w:spacing w:before="0" w:after="80"/>
      </w:pPr>
    </w:p>
    <w:p>
      <w:r>
        <w:br w:type="page"/>
      </w:r>
    </w:p>
    <w:p>
      <w:pPr>
        <w:keepNext/>
        <w:spacing w:before="400" w:after="120"/>
      </w:pPr>
      <w:r>
        <w:rPr>
          <w:rFonts w:ascii="Calibri" w:hAnsi="Calibri"/>
          <w:b/>
          <w:color w:val="0B2545"/>
          <w:sz w:val="30"/>
        </w:rPr>
        <w:t>SECTION 17: APPENDIX B — MANDATORY POLICY ATTESTATION REGISTRY</w:t>
      </w:r>
    </w:p>
    <w:p>
      <w:pPr>
        <w:spacing w:before="0" w:after="120" w:line="276" w:lineRule="auto"/>
      </w:pPr>
      <w:r>
        <w:rPr>
          <w:rFonts w:ascii="Calibri" w:hAnsi="Calibri"/>
          <w:color w:val="2D3237"/>
          <w:sz w:val="20"/>
        </w:rPr>
        <w:t>Clause 17.1.1 — All newly onboarded employees, system administrators, cloud architects, DevOps engineers, external contractors, and autonomous agent system owners must digitally execute this formal attestation within 14 calendar days of credential provisioning. Failure to execute initiates automated account suspension under Enterprise Security Directive ISD-402.</w:t>
      </w:r>
    </w:p>
    <w:tbl>
      <w:tblPr>
        <w:tblW w:type="auto" w:w="0"/>
        <w:jc w:val="center"/>
        <w:tblLayout w:type="fixed"/>
        <w:tblLook w:firstColumn="1" w:firstRow="1" w:lastColumn="0" w:lastRow="0" w:noHBand="0" w:noVBand="1" w:val="04A0"/>
      </w:tblPr>
      <w:tblGrid>
        <w:gridCol w:w="4507"/>
        <w:gridCol w:w="4522"/>
      </w:tblGrid>
      <w:tr>
        <w:tc>
          <w:tcPr>
            <w:tcW w:type="dxa" w:w="4507"/>
            <w:shd w:fill="F7F9FB"/>
            <w:tcMar>
              <w:top w:w="100" w:type="dxa"/>
              <w:bottom w:w="100" w:type="dxa"/>
              <w:left w:w="120" w:type="dxa"/>
              <w:right w:w="120" w:type="dxa"/>
            </w:tcMar>
          </w:tcPr>
          <w:p>
            <w:pPr>
              <w:spacing w:before="0" w:after="0"/>
            </w:pPr>
            <w:r>
              <w:rPr>
                <w:rFonts w:ascii="Calibri" w:hAnsi="Calibri"/>
                <w:color w:val="2D3237"/>
                <w:sz w:val="17"/>
              </w:rPr>
              <w:t>Full Legal Employee Name:</w:t>
              <w:br/>
              <w:br/>
              <w:t>____________________________________________</w:t>
            </w:r>
          </w:p>
        </w:tc>
        <w:tc>
          <w:tcPr>
            <w:tcW w:type="dxa" w:w="4522"/>
            <w:shd w:fill="F7F9FB"/>
            <w:tcMar>
              <w:top w:w="100" w:type="dxa"/>
              <w:bottom w:w="100" w:type="dxa"/>
              <w:left w:w="120" w:type="dxa"/>
              <w:right w:w="120" w:type="dxa"/>
            </w:tcMar>
          </w:tcPr>
          <w:p>
            <w:pPr>
              <w:spacing w:before="0" w:after="0"/>
            </w:pPr>
            <w:r>
              <w:rPr>
                <w:rFonts w:ascii="Calibri" w:hAnsi="Calibri"/>
                <w:color w:val="2D3237"/>
                <w:sz w:val="17"/>
              </w:rPr>
              <w:t>Operating Company / Subsidiary Entity:</w:t>
              <w:br/>
              <w:br/>
              <w:t>____________________________________________</w:t>
            </w:r>
          </w:p>
        </w:tc>
      </w:tr>
      <w:tr>
        <w:tc>
          <w:tcPr>
            <w:tcW w:type="dxa" w:w="4507"/>
            <w:shd w:fill="FFFFFF"/>
            <w:tcMar>
              <w:top w:w="100" w:type="dxa"/>
              <w:bottom w:w="100" w:type="dxa"/>
              <w:left w:w="120" w:type="dxa"/>
              <w:right w:w="120" w:type="dxa"/>
            </w:tcMar>
          </w:tcPr>
          <w:p>
            <w:pPr>
              <w:spacing w:before="0" w:after="0"/>
            </w:pPr>
            <w:r>
              <w:rPr>
                <w:rFonts w:ascii="Calibri" w:hAnsi="Calibri"/>
                <w:color w:val="2D3237"/>
                <w:sz w:val="17"/>
              </w:rPr>
              <w:t>Enterprise ID / Global Employee UID:</w:t>
              <w:br/>
              <w:br/>
              <w:t>____________________________________________</w:t>
            </w:r>
          </w:p>
        </w:tc>
        <w:tc>
          <w:tcPr>
            <w:tcW w:type="dxa" w:w="4522"/>
            <w:shd w:fill="FFFFFF"/>
            <w:tcMar>
              <w:top w:w="100" w:type="dxa"/>
              <w:bottom w:w="100" w:type="dxa"/>
              <w:left w:w="120" w:type="dxa"/>
              <w:right w:w="120" w:type="dxa"/>
            </w:tcMar>
          </w:tcPr>
          <w:p>
            <w:pPr>
              <w:spacing w:before="0" w:after="0"/>
            </w:pPr>
            <w:r>
              <w:rPr>
                <w:rFonts w:ascii="Calibri" w:hAnsi="Calibri"/>
                <w:color w:val="2D3237"/>
                <w:sz w:val="17"/>
              </w:rPr>
              <w:t>Job Title / Security Clearance Level:</w:t>
              <w:br/>
              <w:br/>
              <w:t>____________________________________________</w:t>
            </w:r>
          </w:p>
        </w:tc>
      </w:tr>
      <w:tr>
        <w:tc>
          <w:tcPr>
            <w:tcW w:type="dxa" w:w="4507"/>
            <w:shd w:fill="F7F9FB"/>
            <w:tcMar>
              <w:top w:w="100" w:type="dxa"/>
              <w:bottom w:w="100" w:type="dxa"/>
              <w:left w:w="120" w:type="dxa"/>
              <w:right w:w="120" w:type="dxa"/>
            </w:tcMar>
          </w:tcPr>
          <w:p>
            <w:pPr>
              <w:spacing w:before="0" w:after="0"/>
            </w:pPr>
            <w:r>
              <w:rPr>
                <w:rFonts w:ascii="Calibri" w:hAnsi="Calibri"/>
                <w:color w:val="2D3237"/>
                <w:sz w:val="17"/>
              </w:rPr>
              <w:t>Privileged Access Role (if applicable):</w:t>
              <w:br/>
              <w:br/>
              <w:t>____________________________________________</w:t>
            </w:r>
          </w:p>
        </w:tc>
        <w:tc>
          <w:tcPr>
            <w:tcW w:type="dxa" w:w="4522"/>
            <w:shd w:fill="F7F9FB"/>
            <w:tcMar>
              <w:top w:w="100" w:type="dxa"/>
              <w:bottom w:w="100" w:type="dxa"/>
              <w:left w:w="120" w:type="dxa"/>
              <w:right w:w="120" w:type="dxa"/>
            </w:tcMar>
          </w:tcPr>
          <w:p>
            <w:pPr>
              <w:spacing w:before="0" w:after="0"/>
            </w:pPr>
            <w:r>
              <w:rPr>
                <w:rFonts w:ascii="Calibri" w:hAnsi="Calibri"/>
                <w:color w:val="2D3237"/>
                <w:sz w:val="17"/>
              </w:rPr>
              <w:t>Hardware Token (FIDO2 YubiKey) Serial No:</w:t>
              <w:br/>
              <w:br/>
              <w:t>____________________________________________</w:t>
            </w:r>
          </w:p>
        </w:tc>
      </w:tr>
      <w:tr>
        <w:tc>
          <w:tcPr>
            <w:tcW w:type="dxa" w:w="4507"/>
            <w:shd w:fill="FFFFFF"/>
            <w:tcMar>
              <w:top w:w="100" w:type="dxa"/>
              <w:bottom w:w="100" w:type="dxa"/>
              <w:left w:w="120" w:type="dxa"/>
              <w:right w:w="120" w:type="dxa"/>
            </w:tcMar>
          </w:tcPr>
          <w:p>
            <w:pPr>
              <w:spacing w:before="0" w:after="0"/>
            </w:pPr>
            <w:r>
              <w:rPr>
                <w:rFonts w:ascii="Calibri" w:hAnsi="Calibri"/>
                <w:color w:val="2D3237"/>
                <w:sz w:val="17"/>
              </w:rPr>
              <w:t>Assigned Enterprise Endpoint Hostname:</w:t>
              <w:br/>
              <w:br/>
              <w:t>____________________________________________</w:t>
            </w:r>
          </w:p>
        </w:tc>
        <w:tc>
          <w:tcPr>
            <w:tcW w:type="dxa" w:w="4522"/>
            <w:shd w:fill="FFFFFF"/>
            <w:tcMar>
              <w:top w:w="100" w:type="dxa"/>
              <w:bottom w:w="100" w:type="dxa"/>
              <w:left w:w="120" w:type="dxa"/>
              <w:right w:w="120" w:type="dxa"/>
            </w:tcMar>
          </w:tcPr>
          <w:p>
            <w:pPr>
              <w:spacing w:before="0" w:after="0"/>
            </w:pPr>
            <w:r>
              <w:rPr>
                <w:rFonts w:ascii="Calibri" w:hAnsi="Calibri"/>
                <w:color w:val="2D3237"/>
                <w:sz w:val="17"/>
              </w:rPr>
              <w:t>Workstation MAC / Hardware UUID:</w:t>
              <w:br/>
              <w:br/>
              <w:t>____________________________________________</w:t>
            </w:r>
          </w:p>
        </w:tc>
      </w:tr>
      <w:tr>
        <w:tc>
          <w:tcPr>
            <w:tcW w:type="dxa" w:w="4507"/>
            <w:shd w:fill="F7F9FB"/>
            <w:tcMar>
              <w:top w:w="100" w:type="dxa"/>
              <w:bottom w:w="100" w:type="dxa"/>
              <w:left w:w="120" w:type="dxa"/>
              <w:right w:w="120" w:type="dxa"/>
            </w:tcMar>
          </w:tcPr>
          <w:p>
            <w:pPr>
              <w:spacing w:before="0" w:after="0"/>
            </w:pPr>
            <w:r>
              <w:rPr>
                <w:rFonts w:ascii="Calibri" w:hAnsi="Calibri"/>
                <w:color w:val="2D3237"/>
                <w:sz w:val="17"/>
              </w:rPr>
              <w:t>Digital Cryptographic Signature:</w:t>
              <w:br/>
              <w:br/>
              <w:t>____________________________________________</w:t>
            </w:r>
          </w:p>
        </w:tc>
        <w:tc>
          <w:tcPr>
            <w:tcW w:type="dxa" w:w="4522"/>
            <w:shd w:fill="F7F9FB"/>
            <w:tcMar>
              <w:top w:w="100" w:type="dxa"/>
              <w:bottom w:w="100" w:type="dxa"/>
              <w:left w:w="120" w:type="dxa"/>
              <w:right w:w="120" w:type="dxa"/>
            </w:tcMar>
          </w:tcPr>
          <w:p>
            <w:pPr>
              <w:spacing w:before="0" w:after="0"/>
            </w:pPr>
            <w:r>
              <w:rPr>
                <w:rFonts w:ascii="Calibri" w:hAnsi="Calibri"/>
                <w:color w:val="2D3237"/>
                <w:sz w:val="17"/>
              </w:rPr>
              <w:t>Date of Formal Attestation (DD/MM/YYYY):</w:t>
              <w:br/>
              <w:br/>
              <w:t>____________________________________________</w:t>
            </w:r>
          </w:p>
        </w:tc>
      </w:tr>
      <w:tr>
        <w:tc>
          <w:tcPr>
            <w:tcW w:type="dxa" w:w="4507"/>
            <w:shd w:fill="FFFFFF"/>
            <w:tcMar>
              <w:top w:w="100" w:type="dxa"/>
              <w:bottom w:w="100" w:type="dxa"/>
              <w:left w:w="120" w:type="dxa"/>
              <w:right w:w="120" w:type="dxa"/>
            </w:tcMar>
          </w:tcPr>
          <w:p>
            <w:pPr>
              <w:spacing w:before="0" w:after="0"/>
            </w:pPr>
            <w:r>
              <w:rPr>
                <w:rFonts w:ascii="Calibri" w:hAnsi="Calibri"/>
                <w:color w:val="2D3237"/>
                <w:sz w:val="17"/>
              </w:rPr>
              <w:t>Authorizing OpCo CISO / Manager Name:</w:t>
              <w:br/>
              <w:br/>
              <w:t>____________________________________________</w:t>
            </w:r>
          </w:p>
        </w:tc>
        <w:tc>
          <w:tcPr>
            <w:tcW w:type="dxa" w:w="4522"/>
            <w:shd w:fill="FFFFFF"/>
            <w:tcMar>
              <w:top w:w="100" w:type="dxa"/>
              <w:bottom w:w="100" w:type="dxa"/>
              <w:left w:w="120" w:type="dxa"/>
              <w:right w:w="120" w:type="dxa"/>
            </w:tcMar>
          </w:tcPr>
          <w:p>
            <w:pPr>
              <w:spacing w:before="0" w:after="0"/>
            </w:pPr>
            <w:r>
              <w:rPr>
                <w:rFonts w:ascii="Calibri" w:hAnsi="Calibri"/>
                <w:color w:val="2D3237"/>
                <w:sz w:val="17"/>
              </w:rPr>
              <w:t>Counter-Signature &amp; Date:</w:t>
              <w:br/>
              <w:br/>
              <w:t>____________________________________________</w:t>
            </w:r>
          </w:p>
        </w:tc>
      </w:tr>
    </w:tbl>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828C"/>
        <w:sz w:val="17"/>
      </w:rPr>
      <w:t xml:space="preserve">CLASSIFICATION: CONFIDENTIAL (LEVEL 3)  |  TAXONOMY: [GROUP-LEVEL]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828C"/>
        <w:sz w:val="17"/>
      </w:rPr>
      <w:t>G42 GROUP POLICY  |  G42-POL-SEC-002  |  INFOSEC &amp; ZERO TRUST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