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17C65" w14:textId="77777777" w:rsidR="00E96623" w:rsidRDefault="00000000">
      <w:pPr>
        <w:spacing w:before="840"/>
      </w:pPr>
      <w:r>
        <w:rPr>
          <w:rFonts w:ascii="Arial" w:hAnsi="Arial"/>
          <w:b/>
          <w:color w:val="0B1F3A"/>
          <w:sz w:val="50"/>
        </w:rPr>
        <w:t>BEYOND THE 60/40 PORTFOLIO</w:t>
      </w:r>
    </w:p>
    <w:p w14:paraId="607DE3E4" w14:textId="15C8A190" w:rsidR="00E96623" w:rsidRDefault="00000000">
      <w:pPr>
        <w:spacing w:before="40" w:after="240"/>
      </w:pPr>
      <w:r>
        <w:rPr>
          <w:rFonts w:ascii="Arial" w:hAnsi="Arial"/>
          <w:b/>
          <w:color w:val="B08D2F"/>
          <w:sz w:val="30"/>
        </w:rPr>
        <w:t>Regime</w:t>
      </w:r>
      <w:r w:rsidR="0060333A">
        <w:rPr>
          <w:rFonts w:ascii="Arial" w:hAnsi="Arial"/>
          <w:b/>
          <w:color w:val="B08D2F"/>
          <w:sz w:val="30"/>
        </w:rPr>
        <w:t xml:space="preserve"> </w:t>
      </w:r>
      <w:r>
        <w:rPr>
          <w:rFonts w:ascii="Arial" w:hAnsi="Arial"/>
          <w:b/>
          <w:color w:val="B08D2F"/>
          <w:sz w:val="30"/>
        </w:rPr>
        <w:t>Sensitive Multi</w:t>
      </w:r>
      <w:r w:rsidR="00F16E5D">
        <w:rPr>
          <w:rFonts w:ascii="Arial" w:hAnsi="Arial"/>
          <w:b/>
          <w:color w:val="B08D2F"/>
          <w:sz w:val="30"/>
        </w:rPr>
        <w:t xml:space="preserve"> </w:t>
      </w:r>
      <w:r>
        <w:rPr>
          <w:rFonts w:ascii="Arial" w:hAnsi="Arial"/>
          <w:b/>
          <w:color w:val="B08D2F"/>
          <w:sz w:val="30"/>
        </w:rPr>
        <w:t>Asset Allocation for High</w:t>
      </w:r>
      <w:r w:rsidR="008E742E">
        <w:rPr>
          <w:rFonts w:ascii="Arial" w:hAnsi="Arial"/>
          <w:b/>
          <w:color w:val="B08D2F"/>
          <w:sz w:val="30"/>
        </w:rPr>
        <w:t xml:space="preserve"> </w:t>
      </w:r>
      <w:r>
        <w:rPr>
          <w:rFonts w:ascii="Arial" w:hAnsi="Arial"/>
          <w:b/>
          <w:color w:val="B08D2F"/>
          <w:sz w:val="30"/>
        </w:rPr>
        <w:t>Net</w:t>
      </w:r>
      <w:r w:rsidR="008E742E">
        <w:rPr>
          <w:rFonts w:ascii="Arial" w:hAnsi="Arial"/>
          <w:b/>
          <w:color w:val="B08D2F"/>
          <w:sz w:val="30"/>
        </w:rPr>
        <w:t xml:space="preserve"> </w:t>
      </w:r>
      <w:r>
        <w:rPr>
          <w:rFonts w:ascii="Arial" w:hAnsi="Arial"/>
          <w:b/>
          <w:color w:val="B08D2F"/>
          <w:sz w:val="30"/>
        </w:rPr>
        <w:t>Worth Investors</w:t>
      </w:r>
    </w:p>
    <w:p w14:paraId="589C7A51" w14:textId="36B03A9B" w:rsidR="00E96623" w:rsidRDefault="00000000">
      <w:pPr>
        <w:spacing w:after="440"/>
      </w:pPr>
      <w:r>
        <w:rPr>
          <w:i/>
          <w:color w:val="667085"/>
          <w:sz w:val="23"/>
        </w:rPr>
        <w:t>Evidence Framework for Inflation, Interest</w:t>
      </w:r>
      <w:r w:rsidR="00B8284F">
        <w:rPr>
          <w:i/>
          <w:color w:val="667085"/>
          <w:sz w:val="23"/>
        </w:rPr>
        <w:t xml:space="preserve"> </w:t>
      </w:r>
      <w:r>
        <w:rPr>
          <w:i/>
          <w:color w:val="667085"/>
          <w:sz w:val="23"/>
        </w:rPr>
        <w:t>Rate, and Economic</w:t>
      </w:r>
      <w:r w:rsidR="00B8284F">
        <w:rPr>
          <w:i/>
          <w:color w:val="667085"/>
          <w:sz w:val="23"/>
        </w:rPr>
        <w:t xml:space="preserve"> </w:t>
      </w:r>
      <w:r>
        <w:rPr>
          <w:i/>
          <w:color w:val="667085"/>
          <w:sz w:val="23"/>
        </w:rPr>
        <w:t>Stress Regimes</w:t>
      </w:r>
    </w:p>
    <w:tbl>
      <w:tblPr>
        <w:tblW w:w="0" w:type="auto"/>
        <w:tblLayout w:type="fixed"/>
        <w:tblLook w:val="04A0" w:firstRow="1" w:lastRow="0" w:firstColumn="1" w:lastColumn="0" w:noHBand="0" w:noVBand="1"/>
      </w:tblPr>
      <w:tblGrid>
        <w:gridCol w:w="4997"/>
        <w:gridCol w:w="4997"/>
      </w:tblGrid>
      <w:tr w:rsidR="00E96623" w14:paraId="086C9A4B" w14:textId="77777777">
        <w:tc>
          <w:tcPr>
            <w:tcW w:w="4997" w:type="dxa"/>
            <w:tcBorders>
              <w:top w:val="nil"/>
              <w:left w:val="nil"/>
              <w:bottom w:val="single" w:sz="3" w:space="0" w:color="CBD2D9"/>
              <w:right w:val="nil"/>
            </w:tcBorders>
            <w:tcMar>
              <w:top w:w="70" w:type="dxa"/>
              <w:left w:w="0" w:type="dxa"/>
              <w:bottom w:w="70" w:type="dxa"/>
              <w:right w:w="70" w:type="dxa"/>
            </w:tcMar>
          </w:tcPr>
          <w:p w14:paraId="060D6320" w14:textId="77777777" w:rsidR="00E96623" w:rsidRDefault="00000000">
            <w:r>
              <w:rPr>
                <w:rFonts w:ascii="Arial" w:hAnsi="Arial"/>
                <w:b/>
                <w:color w:val="667085"/>
                <w:sz w:val="15"/>
              </w:rPr>
              <w:t>AUTHOR</w:t>
            </w:r>
          </w:p>
        </w:tc>
        <w:tc>
          <w:tcPr>
            <w:tcW w:w="4997" w:type="dxa"/>
            <w:tcBorders>
              <w:top w:val="nil"/>
              <w:left w:val="nil"/>
              <w:bottom w:val="single" w:sz="3" w:space="0" w:color="CBD2D9"/>
              <w:right w:val="nil"/>
            </w:tcBorders>
            <w:tcMar>
              <w:top w:w="70" w:type="dxa"/>
              <w:left w:w="0" w:type="dxa"/>
              <w:bottom w:w="70" w:type="dxa"/>
              <w:right w:w="70" w:type="dxa"/>
            </w:tcMar>
          </w:tcPr>
          <w:p w14:paraId="4AA0731A" w14:textId="77777777" w:rsidR="00E96623" w:rsidRDefault="00000000">
            <w:r>
              <w:rPr>
                <w:sz w:val="19"/>
              </w:rPr>
              <w:t>Ishaan Parmar</w:t>
            </w:r>
          </w:p>
        </w:tc>
      </w:tr>
      <w:tr w:rsidR="00E96623" w14:paraId="53F7892A" w14:textId="77777777">
        <w:tc>
          <w:tcPr>
            <w:tcW w:w="4997" w:type="dxa"/>
            <w:tcBorders>
              <w:top w:val="nil"/>
              <w:left w:val="nil"/>
              <w:bottom w:val="single" w:sz="3" w:space="0" w:color="CBD2D9"/>
              <w:right w:val="nil"/>
            </w:tcBorders>
            <w:tcMar>
              <w:top w:w="70" w:type="dxa"/>
              <w:left w:w="0" w:type="dxa"/>
              <w:bottom w:w="70" w:type="dxa"/>
              <w:right w:w="70" w:type="dxa"/>
            </w:tcMar>
          </w:tcPr>
          <w:p w14:paraId="4967EDA9" w14:textId="77777777" w:rsidR="00E96623" w:rsidRDefault="00000000">
            <w:r>
              <w:rPr>
                <w:rFonts w:ascii="Arial" w:hAnsi="Arial"/>
                <w:b/>
                <w:color w:val="667085"/>
                <w:sz w:val="15"/>
              </w:rPr>
              <w:t>AFFILIATION</w:t>
            </w:r>
          </w:p>
        </w:tc>
        <w:tc>
          <w:tcPr>
            <w:tcW w:w="4997" w:type="dxa"/>
            <w:tcBorders>
              <w:top w:val="nil"/>
              <w:left w:val="nil"/>
              <w:bottom w:val="single" w:sz="3" w:space="0" w:color="CBD2D9"/>
              <w:right w:val="nil"/>
            </w:tcBorders>
            <w:tcMar>
              <w:top w:w="70" w:type="dxa"/>
              <w:left w:w="0" w:type="dxa"/>
              <w:bottom w:w="70" w:type="dxa"/>
              <w:right w:w="70" w:type="dxa"/>
            </w:tcMar>
          </w:tcPr>
          <w:p w14:paraId="33155200" w14:textId="48458B60" w:rsidR="00E96623" w:rsidRDefault="008E742E">
            <w:r>
              <w:rPr>
                <w:sz w:val="19"/>
              </w:rPr>
              <w:t>Independent Researcher, New York, NY</w:t>
            </w:r>
          </w:p>
        </w:tc>
      </w:tr>
      <w:tr w:rsidR="00E96623" w14:paraId="7A18DE9C" w14:textId="77777777">
        <w:tc>
          <w:tcPr>
            <w:tcW w:w="4997" w:type="dxa"/>
            <w:tcBorders>
              <w:top w:val="nil"/>
              <w:left w:val="nil"/>
              <w:bottom w:val="single" w:sz="3" w:space="0" w:color="CBD2D9"/>
              <w:right w:val="nil"/>
            </w:tcBorders>
            <w:tcMar>
              <w:top w:w="70" w:type="dxa"/>
              <w:left w:w="0" w:type="dxa"/>
              <w:bottom w:w="70" w:type="dxa"/>
              <w:right w:w="70" w:type="dxa"/>
            </w:tcMar>
          </w:tcPr>
          <w:p w14:paraId="5A55EED1" w14:textId="77777777" w:rsidR="00E96623" w:rsidRDefault="00000000">
            <w:r>
              <w:rPr>
                <w:rFonts w:ascii="Arial" w:hAnsi="Arial"/>
                <w:b/>
                <w:color w:val="667085"/>
                <w:sz w:val="15"/>
              </w:rPr>
              <w:t>PAPER TYPE</w:t>
            </w:r>
          </w:p>
        </w:tc>
        <w:tc>
          <w:tcPr>
            <w:tcW w:w="4997" w:type="dxa"/>
            <w:tcBorders>
              <w:top w:val="nil"/>
              <w:left w:val="nil"/>
              <w:bottom w:val="single" w:sz="3" w:space="0" w:color="CBD2D9"/>
              <w:right w:val="nil"/>
            </w:tcBorders>
            <w:tcMar>
              <w:top w:w="70" w:type="dxa"/>
              <w:left w:w="0" w:type="dxa"/>
              <w:bottom w:w="70" w:type="dxa"/>
              <w:right w:w="70" w:type="dxa"/>
            </w:tcMar>
          </w:tcPr>
          <w:p w14:paraId="2DB7AA9C" w14:textId="3B370DBF" w:rsidR="00E96623" w:rsidRDefault="00000000">
            <w:r>
              <w:rPr>
                <w:sz w:val="19"/>
              </w:rPr>
              <w:t xml:space="preserve">Independent </w:t>
            </w:r>
            <w:r w:rsidR="00381699">
              <w:rPr>
                <w:sz w:val="19"/>
              </w:rPr>
              <w:t>investment research</w:t>
            </w:r>
            <w:r w:rsidR="00B8284F">
              <w:rPr>
                <w:sz w:val="19"/>
              </w:rPr>
              <w:t xml:space="preserve"> working</w:t>
            </w:r>
            <w:r>
              <w:rPr>
                <w:sz w:val="19"/>
              </w:rPr>
              <w:t xml:space="preserve"> paper</w:t>
            </w:r>
          </w:p>
        </w:tc>
      </w:tr>
      <w:tr w:rsidR="00E96623" w14:paraId="5DFB6120" w14:textId="77777777">
        <w:tc>
          <w:tcPr>
            <w:tcW w:w="4997" w:type="dxa"/>
            <w:tcBorders>
              <w:top w:val="nil"/>
              <w:left w:val="nil"/>
              <w:bottom w:val="single" w:sz="3" w:space="0" w:color="CBD2D9"/>
              <w:right w:val="nil"/>
            </w:tcBorders>
            <w:tcMar>
              <w:top w:w="70" w:type="dxa"/>
              <w:left w:w="0" w:type="dxa"/>
              <w:bottom w:w="70" w:type="dxa"/>
              <w:right w:w="70" w:type="dxa"/>
            </w:tcMar>
          </w:tcPr>
          <w:p w14:paraId="272112DD" w14:textId="77777777" w:rsidR="00E96623" w:rsidRDefault="00000000">
            <w:r>
              <w:rPr>
                <w:rFonts w:ascii="Arial" w:hAnsi="Arial"/>
                <w:b/>
                <w:color w:val="667085"/>
                <w:sz w:val="15"/>
              </w:rPr>
              <w:t>VERSION</w:t>
            </w:r>
          </w:p>
        </w:tc>
        <w:tc>
          <w:tcPr>
            <w:tcW w:w="4997" w:type="dxa"/>
            <w:tcBorders>
              <w:top w:val="nil"/>
              <w:left w:val="nil"/>
              <w:bottom w:val="single" w:sz="3" w:space="0" w:color="CBD2D9"/>
              <w:right w:val="nil"/>
            </w:tcBorders>
            <w:tcMar>
              <w:top w:w="70" w:type="dxa"/>
              <w:left w:w="0" w:type="dxa"/>
              <w:bottom w:w="70" w:type="dxa"/>
              <w:right w:w="70" w:type="dxa"/>
            </w:tcMar>
            <w:vAlign w:val="center"/>
          </w:tcPr>
          <w:p w14:paraId="3ADD7C6E" w14:textId="77777777" w:rsidR="00E96623" w:rsidRDefault="00000000">
            <w:r>
              <w:rPr>
                <w:sz w:val="18"/>
              </w:rPr>
              <w:t>Working Paper 1.0 - empirical analysis complete</w:t>
            </w:r>
          </w:p>
        </w:tc>
      </w:tr>
      <w:tr w:rsidR="00E96623" w14:paraId="2AC67AC8" w14:textId="77777777">
        <w:tc>
          <w:tcPr>
            <w:tcW w:w="4997" w:type="dxa"/>
            <w:tcBorders>
              <w:top w:val="nil"/>
              <w:left w:val="nil"/>
              <w:bottom w:val="single" w:sz="3" w:space="0" w:color="CBD2D9"/>
              <w:right w:val="nil"/>
            </w:tcBorders>
            <w:tcMar>
              <w:top w:w="70" w:type="dxa"/>
              <w:left w:w="0" w:type="dxa"/>
              <w:bottom w:w="70" w:type="dxa"/>
              <w:right w:w="70" w:type="dxa"/>
            </w:tcMar>
          </w:tcPr>
          <w:p w14:paraId="0FC9E850" w14:textId="77777777" w:rsidR="00E96623" w:rsidRDefault="00000000">
            <w:r>
              <w:rPr>
                <w:rFonts w:ascii="Arial" w:hAnsi="Arial"/>
                <w:b/>
                <w:color w:val="667085"/>
                <w:sz w:val="15"/>
              </w:rPr>
              <w:t>DATE</w:t>
            </w:r>
          </w:p>
        </w:tc>
        <w:tc>
          <w:tcPr>
            <w:tcW w:w="4997" w:type="dxa"/>
            <w:tcBorders>
              <w:top w:val="nil"/>
              <w:left w:val="nil"/>
              <w:bottom w:val="single" w:sz="3" w:space="0" w:color="CBD2D9"/>
              <w:right w:val="nil"/>
            </w:tcBorders>
            <w:tcMar>
              <w:top w:w="70" w:type="dxa"/>
              <w:left w:w="0" w:type="dxa"/>
              <w:bottom w:w="70" w:type="dxa"/>
              <w:right w:w="70" w:type="dxa"/>
            </w:tcMar>
            <w:vAlign w:val="center"/>
          </w:tcPr>
          <w:p w14:paraId="4FE1F6D0" w14:textId="77777777" w:rsidR="00E96623" w:rsidRDefault="00000000">
            <w:r>
              <w:rPr>
                <w:sz w:val="18"/>
              </w:rPr>
              <w:t>July 2026</w:t>
            </w:r>
          </w:p>
        </w:tc>
      </w:tr>
    </w:tbl>
    <w:p w14:paraId="1B610FBE" w14:textId="77777777" w:rsidR="00E96623" w:rsidRDefault="00000000">
      <w:pPr>
        <w:spacing w:before="400"/>
      </w:pPr>
      <w:r>
        <w:rPr>
          <w:rFonts w:ascii="Arial" w:hAnsi="Arial"/>
          <w:b/>
          <w:color w:val="0B1F3A"/>
          <w:sz w:val="19"/>
        </w:rPr>
        <w:t>Research objective</w:t>
      </w:r>
    </w:p>
    <w:p w14:paraId="75A5B1A1" w14:textId="77777777" w:rsidR="00E96623" w:rsidRDefault="00000000">
      <w:pPr>
        <w:spacing w:after="320"/>
      </w:pPr>
      <w:r>
        <w:t>To evaluate whether transparent, long-only multi-asset and regime-sensitive portfolios improved downside protection and risk-adjusted performance relative to a traditional 60/40 benchmark in a rolling, out-of-sample test from January 2013 through December 2025.</w:t>
      </w:r>
    </w:p>
    <w:p w14:paraId="4DA3801C" w14:textId="296F2006" w:rsidR="009843CF" w:rsidRPr="00381699" w:rsidRDefault="00381699" w:rsidP="00381699">
      <w:pPr>
        <w:spacing w:after="320"/>
        <w:rPr>
          <w:b/>
          <w:bCs/>
        </w:rPr>
      </w:pPr>
      <w:r w:rsidRPr="00381699">
        <w:rPr>
          <w:b/>
          <w:bCs/>
        </w:rPr>
        <w:t>Code and research materials:</w:t>
      </w:r>
      <w:r w:rsidRPr="00381699">
        <w:rPr>
          <w:b/>
          <w:bCs/>
        </w:rPr>
        <w:br/>
      </w:r>
      <w:r w:rsidRPr="00381699">
        <w:t>https://github.com/ishaanparm/beyond-60-40-portfolio</w:t>
      </w:r>
    </w:p>
    <w:tbl>
      <w:tblPr>
        <w:tblW w:w="0" w:type="auto"/>
        <w:jc w:val="center"/>
        <w:tblLayout w:type="fixed"/>
        <w:tblLook w:val="04A0" w:firstRow="1" w:lastRow="0" w:firstColumn="1" w:lastColumn="0" w:noHBand="0" w:noVBand="1"/>
      </w:tblPr>
      <w:tblGrid>
        <w:gridCol w:w="9994"/>
      </w:tblGrid>
      <w:tr w:rsidR="00E96623" w14:paraId="3AB061EA" w14:textId="77777777">
        <w:trPr>
          <w:jc w:val="center"/>
        </w:trPr>
        <w:tc>
          <w:tcPr>
            <w:tcW w:w="9994" w:type="dxa"/>
            <w:tcBorders>
              <w:top w:val="single" w:sz="8" w:space="0" w:color="9C2C2C"/>
              <w:left w:val="single" w:sz="14" w:space="0" w:color="9C2C2C"/>
              <w:bottom w:val="single" w:sz="8" w:space="0" w:color="9C2C2C"/>
              <w:right w:val="single" w:sz="8" w:space="0" w:color="9C2C2C"/>
            </w:tcBorders>
            <w:shd w:val="clear" w:color="auto" w:fill="FFF4E5"/>
            <w:tcMar>
              <w:top w:w="160" w:type="dxa"/>
              <w:left w:w="180" w:type="dxa"/>
              <w:bottom w:w="160" w:type="dxa"/>
              <w:right w:w="180" w:type="dxa"/>
            </w:tcMar>
            <w:vAlign w:val="center"/>
          </w:tcPr>
          <w:p w14:paraId="709C63DF" w14:textId="62E6A2F5" w:rsidR="00E96623" w:rsidRDefault="00000000">
            <w:r>
              <w:rPr>
                <w:sz w:val="18"/>
              </w:rPr>
              <w:t>WORKING</w:t>
            </w:r>
            <w:r w:rsidR="00381699">
              <w:rPr>
                <w:sz w:val="18"/>
              </w:rPr>
              <w:t xml:space="preserve"> </w:t>
            </w:r>
            <w:r>
              <w:rPr>
                <w:sz w:val="18"/>
              </w:rPr>
              <w:t>PAPER STATUS</w:t>
            </w:r>
            <w:r>
              <w:rPr>
                <w:sz w:val="18"/>
              </w:rPr>
              <w:br/>
            </w:r>
            <w:r w:rsidR="00381699" w:rsidRPr="00381699">
              <w:rPr>
                <w:sz w:val="18"/>
              </w:rPr>
              <w:t>This manuscript reports a completed out</w:t>
            </w:r>
            <w:r w:rsidR="00940680">
              <w:rPr>
                <w:sz w:val="18"/>
              </w:rPr>
              <w:t xml:space="preserve"> </w:t>
            </w:r>
            <w:r w:rsidR="00381699" w:rsidRPr="00381699">
              <w:rPr>
                <w:sz w:val="18"/>
              </w:rPr>
              <w:t>of</w:t>
            </w:r>
            <w:r w:rsidR="00940680">
              <w:rPr>
                <w:sz w:val="18"/>
              </w:rPr>
              <w:t xml:space="preserve"> </w:t>
            </w:r>
            <w:r w:rsidR="00381699" w:rsidRPr="00381699">
              <w:rPr>
                <w:sz w:val="18"/>
              </w:rPr>
              <w:t>sample analysis with public code, methodology, and archived result outputs</w:t>
            </w:r>
            <w:r>
              <w:rPr>
                <w:sz w:val="18"/>
              </w:rPr>
              <w:t>.</w:t>
            </w:r>
            <w:r w:rsidR="00381699" w:rsidRPr="00381699">
              <w:t xml:space="preserve"> </w:t>
            </w:r>
            <w:r w:rsidR="00381699">
              <w:t xml:space="preserve">           </w:t>
            </w:r>
            <w:r w:rsidR="00381699" w:rsidRPr="00381699">
              <w:rPr>
                <w:sz w:val="18"/>
              </w:rPr>
              <w:t>It has not been peer reviewed and should be cited as an independent working paper</w:t>
            </w:r>
            <w:r w:rsidR="00381699">
              <w:rPr>
                <w:sz w:val="18"/>
              </w:rPr>
              <w:t xml:space="preserve">. </w:t>
            </w:r>
            <w:r>
              <w:rPr>
                <w:sz w:val="18"/>
              </w:rPr>
              <w:t>The results are educational and are not investment advice.</w:t>
            </w:r>
          </w:p>
        </w:tc>
      </w:tr>
    </w:tbl>
    <w:p w14:paraId="1BA92A3F" w14:textId="77777777" w:rsidR="00E96623" w:rsidRDefault="00E96623">
      <w:pPr>
        <w:spacing w:after="0"/>
      </w:pPr>
    </w:p>
    <w:p w14:paraId="43C67D5E" w14:textId="77777777" w:rsidR="00E96623" w:rsidRDefault="00000000">
      <w:pPr>
        <w:spacing w:before="280"/>
      </w:pPr>
      <w:r>
        <w:rPr>
          <w:b/>
          <w:color w:val="0B1F3A"/>
          <w:sz w:val="18"/>
        </w:rPr>
        <w:t xml:space="preserve">Keywords: </w:t>
      </w:r>
      <w:r>
        <w:rPr>
          <w:color w:val="667085"/>
          <w:sz w:val="18"/>
        </w:rPr>
        <w:t>asset allocation; high-net-worth investing; 60/40 portfolio; risk parity; conditional value-at-risk; inflation regimes; monetary policy; wealth preservation</w:t>
      </w:r>
    </w:p>
    <w:p w14:paraId="30C447C1" w14:textId="77777777" w:rsidR="00E96623" w:rsidRDefault="00000000">
      <w:r>
        <w:rPr>
          <w:b/>
          <w:color w:val="0B1F3A"/>
          <w:sz w:val="18"/>
        </w:rPr>
        <w:t xml:space="preserve">JEL classification: </w:t>
      </w:r>
      <w:r>
        <w:rPr>
          <w:color w:val="667085"/>
          <w:sz w:val="18"/>
        </w:rPr>
        <w:t>G11, G12, E31, E43</w:t>
      </w:r>
    </w:p>
    <w:p w14:paraId="75019153" w14:textId="77777777" w:rsidR="00E96623" w:rsidRDefault="00000000">
      <w:r>
        <w:br w:type="page"/>
      </w:r>
    </w:p>
    <w:p w14:paraId="583111AA" w14:textId="77777777" w:rsidR="00E96623" w:rsidRDefault="00000000">
      <w:pPr>
        <w:pStyle w:val="Heading1"/>
      </w:pPr>
      <w:r>
        <w:rPr>
          <w:rFonts w:ascii="Cambria" w:hAnsi="Cambria"/>
        </w:rPr>
        <w:lastRenderedPageBreak/>
        <w:t>Abstract</w:t>
      </w:r>
    </w:p>
    <w:p w14:paraId="6D7F91FA" w14:textId="77777777" w:rsidR="00E96623" w:rsidRDefault="00000000">
      <w:pPr>
        <w:pStyle w:val="BodyText"/>
      </w:pPr>
      <w:r>
        <w:t>This paper evaluates whether diversified, optimized, and regime-sensitive multi-asset portfolios improved wealth preservation relative to a traditional 60/40 stock-Treasury benchmark for a hypothetical high-net-worth investor. Seven liquid exchange-traded fund proxies were studied using monthly data from January 2008 through December 2025. The main out-of-sample test covers January 2013 through December 2025 and applies quarterly rebalancing, 10 basis points of one-way turnover costs, long-only constraints, and lagged macroeconomic signals. The portfolios include a strategic diversified allocation, constrained maximum-Sharpe mean-variance optimization, equal-risk contribution, minimum 95 percent conditional value-at-risk, and a precommitted inflation-and-policy regime strategy. The 60/40 benchmark delivered the highest nominal CAGR (9.56 percent) and real CAGR (6.70 percent). Mean-variance achieved the highest Sharpe ratio (1.036) and Sortino ratio (1.734), while reducing maximum drawdown to 12.16 percent from 20.56 percent. Minimum CVaR produced the lowest volatility and tail loss but only a 3.99 percent CAGR. The regime-sensitive strategy reduced drawdown and CVaR, yet its 6.80 percent CAGR, weaker Sharpe ratio, and 43.02 percent annual turnover caused it to fail the precommitted success standard. The evidence favors simple strategic exposure for growth and constrained optimization when downside control is the dominant objective.</w:t>
      </w:r>
    </w:p>
    <w:p w14:paraId="52102140" w14:textId="77777777" w:rsidR="00E96623" w:rsidRDefault="00000000">
      <w:pPr>
        <w:pStyle w:val="Heading1"/>
      </w:pPr>
      <w:r>
        <w:rPr>
          <w:rFonts w:ascii="Cambria" w:hAnsi="Cambria"/>
        </w:rPr>
        <w:t>Executive Summary</w:t>
      </w:r>
    </w:p>
    <w:p w14:paraId="4FD870C9" w14:textId="77777777" w:rsidR="00E96623" w:rsidRDefault="00000000">
      <w:pPr>
        <w:pStyle w:val="BodyText"/>
      </w:pPr>
      <w:r>
        <w:t>The completed analysis produces a clear trade-off rather than a single universally superior portfolio. The 60/40 benchmark was the strongest compounding portfolio, while the constrained mean-variance and minimum-CVaR portfolios were substantially more defensive. The regime-sensitive overlay reduced losses but surrendered too much growth and did not improve risk-adjusted performance.</w:t>
      </w:r>
    </w:p>
    <w:p w14:paraId="3D6BB55F" w14:textId="77777777" w:rsidR="00E96623" w:rsidRDefault="00000000">
      <w:pPr>
        <w:pStyle w:val="ListBullet"/>
      </w:pPr>
      <w:r>
        <w:t>Growth result: the traditional 60/40 portfolio earned a 9.56 percent nominal CAGR and a 6.70 percent real CAGR, the highest among the six portfolios.</w:t>
      </w:r>
    </w:p>
    <w:p w14:paraId="6819DBFF" w14:textId="77777777" w:rsidR="00E96623" w:rsidRDefault="00000000">
      <w:pPr>
        <w:pStyle w:val="ListBullet"/>
      </w:pPr>
      <w:r>
        <w:t>Downside result: mean-variance reduced maximum drawdown to 12.16 percent and achieved the strongest Sharpe and Sortino ratios; minimum CVaR delivered the lowest 95 percent CVaR at 2.27 percent.</w:t>
      </w:r>
    </w:p>
    <w:p w14:paraId="4319A159" w14:textId="77777777" w:rsidR="00E96623" w:rsidRDefault="00000000">
      <w:pPr>
        <w:pStyle w:val="ListBullet"/>
      </w:pPr>
      <w:r>
        <w:t>Regime result: the regime-sensitive allocation reduced maximum drawdown to 17.44 percent from 20.56 percent, but its real CAGR lagged the benchmark by 2.69 percentage points and its annual turnover reached 43.02 percent.</w:t>
      </w:r>
    </w:p>
    <w:p w14:paraId="494FB9C2" w14:textId="77777777" w:rsidR="00E96623" w:rsidRDefault="00000000">
      <w:pPr>
        <w:pStyle w:val="ListBullet"/>
      </w:pPr>
      <w:r>
        <w:t>Robustness result: transaction costs of 0 to 25 basis points did not change the main ranking, and mean-variance downside protection remained broadly stable across lookback, rebalancing, and weight-cap variants.</w:t>
      </w:r>
    </w:p>
    <w:tbl>
      <w:tblPr>
        <w:tblW w:w="0" w:type="auto"/>
        <w:jc w:val="center"/>
        <w:tblLayout w:type="fixed"/>
        <w:tblLook w:val="04A0" w:firstRow="1" w:lastRow="0" w:firstColumn="1" w:lastColumn="0" w:noHBand="0" w:noVBand="1"/>
      </w:tblPr>
      <w:tblGrid>
        <w:gridCol w:w="9994"/>
      </w:tblGrid>
      <w:tr w:rsidR="00E96623" w14:paraId="26467E0E" w14:textId="77777777">
        <w:trPr>
          <w:jc w:val="center"/>
        </w:trPr>
        <w:tc>
          <w:tcPr>
            <w:tcW w:w="9994" w:type="dxa"/>
            <w:tcBorders>
              <w:top w:val="single" w:sz="8" w:space="0" w:color="B08D2F"/>
              <w:left w:val="single" w:sz="14" w:space="0" w:color="B08D2F"/>
              <w:bottom w:val="single" w:sz="8" w:space="0" w:color="B08D2F"/>
              <w:right w:val="single" w:sz="8" w:space="0" w:color="B08D2F"/>
            </w:tcBorders>
            <w:shd w:val="clear" w:color="auto" w:fill="EAF0F7"/>
            <w:tcMar>
              <w:top w:w="160" w:type="dxa"/>
              <w:left w:w="180" w:type="dxa"/>
              <w:bottom w:w="160" w:type="dxa"/>
              <w:right w:w="180" w:type="dxa"/>
            </w:tcMar>
            <w:vAlign w:val="center"/>
          </w:tcPr>
          <w:p w14:paraId="12962CEF" w14:textId="77777777" w:rsidR="00E96623" w:rsidRDefault="00000000">
            <w:r>
              <w:rPr>
                <w:sz w:val="18"/>
              </w:rPr>
              <w:t>Empirical conclusion</w:t>
            </w:r>
            <w:r>
              <w:rPr>
                <w:sz w:val="18"/>
              </w:rPr>
              <w:br/>
              <w:t>From 2013 through 2025, the traditional 60/40 portfolio produced the strongest nominal and real growth. Mean-variance and minimum-CVaR portfolios materially reduced volatility, drawdowns, and tail losses, but at the cost of lower long-run returns. The precommitted regime-sensitive strategy improved downside protection but did not justify its complexity under the paper's success standard.</w:t>
            </w:r>
          </w:p>
        </w:tc>
      </w:tr>
    </w:tbl>
    <w:p w14:paraId="795E9F85" w14:textId="77777777" w:rsidR="00E96623" w:rsidRDefault="00E96623">
      <w:pPr>
        <w:spacing w:after="0"/>
      </w:pPr>
    </w:p>
    <w:p w14:paraId="3E1AB99D" w14:textId="77777777" w:rsidR="00E96623" w:rsidRDefault="00000000">
      <w:pPr>
        <w:pStyle w:val="Heading1"/>
      </w:pPr>
      <w:r>
        <w:rPr>
          <w:rFonts w:ascii="Cambria" w:hAnsi="Cambria"/>
        </w:rPr>
        <w:t>Contents</w:t>
      </w:r>
    </w:p>
    <w:tbl>
      <w:tblPr>
        <w:tblW w:w="0" w:type="auto"/>
        <w:tblLayout w:type="fixed"/>
        <w:tblLook w:val="04A0" w:firstRow="1" w:lastRow="0" w:firstColumn="1" w:lastColumn="0" w:noHBand="0" w:noVBand="1"/>
      </w:tblPr>
      <w:tblGrid>
        <w:gridCol w:w="4997"/>
        <w:gridCol w:w="4997"/>
      </w:tblGrid>
      <w:tr w:rsidR="00E96623" w14:paraId="4679DAFD" w14:textId="77777777">
        <w:tc>
          <w:tcPr>
            <w:tcW w:w="4997" w:type="dxa"/>
            <w:tcBorders>
              <w:top w:val="nil"/>
              <w:left w:val="nil"/>
              <w:bottom w:val="nil"/>
              <w:right w:val="nil"/>
            </w:tcBorders>
            <w:tcMar>
              <w:top w:w="20" w:type="dxa"/>
              <w:left w:w="60" w:type="dxa"/>
              <w:bottom w:w="20" w:type="dxa"/>
              <w:right w:w="60" w:type="dxa"/>
            </w:tcMar>
          </w:tcPr>
          <w:p w14:paraId="224F7F19" w14:textId="77777777" w:rsidR="00E96623" w:rsidRDefault="00000000">
            <w:pPr>
              <w:spacing w:after="0"/>
            </w:pPr>
            <w:r>
              <w:rPr>
                <w:sz w:val="17"/>
              </w:rPr>
              <w:t>1. Introduction</w:t>
            </w:r>
          </w:p>
        </w:tc>
        <w:tc>
          <w:tcPr>
            <w:tcW w:w="4997" w:type="dxa"/>
            <w:tcBorders>
              <w:top w:val="nil"/>
              <w:left w:val="nil"/>
              <w:bottom w:val="nil"/>
              <w:right w:val="nil"/>
            </w:tcBorders>
            <w:tcMar>
              <w:top w:w="20" w:type="dxa"/>
              <w:left w:w="60" w:type="dxa"/>
              <w:bottom w:w="20" w:type="dxa"/>
              <w:right w:w="60" w:type="dxa"/>
            </w:tcMar>
          </w:tcPr>
          <w:p w14:paraId="5ECBAB5C" w14:textId="4D5E07C8" w:rsidR="00E96623" w:rsidRDefault="00000000">
            <w:pPr>
              <w:spacing w:after="0"/>
            </w:pPr>
            <w:r>
              <w:rPr>
                <w:sz w:val="17"/>
              </w:rPr>
              <w:t>7. Discussion</w:t>
            </w:r>
          </w:p>
        </w:tc>
      </w:tr>
      <w:tr w:rsidR="00E96623" w14:paraId="57EAC1D2" w14:textId="77777777">
        <w:tc>
          <w:tcPr>
            <w:tcW w:w="4997" w:type="dxa"/>
            <w:tcBorders>
              <w:top w:val="nil"/>
              <w:left w:val="nil"/>
              <w:bottom w:val="nil"/>
              <w:right w:val="nil"/>
            </w:tcBorders>
            <w:tcMar>
              <w:top w:w="20" w:type="dxa"/>
              <w:left w:w="60" w:type="dxa"/>
              <w:bottom w:w="20" w:type="dxa"/>
              <w:right w:w="60" w:type="dxa"/>
            </w:tcMar>
          </w:tcPr>
          <w:p w14:paraId="4BD2EB55" w14:textId="77777777" w:rsidR="00E96623" w:rsidRDefault="00000000">
            <w:pPr>
              <w:spacing w:after="0"/>
            </w:pPr>
            <w:r>
              <w:rPr>
                <w:sz w:val="17"/>
              </w:rPr>
              <w:t>2. Literature Review</w:t>
            </w:r>
          </w:p>
        </w:tc>
        <w:tc>
          <w:tcPr>
            <w:tcW w:w="4997" w:type="dxa"/>
            <w:tcBorders>
              <w:top w:val="nil"/>
              <w:left w:val="nil"/>
              <w:bottom w:val="nil"/>
              <w:right w:val="nil"/>
            </w:tcBorders>
            <w:tcMar>
              <w:top w:w="20" w:type="dxa"/>
              <w:left w:w="60" w:type="dxa"/>
              <w:bottom w:w="20" w:type="dxa"/>
              <w:right w:w="60" w:type="dxa"/>
            </w:tcMar>
          </w:tcPr>
          <w:p w14:paraId="759B0A65" w14:textId="77777777" w:rsidR="00E96623" w:rsidRDefault="00000000">
            <w:pPr>
              <w:spacing w:after="0"/>
            </w:pPr>
            <w:r>
              <w:rPr>
                <w:sz w:val="17"/>
              </w:rPr>
              <w:t>8. Private Wealth Management Implications</w:t>
            </w:r>
          </w:p>
        </w:tc>
      </w:tr>
      <w:tr w:rsidR="00E96623" w14:paraId="51A8F78A" w14:textId="77777777">
        <w:tc>
          <w:tcPr>
            <w:tcW w:w="4997" w:type="dxa"/>
            <w:tcBorders>
              <w:top w:val="nil"/>
              <w:left w:val="nil"/>
              <w:bottom w:val="nil"/>
              <w:right w:val="nil"/>
            </w:tcBorders>
            <w:tcMar>
              <w:top w:w="20" w:type="dxa"/>
              <w:left w:w="60" w:type="dxa"/>
              <w:bottom w:w="20" w:type="dxa"/>
              <w:right w:w="60" w:type="dxa"/>
            </w:tcMar>
          </w:tcPr>
          <w:p w14:paraId="641A7C50" w14:textId="77777777" w:rsidR="00E96623" w:rsidRDefault="00000000">
            <w:pPr>
              <w:spacing w:after="0"/>
            </w:pPr>
            <w:r>
              <w:rPr>
                <w:sz w:val="17"/>
              </w:rPr>
              <w:t>3. Client Profile and Investment Policy</w:t>
            </w:r>
          </w:p>
        </w:tc>
        <w:tc>
          <w:tcPr>
            <w:tcW w:w="4997" w:type="dxa"/>
            <w:tcBorders>
              <w:top w:val="nil"/>
              <w:left w:val="nil"/>
              <w:bottom w:val="nil"/>
              <w:right w:val="nil"/>
            </w:tcBorders>
            <w:tcMar>
              <w:top w:w="20" w:type="dxa"/>
              <w:left w:w="60" w:type="dxa"/>
              <w:bottom w:w="20" w:type="dxa"/>
              <w:right w:w="60" w:type="dxa"/>
            </w:tcMar>
          </w:tcPr>
          <w:p w14:paraId="671FFFE6" w14:textId="77777777" w:rsidR="00E96623" w:rsidRDefault="00000000">
            <w:pPr>
              <w:spacing w:after="0"/>
            </w:pPr>
            <w:r>
              <w:rPr>
                <w:sz w:val="17"/>
              </w:rPr>
              <w:t>9. Limitations</w:t>
            </w:r>
          </w:p>
        </w:tc>
      </w:tr>
      <w:tr w:rsidR="00E96623" w14:paraId="232D1217" w14:textId="77777777">
        <w:tc>
          <w:tcPr>
            <w:tcW w:w="4997" w:type="dxa"/>
            <w:tcBorders>
              <w:top w:val="nil"/>
              <w:left w:val="nil"/>
              <w:bottom w:val="nil"/>
              <w:right w:val="nil"/>
            </w:tcBorders>
            <w:tcMar>
              <w:top w:w="20" w:type="dxa"/>
              <w:left w:w="60" w:type="dxa"/>
              <w:bottom w:w="20" w:type="dxa"/>
              <w:right w:w="60" w:type="dxa"/>
            </w:tcMar>
          </w:tcPr>
          <w:p w14:paraId="5A2D52EE" w14:textId="77777777" w:rsidR="00E96623" w:rsidRDefault="00000000">
            <w:pPr>
              <w:spacing w:after="0"/>
            </w:pPr>
            <w:r>
              <w:rPr>
                <w:sz w:val="17"/>
              </w:rPr>
              <w:t>4. Data and Asset-Class Proxies</w:t>
            </w:r>
          </w:p>
        </w:tc>
        <w:tc>
          <w:tcPr>
            <w:tcW w:w="4997" w:type="dxa"/>
            <w:tcBorders>
              <w:top w:val="nil"/>
              <w:left w:val="nil"/>
              <w:bottom w:val="nil"/>
              <w:right w:val="nil"/>
            </w:tcBorders>
            <w:tcMar>
              <w:top w:w="20" w:type="dxa"/>
              <w:left w:w="60" w:type="dxa"/>
              <w:bottom w:w="20" w:type="dxa"/>
              <w:right w:w="60" w:type="dxa"/>
            </w:tcMar>
          </w:tcPr>
          <w:p w14:paraId="17D36096" w14:textId="77777777" w:rsidR="00E96623" w:rsidRDefault="00000000">
            <w:pPr>
              <w:spacing w:after="0"/>
            </w:pPr>
            <w:r>
              <w:rPr>
                <w:sz w:val="17"/>
              </w:rPr>
              <w:t>10. Conclusion</w:t>
            </w:r>
          </w:p>
        </w:tc>
      </w:tr>
      <w:tr w:rsidR="00E96623" w14:paraId="11C57C99" w14:textId="77777777">
        <w:tc>
          <w:tcPr>
            <w:tcW w:w="4997" w:type="dxa"/>
            <w:tcBorders>
              <w:top w:val="nil"/>
              <w:left w:val="nil"/>
              <w:bottom w:val="nil"/>
              <w:right w:val="nil"/>
            </w:tcBorders>
            <w:tcMar>
              <w:top w:w="20" w:type="dxa"/>
              <w:left w:w="60" w:type="dxa"/>
              <w:bottom w:w="20" w:type="dxa"/>
              <w:right w:w="60" w:type="dxa"/>
            </w:tcMar>
          </w:tcPr>
          <w:p w14:paraId="131BCDA8" w14:textId="77777777" w:rsidR="00E96623" w:rsidRDefault="00000000">
            <w:pPr>
              <w:spacing w:after="0"/>
            </w:pPr>
            <w:r>
              <w:rPr>
                <w:sz w:val="17"/>
              </w:rPr>
              <w:t>5. Methodology</w:t>
            </w:r>
          </w:p>
        </w:tc>
        <w:tc>
          <w:tcPr>
            <w:tcW w:w="4997" w:type="dxa"/>
            <w:tcBorders>
              <w:top w:val="nil"/>
              <w:left w:val="nil"/>
              <w:bottom w:val="nil"/>
              <w:right w:val="nil"/>
            </w:tcBorders>
            <w:tcMar>
              <w:top w:w="20" w:type="dxa"/>
              <w:left w:w="60" w:type="dxa"/>
              <w:bottom w:w="20" w:type="dxa"/>
              <w:right w:w="60" w:type="dxa"/>
            </w:tcMar>
          </w:tcPr>
          <w:p w14:paraId="2CAD5C95" w14:textId="77777777" w:rsidR="00E96623" w:rsidRDefault="00000000">
            <w:pPr>
              <w:spacing w:after="0"/>
            </w:pPr>
            <w:r>
              <w:rPr>
                <w:sz w:val="17"/>
              </w:rPr>
              <w:t>References</w:t>
            </w:r>
          </w:p>
        </w:tc>
      </w:tr>
      <w:tr w:rsidR="00E96623" w14:paraId="09E02DF7" w14:textId="77777777">
        <w:tc>
          <w:tcPr>
            <w:tcW w:w="4997" w:type="dxa"/>
            <w:tcBorders>
              <w:top w:val="nil"/>
              <w:left w:val="nil"/>
              <w:bottom w:val="nil"/>
              <w:right w:val="nil"/>
            </w:tcBorders>
            <w:tcMar>
              <w:top w:w="20" w:type="dxa"/>
              <w:left w:w="60" w:type="dxa"/>
              <w:bottom w:w="20" w:type="dxa"/>
              <w:right w:w="60" w:type="dxa"/>
            </w:tcMar>
          </w:tcPr>
          <w:p w14:paraId="6049C376" w14:textId="0F95AA70" w:rsidR="00E96623" w:rsidRDefault="00000000">
            <w:pPr>
              <w:spacing w:after="0"/>
            </w:pPr>
            <w:r>
              <w:rPr>
                <w:sz w:val="17"/>
              </w:rPr>
              <w:t>6. Empirical Results</w:t>
            </w:r>
          </w:p>
        </w:tc>
        <w:tc>
          <w:tcPr>
            <w:tcW w:w="4997" w:type="dxa"/>
            <w:tcBorders>
              <w:top w:val="nil"/>
              <w:left w:val="nil"/>
              <w:bottom w:val="nil"/>
              <w:right w:val="nil"/>
            </w:tcBorders>
            <w:tcMar>
              <w:top w:w="20" w:type="dxa"/>
              <w:left w:w="60" w:type="dxa"/>
              <w:bottom w:w="20" w:type="dxa"/>
              <w:right w:w="60" w:type="dxa"/>
            </w:tcMar>
          </w:tcPr>
          <w:p w14:paraId="08DC6375" w14:textId="77777777" w:rsidR="00E96623" w:rsidRDefault="00000000">
            <w:pPr>
              <w:spacing w:after="0"/>
            </w:pPr>
            <w:r>
              <w:rPr>
                <w:sz w:val="17"/>
              </w:rPr>
              <w:t>Appendices</w:t>
            </w:r>
          </w:p>
        </w:tc>
      </w:tr>
    </w:tbl>
    <w:p w14:paraId="78500184" w14:textId="77777777" w:rsidR="00E96623" w:rsidRDefault="00000000">
      <w:r>
        <w:br w:type="page"/>
      </w:r>
    </w:p>
    <w:p w14:paraId="30572C46" w14:textId="77777777" w:rsidR="00E96623" w:rsidRDefault="00000000">
      <w:pPr>
        <w:pStyle w:val="Heading1"/>
      </w:pPr>
      <w:r>
        <w:rPr>
          <w:rFonts w:ascii="Cambria" w:hAnsi="Cambria"/>
        </w:rPr>
        <w:lastRenderedPageBreak/>
        <w:t>1. Introduction</w:t>
      </w:r>
    </w:p>
    <w:p w14:paraId="1B4A5512" w14:textId="77777777" w:rsidR="00E96623" w:rsidRDefault="00000000">
      <w:pPr>
        <w:pStyle w:val="BodyText"/>
        <w:ind w:firstLine="360"/>
      </w:pPr>
      <w:r>
        <w:t>Asset allocation is the central portfolio decision in private wealth management because it determines how a client is exposed to economic growth, inflation, interest rates, credit conditions, liquidity risk, and market drawdowns. Security selection can matter, but a portfolio constructed without an explicit allocation framework can produce unintended concentrations even when it contains many individual holdings. The practical challenge is therefore not to identify a single “best” asset. It is to combine assets whose return drivers differ enough to support the client’s long-term objective under several economic environments.</w:t>
      </w:r>
    </w:p>
    <w:p w14:paraId="0DAE4CA3" w14:textId="77777777" w:rsidR="00E96623" w:rsidRDefault="00000000">
      <w:pPr>
        <w:pStyle w:val="BodyText"/>
        <w:ind w:firstLine="360"/>
      </w:pPr>
      <w:r>
        <w:t>The 60/40 portfolio—typically interpreted as 60 percent equities and 40 percent high-quality bonds—is widely used as a strategic reference point. Its appeal is understandable. Equities supply long-term growth potential, while bonds can provide income, liquidity, and protection in disinflationary recessions. The allocation is also transparent and inexpensive to implement. Yet the approach depends heavily on the interaction between stock and bond returns. When inflation is stable or declining, weak growth may lead to falling yields and positive bond returns, offsetting equity losses. When inflation is elevated and monetary policy tightens, however, rising discount rates can pressure both equities and nominal bonds. Under that regime, the same portfolio can become less diversified precisely when protection is most valuable.</w:t>
      </w:r>
    </w:p>
    <w:p w14:paraId="72BECC6C" w14:textId="77777777" w:rsidR="00E96623" w:rsidRDefault="00000000">
      <w:pPr>
        <w:pStyle w:val="BodyText"/>
        <w:ind w:firstLine="360"/>
      </w:pPr>
      <w:r>
        <w:t>This study tests whether a broader, regime-aware allocation offered a better balance between growth and preservation for a hypothetical high-net-worth investor. The analysis compares six portfolios under common data, timing, rebalancing, and transaction-cost assumptions. The empirical design emphasizes what a client could have earned using information available at each decision date rather than what an optimizer could fit with hindsight.</w:t>
      </w:r>
    </w:p>
    <w:p w14:paraId="1CB548D1" w14:textId="77777777" w:rsidR="00E96623" w:rsidRDefault="00000000">
      <w:pPr>
        <w:pStyle w:val="Heading2"/>
      </w:pPr>
      <w:r>
        <w:rPr>
          <w:rFonts w:ascii="Cambria" w:hAnsi="Cambria"/>
        </w:rPr>
        <w:t>1.1 Research Question</w:t>
      </w:r>
    </w:p>
    <w:p w14:paraId="71B73DE2" w14:textId="77777777" w:rsidR="00E96623" w:rsidRDefault="00000000">
      <w:pPr>
        <w:pStyle w:val="BodyText"/>
      </w:pPr>
      <w:r>
        <w:t>The primary research question is:</w:t>
      </w:r>
    </w:p>
    <w:tbl>
      <w:tblPr>
        <w:tblW w:w="0" w:type="auto"/>
        <w:jc w:val="center"/>
        <w:tblLayout w:type="fixed"/>
        <w:tblLook w:val="04A0" w:firstRow="1" w:lastRow="0" w:firstColumn="1" w:lastColumn="0" w:noHBand="0" w:noVBand="1"/>
      </w:tblPr>
      <w:tblGrid>
        <w:gridCol w:w="9994"/>
      </w:tblGrid>
      <w:tr w:rsidR="00E96623" w14:paraId="3FB942F6" w14:textId="77777777">
        <w:trPr>
          <w:jc w:val="center"/>
        </w:trPr>
        <w:tc>
          <w:tcPr>
            <w:tcW w:w="9994" w:type="dxa"/>
            <w:tcBorders>
              <w:top w:val="single" w:sz="8" w:space="0" w:color="B08D2F"/>
              <w:left w:val="single" w:sz="14" w:space="0" w:color="B08D2F"/>
              <w:bottom w:val="single" w:sz="8" w:space="0" w:color="B08D2F"/>
              <w:right w:val="single" w:sz="8" w:space="0" w:color="B08D2F"/>
            </w:tcBorders>
            <w:shd w:val="clear" w:color="auto" w:fill="F4EBCB"/>
            <w:tcMar>
              <w:top w:w="160" w:type="dxa"/>
              <w:left w:w="180" w:type="dxa"/>
              <w:bottom w:w="160" w:type="dxa"/>
              <w:right w:w="180" w:type="dxa"/>
            </w:tcMar>
          </w:tcPr>
          <w:p w14:paraId="1DCDFDA4" w14:textId="77777777" w:rsidR="00E96623" w:rsidRDefault="00000000">
            <w:pPr>
              <w:spacing w:after="60"/>
            </w:pPr>
            <w:r>
              <w:rPr>
                <w:b/>
                <w:color w:val="0B1F3A"/>
              </w:rPr>
              <w:t>Primary question</w:t>
            </w:r>
          </w:p>
          <w:p w14:paraId="02883DD8" w14:textId="77777777" w:rsidR="00E96623" w:rsidRDefault="00000000">
            <w:pPr>
              <w:spacing w:after="0"/>
            </w:pPr>
            <w:r>
              <w:rPr>
                <w:sz w:val="19"/>
              </w:rPr>
              <w:t>Can a transparent, long-only, regime-sensitive multi-asset portfolio improve downside protection and risk-adjusted performance, after reasonable transaction costs, relative to a traditional 60/40 portfolio for a hypothetical high-net-worth investor?</w:t>
            </w:r>
          </w:p>
        </w:tc>
      </w:tr>
    </w:tbl>
    <w:p w14:paraId="414AB9C0" w14:textId="77777777" w:rsidR="00E96623" w:rsidRDefault="00E96623">
      <w:pPr>
        <w:spacing w:after="0"/>
      </w:pPr>
    </w:p>
    <w:p w14:paraId="6AC4D82F" w14:textId="77777777" w:rsidR="00E96623" w:rsidRDefault="00000000">
      <w:pPr>
        <w:pStyle w:val="BodyText"/>
      </w:pPr>
      <w:r>
        <w:t>The question has three components. First, does expanding beyond U.S. stocks and core bonds improve diversification? Second, do downside-focused construction methods such as equal-risk contribution and conditional value-at-risk minimization produce more stable risk than mean-variance optimization? Third, does a simple macroeconomic overlay add value after accounting for the turnover and model risk created by changing allocations?</w:t>
      </w:r>
    </w:p>
    <w:p w14:paraId="1CA67052" w14:textId="77777777" w:rsidR="00E96623" w:rsidRDefault="00000000">
      <w:pPr>
        <w:pStyle w:val="Heading2"/>
      </w:pPr>
      <w:r>
        <w:rPr>
          <w:rFonts w:ascii="Cambria" w:hAnsi="Cambria"/>
        </w:rPr>
        <w:t>1.2 Contribution</w:t>
      </w:r>
    </w:p>
    <w:p w14:paraId="382FCD56" w14:textId="77777777" w:rsidR="00E96623" w:rsidRDefault="00000000">
      <w:pPr>
        <w:pStyle w:val="BodyText"/>
        <w:ind w:firstLine="360"/>
      </w:pPr>
      <w:r>
        <w:t>The contribution is practical. The study connects portfolio theory to a private-bank decision process by beginning with a client profile, defining measurable objectives, and comparing simple and complex solutions on growth, real return, tail loss, drawdown, recovery, and turnover.</w:t>
      </w:r>
    </w:p>
    <w:p w14:paraId="1CE52407" w14:textId="77777777" w:rsidR="00E96623" w:rsidRDefault="00000000">
      <w:pPr>
        <w:pStyle w:val="BodyText"/>
        <w:ind w:firstLine="360"/>
      </w:pPr>
      <w:r>
        <w:t>A second contribution is the research protocol. Portfolio weights are estimated from rolling historical windows, macroeconomic signals are lagged, and all performance from 2013 onward is out of sample. The paper reports weak outcomes rather than redefining success after observing the data.</w:t>
      </w:r>
    </w:p>
    <w:p w14:paraId="0A169D03" w14:textId="77777777" w:rsidR="00B55BD3" w:rsidRDefault="00B55BD3">
      <w:pPr>
        <w:pStyle w:val="BodyText"/>
        <w:ind w:firstLine="360"/>
      </w:pPr>
    </w:p>
    <w:p w14:paraId="1DA3D478" w14:textId="77777777" w:rsidR="00E96623" w:rsidRDefault="00000000">
      <w:pPr>
        <w:pStyle w:val="Heading2"/>
      </w:pPr>
      <w:r>
        <w:rPr>
          <w:rFonts w:ascii="Cambria" w:hAnsi="Cambria"/>
        </w:rPr>
        <w:lastRenderedPageBreak/>
        <w:t>1.3 Testable Hypotheses</w:t>
      </w:r>
    </w:p>
    <w:p w14:paraId="311AD4B7" w14:textId="77777777" w:rsidR="00E96623" w:rsidRDefault="00000000">
      <w:pPr>
        <w:keepNext/>
      </w:pPr>
      <w:r>
        <w:rPr>
          <w:b/>
          <w:color w:val="0B1F3A"/>
          <w:sz w:val="19"/>
        </w:rPr>
        <w:t>Table 1. Research hypotheses</w:t>
      </w:r>
    </w:p>
    <w:tbl>
      <w:tblPr>
        <w:tblW w:w="0" w:type="auto"/>
        <w:jc w:val="center"/>
        <w:tblLook w:val="04A0" w:firstRow="1" w:lastRow="0" w:firstColumn="1" w:lastColumn="0" w:noHBand="0" w:noVBand="1"/>
      </w:tblPr>
      <w:tblGrid>
        <w:gridCol w:w="932"/>
        <w:gridCol w:w="4042"/>
        <w:gridCol w:w="2381"/>
        <w:gridCol w:w="2799"/>
      </w:tblGrid>
      <w:tr w:rsidR="00E96623" w14:paraId="0EBC0151" w14:textId="77777777">
        <w:trPr>
          <w:tblHeader/>
          <w:jc w:val="center"/>
        </w:trPr>
        <w:tc>
          <w:tcPr>
            <w:tcW w:w="720" w:type="dxa"/>
            <w:shd w:val="clear" w:color="auto" w:fill="0B1F3A"/>
            <w:tcMar>
              <w:top w:w="80" w:type="dxa"/>
              <w:left w:w="80" w:type="dxa"/>
              <w:bottom w:w="80" w:type="dxa"/>
              <w:right w:w="80" w:type="dxa"/>
            </w:tcMar>
            <w:vAlign w:val="center"/>
          </w:tcPr>
          <w:p w14:paraId="6D5F3124" w14:textId="77777777" w:rsidR="00E96623" w:rsidRDefault="00000000">
            <w:r>
              <w:rPr>
                <w:b/>
                <w:color w:val="FFFFFF"/>
                <w:sz w:val="15"/>
              </w:rPr>
              <w:t>Hypothesis</w:t>
            </w:r>
          </w:p>
        </w:tc>
        <w:tc>
          <w:tcPr>
            <w:tcW w:w="4176" w:type="dxa"/>
            <w:shd w:val="clear" w:color="auto" w:fill="0B1F3A"/>
            <w:tcMar>
              <w:top w:w="80" w:type="dxa"/>
              <w:left w:w="80" w:type="dxa"/>
              <w:bottom w:w="80" w:type="dxa"/>
              <w:right w:w="80" w:type="dxa"/>
            </w:tcMar>
            <w:vAlign w:val="center"/>
          </w:tcPr>
          <w:p w14:paraId="77ED28E9" w14:textId="77777777" w:rsidR="00E96623" w:rsidRDefault="00000000">
            <w:r>
              <w:rPr>
                <w:b/>
                <w:color w:val="FFFFFF"/>
                <w:sz w:val="15"/>
              </w:rPr>
              <w:t>Testable statement</w:t>
            </w:r>
          </w:p>
        </w:tc>
        <w:tc>
          <w:tcPr>
            <w:tcW w:w="2448" w:type="dxa"/>
            <w:shd w:val="clear" w:color="auto" w:fill="0B1F3A"/>
            <w:tcMar>
              <w:top w:w="80" w:type="dxa"/>
              <w:left w:w="80" w:type="dxa"/>
              <w:bottom w:w="80" w:type="dxa"/>
              <w:right w:w="80" w:type="dxa"/>
            </w:tcMar>
            <w:vAlign w:val="center"/>
          </w:tcPr>
          <w:p w14:paraId="60477624" w14:textId="77777777" w:rsidR="00E96623" w:rsidRDefault="00000000">
            <w:r>
              <w:rPr>
                <w:b/>
                <w:color w:val="FFFFFF"/>
                <w:sz w:val="15"/>
              </w:rPr>
              <w:t>Primary evidence</w:t>
            </w:r>
          </w:p>
        </w:tc>
        <w:tc>
          <w:tcPr>
            <w:tcW w:w="2880" w:type="dxa"/>
            <w:shd w:val="clear" w:color="auto" w:fill="0B1F3A"/>
            <w:tcMar>
              <w:top w:w="80" w:type="dxa"/>
              <w:left w:w="80" w:type="dxa"/>
              <w:bottom w:w="80" w:type="dxa"/>
              <w:right w:w="80" w:type="dxa"/>
            </w:tcMar>
            <w:vAlign w:val="center"/>
          </w:tcPr>
          <w:p w14:paraId="308C3AE4" w14:textId="77777777" w:rsidR="00E96623" w:rsidRDefault="00000000">
            <w:r>
              <w:rPr>
                <w:b/>
                <w:color w:val="FFFFFF"/>
                <w:sz w:val="15"/>
              </w:rPr>
              <w:t>Outcome</w:t>
            </w:r>
          </w:p>
        </w:tc>
      </w:tr>
      <w:tr w:rsidR="00E96623" w14:paraId="5B8408FA" w14:textId="77777777">
        <w:trPr>
          <w:jc w:val="center"/>
        </w:trPr>
        <w:tc>
          <w:tcPr>
            <w:tcW w:w="720" w:type="dxa"/>
            <w:shd w:val="clear" w:color="auto" w:fill="FFFFFF"/>
            <w:tcMar>
              <w:top w:w="80" w:type="dxa"/>
              <w:left w:w="80" w:type="dxa"/>
              <w:bottom w:w="80" w:type="dxa"/>
              <w:right w:w="80" w:type="dxa"/>
            </w:tcMar>
            <w:vAlign w:val="center"/>
          </w:tcPr>
          <w:p w14:paraId="5D8B34A6" w14:textId="77777777" w:rsidR="00E96623" w:rsidRDefault="00000000">
            <w:r>
              <w:rPr>
                <w:b/>
                <w:sz w:val="15"/>
              </w:rPr>
              <w:t>H1</w:t>
            </w:r>
          </w:p>
        </w:tc>
        <w:tc>
          <w:tcPr>
            <w:tcW w:w="4176" w:type="dxa"/>
            <w:shd w:val="clear" w:color="auto" w:fill="FFFFFF"/>
            <w:tcMar>
              <w:top w:w="80" w:type="dxa"/>
              <w:left w:w="80" w:type="dxa"/>
              <w:bottom w:w="80" w:type="dxa"/>
              <w:right w:w="80" w:type="dxa"/>
            </w:tcMar>
            <w:vAlign w:val="center"/>
          </w:tcPr>
          <w:p w14:paraId="406FB54C" w14:textId="77777777" w:rsidR="00E96623" w:rsidRDefault="00000000">
            <w:r>
              <w:rPr>
                <w:sz w:val="15"/>
              </w:rPr>
              <w:t>A diversified multi-asset portfolio produces a smaller maximum drawdown than 60/40.</w:t>
            </w:r>
          </w:p>
        </w:tc>
        <w:tc>
          <w:tcPr>
            <w:tcW w:w="2448" w:type="dxa"/>
            <w:shd w:val="clear" w:color="auto" w:fill="FFFFFF"/>
            <w:tcMar>
              <w:top w:w="80" w:type="dxa"/>
              <w:left w:w="80" w:type="dxa"/>
              <w:bottom w:w="80" w:type="dxa"/>
              <w:right w:w="80" w:type="dxa"/>
            </w:tcMar>
            <w:vAlign w:val="center"/>
          </w:tcPr>
          <w:p w14:paraId="188AFB27" w14:textId="77777777" w:rsidR="00E96623" w:rsidRDefault="00000000">
            <w:r>
              <w:rPr>
                <w:sz w:val="15"/>
              </w:rPr>
              <w:t>Maximum drawdown and recovery</w:t>
            </w:r>
          </w:p>
        </w:tc>
        <w:tc>
          <w:tcPr>
            <w:tcW w:w="2880" w:type="dxa"/>
            <w:shd w:val="clear" w:color="auto" w:fill="FFFFFF"/>
            <w:tcMar>
              <w:top w:w="80" w:type="dxa"/>
              <w:left w:w="80" w:type="dxa"/>
              <w:bottom w:w="80" w:type="dxa"/>
              <w:right w:w="80" w:type="dxa"/>
            </w:tcMar>
            <w:vAlign w:val="center"/>
          </w:tcPr>
          <w:p w14:paraId="26D1D924" w14:textId="77777777" w:rsidR="00E96623" w:rsidRDefault="00000000">
            <w:r>
              <w:rPr>
                <w:sz w:val="15"/>
              </w:rPr>
              <w:t>Not supported: strategic diversified drawdown was slightly worse.</w:t>
            </w:r>
          </w:p>
        </w:tc>
      </w:tr>
      <w:tr w:rsidR="00E96623" w14:paraId="6DF13B1C" w14:textId="77777777">
        <w:trPr>
          <w:jc w:val="center"/>
        </w:trPr>
        <w:tc>
          <w:tcPr>
            <w:tcW w:w="720" w:type="dxa"/>
            <w:shd w:val="clear" w:color="auto" w:fill="F2F4F7"/>
            <w:tcMar>
              <w:top w:w="80" w:type="dxa"/>
              <w:left w:w="80" w:type="dxa"/>
              <w:bottom w:w="80" w:type="dxa"/>
              <w:right w:w="80" w:type="dxa"/>
            </w:tcMar>
            <w:vAlign w:val="center"/>
          </w:tcPr>
          <w:p w14:paraId="735942EC" w14:textId="77777777" w:rsidR="00E96623" w:rsidRDefault="00000000">
            <w:r>
              <w:rPr>
                <w:b/>
                <w:sz w:val="15"/>
              </w:rPr>
              <w:t>H2</w:t>
            </w:r>
          </w:p>
        </w:tc>
        <w:tc>
          <w:tcPr>
            <w:tcW w:w="4176" w:type="dxa"/>
            <w:shd w:val="clear" w:color="auto" w:fill="F2F4F7"/>
            <w:tcMar>
              <w:top w:w="80" w:type="dxa"/>
              <w:left w:w="80" w:type="dxa"/>
              <w:bottom w:w="80" w:type="dxa"/>
              <w:right w:w="80" w:type="dxa"/>
            </w:tcMar>
            <w:vAlign w:val="center"/>
          </w:tcPr>
          <w:p w14:paraId="42694B59" w14:textId="77777777" w:rsidR="00E96623" w:rsidRDefault="00000000">
            <w:r>
              <w:rPr>
                <w:sz w:val="15"/>
              </w:rPr>
              <w:t>ERC and minimum-CVaR improve downside-risk-adjusted performance.</w:t>
            </w:r>
          </w:p>
        </w:tc>
        <w:tc>
          <w:tcPr>
            <w:tcW w:w="2448" w:type="dxa"/>
            <w:shd w:val="clear" w:color="auto" w:fill="F2F4F7"/>
            <w:tcMar>
              <w:top w:w="80" w:type="dxa"/>
              <w:left w:w="80" w:type="dxa"/>
              <w:bottom w:w="80" w:type="dxa"/>
              <w:right w:w="80" w:type="dxa"/>
            </w:tcMar>
            <w:vAlign w:val="center"/>
          </w:tcPr>
          <w:p w14:paraId="5C7C79A9" w14:textId="77777777" w:rsidR="00E96623" w:rsidRDefault="00000000">
            <w:r>
              <w:rPr>
                <w:sz w:val="15"/>
              </w:rPr>
              <w:t>Sortino, CVaR, drawdown</w:t>
            </w:r>
          </w:p>
        </w:tc>
        <w:tc>
          <w:tcPr>
            <w:tcW w:w="2880" w:type="dxa"/>
            <w:shd w:val="clear" w:color="auto" w:fill="F2F4F7"/>
            <w:tcMar>
              <w:top w:w="80" w:type="dxa"/>
              <w:left w:w="80" w:type="dxa"/>
              <w:bottom w:w="80" w:type="dxa"/>
              <w:right w:w="80" w:type="dxa"/>
            </w:tcMar>
            <w:vAlign w:val="center"/>
          </w:tcPr>
          <w:p w14:paraId="2E542A8D" w14:textId="77777777" w:rsidR="00E96623" w:rsidRDefault="00000000">
            <w:r>
              <w:rPr>
                <w:sz w:val="15"/>
              </w:rPr>
              <w:t>Partly supported: minimum-CVaR cut tail risk; ERC was weaker.</w:t>
            </w:r>
          </w:p>
        </w:tc>
      </w:tr>
      <w:tr w:rsidR="00E96623" w14:paraId="050C30FF" w14:textId="77777777">
        <w:trPr>
          <w:jc w:val="center"/>
        </w:trPr>
        <w:tc>
          <w:tcPr>
            <w:tcW w:w="720" w:type="dxa"/>
            <w:shd w:val="clear" w:color="auto" w:fill="FFFFFF"/>
            <w:tcMar>
              <w:top w:w="80" w:type="dxa"/>
              <w:left w:w="80" w:type="dxa"/>
              <w:bottom w:w="80" w:type="dxa"/>
              <w:right w:w="80" w:type="dxa"/>
            </w:tcMar>
            <w:vAlign w:val="center"/>
          </w:tcPr>
          <w:p w14:paraId="5A75A3D8" w14:textId="77777777" w:rsidR="00E96623" w:rsidRDefault="00000000">
            <w:r>
              <w:rPr>
                <w:b/>
                <w:sz w:val="15"/>
              </w:rPr>
              <w:t>H3</w:t>
            </w:r>
          </w:p>
        </w:tc>
        <w:tc>
          <w:tcPr>
            <w:tcW w:w="4176" w:type="dxa"/>
            <w:shd w:val="clear" w:color="auto" w:fill="FFFFFF"/>
            <w:tcMar>
              <w:top w:w="80" w:type="dxa"/>
              <w:left w:w="80" w:type="dxa"/>
              <w:bottom w:w="80" w:type="dxa"/>
              <w:right w:w="80" w:type="dxa"/>
            </w:tcMar>
            <w:vAlign w:val="center"/>
          </w:tcPr>
          <w:p w14:paraId="6E1B8D47" w14:textId="77777777" w:rsidR="00E96623" w:rsidRDefault="00000000">
            <w:r>
              <w:rPr>
                <w:sz w:val="15"/>
              </w:rPr>
              <w:t>Gold and listed real estate provide regime-dependent, not universal, inflation protection.</w:t>
            </w:r>
          </w:p>
        </w:tc>
        <w:tc>
          <w:tcPr>
            <w:tcW w:w="2448" w:type="dxa"/>
            <w:shd w:val="clear" w:color="auto" w:fill="FFFFFF"/>
            <w:tcMar>
              <w:top w:w="80" w:type="dxa"/>
              <w:left w:w="80" w:type="dxa"/>
              <w:bottom w:w="80" w:type="dxa"/>
              <w:right w:w="80" w:type="dxa"/>
            </w:tcMar>
            <w:vAlign w:val="center"/>
          </w:tcPr>
          <w:p w14:paraId="3207C7A4" w14:textId="77777777" w:rsidR="00E96623" w:rsidRDefault="00000000">
            <w:r>
              <w:rPr>
                <w:sz w:val="15"/>
              </w:rPr>
              <w:t>Returns by macro regime</w:t>
            </w:r>
          </w:p>
        </w:tc>
        <w:tc>
          <w:tcPr>
            <w:tcW w:w="2880" w:type="dxa"/>
            <w:shd w:val="clear" w:color="auto" w:fill="FFFFFF"/>
            <w:tcMar>
              <w:top w:w="80" w:type="dxa"/>
              <w:left w:w="80" w:type="dxa"/>
              <w:bottom w:w="80" w:type="dxa"/>
              <w:right w:w="80" w:type="dxa"/>
            </w:tcMar>
            <w:vAlign w:val="center"/>
          </w:tcPr>
          <w:p w14:paraId="6F82B950" w14:textId="77777777" w:rsidR="00E96623" w:rsidRDefault="00000000">
            <w:r>
              <w:rPr>
                <w:sz w:val="15"/>
              </w:rPr>
              <w:t>Supported qualitatively; benefits varied across regimes.</w:t>
            </w:r>
          </w:p>
        </w:tc>
      </w:tr>
      <w:tr w:rsidR="00E96623" w14:paraId="2B3FAB4A" w14:textId="77777777">
        <w:trPr>
          <w:jc w:val="center"/>
        </w:trPr>
        <w:tc>
          <w:tcPr>
            <w:tcW w:w="720" w:type="dxa"/>
            <w:shd w:val="clear" w:color="auto" w:fill="F2F4F7"/>
            <w:tcMar>
              <w:top w:w="80" w:type="dxa"/>
              <w:left w:w="80" w:type="dxa"/>
              <w:bottom w:w="80" w:type="dxa"/>
              <w:right w:w="80" w:type="dxa"/>
            </w:tcMar>
            <w:vAlign w:val="center"/>
          </w:tcPr>
          <w:p w14:paraId="3FC04EB9" w14:textId="77777777" w:rsidR="00E96623" w:rsidRDefault="00000000">
            <w:r>
              <w:rPr>
                <w:b/>
                <w:sz w:val="15"/>
              </w:rPr>
              <w:t>H4</w:t>
            </w:r>
          </w:p>
        </w:tc>
        <w:tc>
          <w:tcPr>
            <w:tcW w:w="4176" w:type="dxa"/>
            <w:shd w:val="clear" w:color="auto" w:fill="F2F4F7"/>
            <w:tcMar>
              <w:top w:w="80" w:type="dxa"/>
              <w:left w:w="80" w:type="dxa"/>
              <w:bottom w:w="80" w:type="dxa"/>
              <w:right w:w="80" w:type="dxa"/>
            </w:tcMar>
            <w:vAlign w:val="center"/>
          </w:tcPr>
          <w:p w14:paraId="4F98EFDD" w14:textId="77777777" w:rsidR="00E96623" w:rsidRDefault="00000000">
            <w:r>
              <w:rPr>
                <w:sz w:val="15"/>
              </w:rPr>
              <w:t>The regime-sensitive overlay improves downside protection net of costs without excessive turnover.</w:t>
            </w:r>
          </w:p>
        </w:tc>
        <w:tc>
          <w:tcPr>
            <w:tcW w:w="2448" w:type="dxa"/>
            <w:shd w:val="clear" w:color="auto" w:fill="F2F4F7"/>
            <w:tcMar>
              <w:top w:w="80" w:type="dxa"/>
              <w:left w:w="80" w:type="dxa"/>
              <w:bottom w:w="80" w:type="dxa"/>
              <w:right w:w="80" w:type="dxa"/>
            </w:tcMar>
            <w:vAlign w:val="center"/>
          </w:tcPr>
          <w:p w14:paraId="3936D743" w14:textId="77777777" w:rsidR="00E96623" w:rsidRDefault="00000000">
            <w:r>
              <w:rPr>
                <w:sz w:val="15"/>
              </w:rPr>
              <w:t>CAGR, Sharpe, CVaR, drawdown, turnover</w:t>
            </w:r>
          </w:p>
        </w:tc>
        <w:tc>
          <w:tcPr>
            <w:tcW w:w="2880" w:type="dxa"/>
            <w:shd w:val="clear" w:color="auto" w:fill="F2F4F7"/>
            <w:tcMar>
              <w:top w:w="80" w:type="dxa"/>
              <w:left w:w="80" w:type="dxa"/>
              <w:bottom w:w="80" w:type="dxa"/>
              <w:right w:w="80" w:type="dxa"/>
            </w:tcMar>
            <w:vAlign w:val="center"/>
          </w:tcPr>
          <w:p w14:paraId="07ED075A" w14:textId="77777777" w:rsidR="00E96623" w:rsidRDefault="00000000">
            <w:r>
              <w:rPr>
                <w:sz w:val="15"/>
              </w:rPr>
              <w:t>Partly supported on losses, rejected overall under the success standard.</w:t>
            </w:r>
          </w:p>
        </w:tc>
      </w:tr>
      <w:tr w:rsidR="00E96623" w14:paraId="24092493" w14:textId="77777777">
        <w:trPr>
          <w:jc w:val="center"/>
        </w:trPr>
        <w:tc>
          <w:tcPr>
            <w:tcW w:w="720" w:type="dxa"/>
            <w:shd w:val="clear" w:color="auto" w:fill="FFFFFF"/>
            <w:tcMar>
              <w:top w:w="80" w:type="dxa"/>
              <w:left w:w="80" w:type="dxa"/>
              <w:bottom w:w="80" w:type="dxa"/>
              <w:right w:w="80" w:type="dxa"/>
            </w:tcMar>
            <w:vAlign w:val="center"/>
          </w:tcPr>
          <w:p w14:paraId="449AF413" w14:textId="77777777" w:rsidR="00E96623" w:rsidRDefault="00000000">
            <w:r>
              <w:rPr>
                <w:b/>
                <w:sz w:val="15"/>
              </w:rPr>
              <w:t>H5</w:t>
            </w:r>
          </w:p>
        </w:tc>
        <w:tc>
          <w:tcPr>
            <w:tcW w:w="4176" w:type="dxa"/>
            <w:shd w:val="clear" w:color="auto" w:fill="FFFFFF"/>
            <w:tcMar>
              <w:top w:w="80" w:type="dxa"/>
              <w:left w:w="80" w:type="dxa"/>
              <w:bottom w:w="80" w:type="dxa"/>
              <w:right w:w="80" w:type="dxa"/>
            </w:tcMar>
            <w:vAlign w:val="center"/>
          </w:tcPr>
          <w:p w14:paraId="07924D9B" w14:textId="77777777" w:rsidR="00E96623" w:rsidRDefault="00000000">
            <w:r>
              <w:rPr>
                <w:sz w:val="15"/>
              </w:rPr>
              <w:t>60/40 remains competitive in falling-inflation environments but is vulnerable in joint stock-bond stress.</w:t>
            </w:r>
          </w:p>
        </w:tc>
        <w:tc>
          <w:tcPr>
            <w:tcW w:w="2448" w:type="dxa"/>
            <w:shd w:val="clear" w:color="auto" w:fill="FFFFFF"/>
            <w:tcMar>
              <w:top w:w="80" w:type="dxa"/>
              <w:left w:w="80" w:type="dxa"/>
              <w:bottom w:w="80" w:type="dxa"/>
              <w:right w:w="80" w:type="dxa"/>
            </w:tcMar>
            <w:vAlign w:val="center"/>
          </w:tcPr>
          <w:p w14:paraId="12B7D87A" w14:textId="77777777" w:rsidR="00E96623" w:rsidRDefault="00000000">
            <w:r>
              <w:rPr>
                <w:sz w:val="15"/>
              </w:rPr>
              <w:t>Regime and 2022 stress results</w:t>
            </w:r>
          </w:p>
        </w:tc>
        <w:tc>
          <w:tcPr>
            <w:tcW w:w="2880" w:type="dxa"/>
            <w:shd w:val="clear" w:color="auto" w:fill="FFFFFF"/>
            <w:tcMar>
              <w:top w:w="80" w:type="dxa"/>
              <w:left w:w="80" w:type="dxa"/>
              <w:bottom w:w="80" w:type="dxa"/>
              <w:right w:w="80" w:type="dxa"/>
            </w:tcMar>
            <w:vAlign w:val="center"/>
          </w:tcPr>
          <w:p w14:paraId="31F87765" w14:textId="77777777" w:rsidR="00E96623" w:rsidRDefault="00000000">
            <w:r>
              <w:rPr>
                <w:sz w:val="15"/>
              </w:rPr>
              <w:t>Supported.</w:t>
            </w:r>
          </w:p>
        </w:tc>
      </w:tr>
    </w:tbl>
    <w:p w14:paraId="0DCCEECD" w14:textId="77777777" w:rsidR="00E96623" w:rsidRDefault="00E96623">
      <w:pPr>
        <w:spacing w:after="0"/>
      </w:pPr>
    </w:p>
    <w:p w14:paraId="09F1E852" w14:textId="77777777" w:rsidR="00E96623" w:rsidRDefault="00000000">
      <w:pPr>
        <w:pStyle w:val="Heading1"/>
      </w:pPr>
      <w:r>
        <w:rPr>
          <w:rFonts w:ascii="Cambria" w:hAnsi="Cambria"/>
        </w:rPr>
        <w:t>2. Literature Review</w:t>
      </w:r>
    </w:p>
    <w:p w14:paraId="206A4DF5" w14:textId="77777777" w:rsidR="00E96623" w:rsidRDefault="00000000">
      <w:pPr>
        <w:pStyle w:val="Heading2"/>
      </w:pPr>
      <w:r>
        <w:rPr>
          <w:rFonts w:ascii="Cambria" w:hAnsi="Cambria"/>
        </w:rPr>
        <w:t>2.1 Modern Portfolio Theory and the Role of Diversification</w:t>
      </w:r>
    </w:p>
    <w:p w14:paraId="293D8460" w14:textId="77777777" w:rsidR="00E96623" w:rsidRDefault="00000000">
      <w:pPr>
        <w:pStyle w:val="BodyText"/>
        <w:ind w:firstLine="360"/>
      </w:pPr>
      <w:r>
        <w:t>Markowitz (1952) formalized portfolio selection as a joint decision about expected return, variance, and covariance. The key insight is that an asset should not be judged only by its stand-alone volatility; its value also depends on how its returns interact with the rest of the portfolio. This framework established the efficient frontier and provided a mathematical explanation for diversification. Sharpe (1964) subsequently connected systematic risk to equilibrium expected returns through the capital asset pricing model. Together, these ideas remain foundational for strategic asset allocation.</w:t>
      </w:r>
    </w:p>
    <w:p w14:paraId="380C1E95" w14:textId="77777777" w:rsidR="00E96623" w:rsidRDefault="00000000">
      <w:pPr>
        <w:pStyle w:val="BodyText"/>
        <w:ind w:firstLine="360"/>
      </w:pPr>
      <w:r>
        <w:t>The practical weakness of sample-based mean-variance optimization is estimation error. Expected returns are difficult to estimate, and small changes in inputs can lead to large changes in portfolio weights. DeMiguel, Garlappi, and Uppal (2009) show that sophisticated optimization methods often struggle to outperform the simple 1/N rule out of sample because estimated gains are offset by parameter uncertainty and turnover. Their result is directly relevant to this study: every optimized portfolio must beat simple, investable benchmarks under the same assumptions before complexity can be considered valuable.</w:t>
      </w:r>
    </w:p>
    <w:p w14:paraId="43FE0D73" w14:textId="77777777" w:rsidR="00E96623" w:rsidRDefault="00000000">
      <w:pPr>
        <w:pStyle w:val="Heading2"/>
      </w:pPr>
      <w:r>
        <w:rPr>
          <w:rFonts w:ascii="Cambria" w:hAnsi="Cambria"/>
        </w:rPr>
        <w:t>2.2 Downside Risk and Conditional Value-at-Risk</w:t>
      </w:r>
    </w:p>
    <w:p w14:paraId="0456CE05" w14:textId="77777777" w:rsidR="00E96623" w:rsidRDefault="00000000">
      <w:pPr>
        <w:pStyle w:val="BodyText"/>
        <w:ind w:firstLine="360"/>
      </w:pPr>
      <w:r>
        <w:t>Variance treats upside and downside deviations symmetrically, although most clients experience risk primarily as loss, inability to fund obligations, or abandonment of the plan during a severe drawdown. Value-at-Risk summarizes a loss threshold at a chosen probability level, but it does not describe the average loss beyond that threshold. Rockafellar and Uryasev (2000) develop a tractable optimization framework for Conditional Value-at-Risk (CVaR), also known as expected shortfall, which focuses on the tail of the loss distribution. A minimum-CVaR portfolio can therefore be aligned more directly with wealth-preservation objectives than a portfolio optimized solely on variance.</w:t>
      </w:r>
    </w:p>
    <w:p w14:paraId="112A561C" w14:textId="77777777" w:rsidR="00E96623" w:rsidRDefault="00000000">
      <w:pPr>
        <w:pStyle w:val="BodyText"/>
        <w:ind w:firstLine="360"/>
      </w:pPr>
      <w:r>
        <w:t>CVaR is not a complete description of risk. Historical tail estimates are sensitive to the sample period, and extreme events can differ from the past. Nevertheless, it provides a useful complement to volatility and maximum drawdown because it measures the average severity of bad outcomes rather than only their frequency.</w:t>
      </w:r>
    </w:p>
    <w:p w14:paraId="1D9362AC" w14:textId="77777777" w:rsidR="00905B4D" w:rsidRDefault="00905B4D">
      <w:pPr>
        <w:pStyle w:val="BodyText"/>
        <w:ind w:firstLine="360"/>
      </w:pPr>
    </w:p>
    <w:p w14:paraId="20361DCE" w14:textId="77777777" w:rsidR="00E96623" w:rsidRDefault="00000000">
      <w:pPr>
        <w:pStyle w:val="Heading2"/>
      </w:pPr>
      <w:r>
        <w:rPr>
          <w:rFonts w:ascii="Cambria" w:hAnsi="Cambria"/>
        </w:rPr>
        <w:lastRenderedPageBreak/>
        <w:t>2.3 Risk Budgeting and Equal-Risk Contribution</w:t>
      </w:r>
    </w:p>
    <w:p w14:paraId="57223310" w14:textId="77777777" w:rsidR="00E96623" w:rsidRDefault="00000000">
      <w:pPr>
        <w:pStyle w:val="BodyText"/>
        <w:ind w:firstLine="360"/>
      </w:pPr>
      <w:r>
        <w:t>Capital weights do not reveal risk concentration. In a conventional balanced portfolio, equities can contribute a much larger share of total volatility than their capital weight implies. Maillard, Roncalli, and Teïletche (2010) examine portfolios in which each component contributes equally to total risk. Equal-risk-contribution allocation does not require expected-return estimates, making it potentially more robust than mean-variance optimization. Its main limitation is that low-volatility assets can receive large capital weights, and a fully risk-balanced portfolio may require leverage to reach a desired return. Because leverage is inconsistent with the hypothetical client’s conservative implementation constraints, this paper uses an unlevered, long-only version.</w:t>
      </w:r>
    </w:p>
    <w:p w14:paraId="560DD4BD" w14:textId="77777777" w:rsidR="00E96623" w:rsidRDefault="00000000">
      <w:pPr>
        <w:pStyle w:val="Heading2"/>
      </w:pPr>
      <w:r>
        <w:rPr>
          <w:rFonts w:ascii="Cambria" w:hAnsi="Cambria"/>
        </w:rPr>
        <w:t>2.4 Regime-Sensitive Asset Allocation</w:t>
      </w:r>
    </w:p>
    <w:p w14:paraId="6BA72E06" w14:textId="77777777" w:rsidR="00E96623" w:rsidRDefault="00000000">
      <w:pPr>
        <w:pStyle w:val="BodyText"/>
        <w:ind w:firstLine="360"/>
      </w:pPr>
      <w:r>
        <w:t>Asset returns, volatilities, and correlations are not constant through time. Ang and Bekaert (2002) show that international return distributions can shift between regimes and that correlations may increase during volatile bear markets. This creates a challenge for static diversification: relationships estimated in calm periods may weaken during stress. A regime-sensitive approach attempts to condition allocations on observable economic information, but it also introduces classification error and trading costs. The relevant question is not whether regimes exist in hindsight; it is whether a simple rule can identify useful states in real time without overfitting.</w:t>
      </w:r>
    </w:p>
    <w:p w14:paraId="079D9472" w14:textId="77777777" w:rsidR="00E96623" w:rsidRDefault="00000000">
      <w:pPr>
        <w:pStyle w:val="BodyText"/>
        <w:ind w:firstLine="360"/>
      </w:pPr>
      <w:r>
        <w:t>The present design uses inflation and monetary policy rather than a hidden statistical state model. This choice sacrifices some flexibility in exchange for transparency. A private client and an investment committee can understand why the portfolio changes when inflation is rising and policy is tightening. The rule can also be reconstructed from publicly available data and audited for look-ahead bias.</w:t>
      </w:r>
    </w:p>
    <w:p w14:paraId="43547B0F" w14:textId="77777777" w:rsidR="00E96623" w:rsidRDefault="00000000">
      <w:pPr>
        <w:pStyle w:val="Heading2"/>
      </w:pPr>
      <w:r>
        <w:rPr>
          <w:rFonts w:ascii="Cambria" w:hAnsi="Cambria"/>
        </w:rPr>
        <w:t>2.5 Inflation Hedging Across Asset Classes</w:t>
      </w:r>
    </w:p>
    <w:p w14:paraId="1B01B748" w14:textId="77777777" w:rsidR="00E96623" w:rsidRDefault="00000000">
      <w:pPr>
        <w:pStyle w:val="BodyText"/>
        <w:ind w:firstLine="360"/>
      </w:pPr>
      <w:r>
        <w:t>Inflation protection is more complex than assigning a permanent label such as “real asset.” Roache and Attié (2009) argue that hedging effectiveness depends on the investment horizon, while Brière and Signori (2011) emphasize that economic regimes matter for inflation-hedging portfolios. More recent research by Fang, Liu, and Roussanov (2022) distinguishes core inflation from energy inflation and finds that assets commonly described as inflation hedges may behave differently across inflation components. These findings warn against assuming that gold, commodities, equities, or real estate will consistently offset every type of inflation shock.</w:t>
      </w:r>
    </w:p>
    <w:p w14:paraId="2BE10DEA" w14:textId="77777777" w:rsidR="00E96623" w:rsidRDefault="00000000">
      <w:pPr>
        <w:pStyle w:val="BodyText"/>
        <w:ind w:firstLine="360"/>
      </w:pPr>
      <w:r>
        <w:t>For this reason, the paper does not define success as a positive average correlation with headline inflation. It evaluates real returns, drawdowns, and tail losses across inflation-policy states. An asset can contribute to a portfolio even when it is not a pure inflation hedge, provided its behavior improves the client-level outcome.</w:t>
      </w:r>
    </w:p>
    <w:p w14:paraId="73DF8BCB" w14:textId="77777777" w:rsidR="00E96623" w:rsidRDefault="00000000">
      <w:pPr>
        <w:pStyle w:val="Heading2"/>
      </w:pPr>
      <w:r>
        <w:rPr>
          <w:rFonts w:ascii="Cambria" w:hAnsi="Cambria"/>
        </w:rPr>
        <w:t>2.6 Implications for Private Wealth Management</w:t>
      </w:r>
    </w:p>
    <w:p w14:paraId="6202D704" w14:textId="77777777" w:rsidR="00E96623" w:rsidRDefault="00000000">
      <w:pPr>
        <w:pStyle w:val="BodyText"/>
        <w:ind w:firstLine="360"/>
      </w:pPr>
      <w:r>
        <w:t>Academic portfolio research often evaluates a representative investor with a single-period objective. Private wealth management adds practical constraints: liquidity needs, taxes, legacy objectives, behavioral tolerance, account structure, concentration in private business or real estate, and the requirement that recommendations remain understandable. A strategy with a slightly higher backtested Sharpe ratio may be unsuitable if it is difficult to explain, requires frequent trading, or creates a drawdown pattern the client will not tolerate. The investment-policy statement in the next section converts these concerns into explicit rules.</w:t>
      </w:r>
    </w:p>
    <w:p w14:paraId="53DD59EB" w14:textId="77777777" w:rsidR="00905B4D" w:rsidRDefault="00905B4D">
      <w:pPr>
        <w:pStyle w:val="BodyText"/>
        <w:ind w:firstLine="360"/>
      </w:pPr>
    </w:p>
    <w:p w14:paraId="49C76952" w14:textId="77777777" w:rsidR="00905B4D" w:rsidRDefault="00905B4D">
      <w:pPr>
        <w:pStyle w:val="BodyText"/>
        <w:ind w:firstLine="360"/>
      </w:pPr>
    </w:p>
    <w:p w14:paraId="21FFA06D" w14:textId="77777777" w:rsidR="00E96623" w:rsidRDefault="00000000">
      <w:pPr>
        <w:pStyle w:val="Heading1"/>
      </w:pPr>
      <w:r>
        <w:rPr>
          <w:rFonts w:ascii="Cambria" w:hAnsi="Cambria"/>
        </w:rPr>
        <w:lastRenderedPageBreak/>
        <w:t>3. Hypothetical Client Profile and Investment Policy Statement</w:t>
      </w:r>
    </w:p>
    <w:p w14:paraId="66BA459E" w14:textId="77777777" w:rsidR="00E96623" w:rsidRDefault="00000000">
      <w:pPr>
        <w:pStyle w:val="BodyText"/>
        <w:ind w:firstLine="360"/>
      </w:pPr>
      <w:r>
        <w:t>The investor is a fictional household created for research purposes. The profile is not based on a real client and is not a recommendation to any individual. The objective is to provide a consistent decision context against which the portfolios can be evaluated.</w:t>
      </w:r>
    </w:p>
    <w:p w14:paraId="130DBE4E" w14:textId="77777777" w:rsidR="00E96623" w:rsidRDefault="00000000">
      <w:pPr>
        <w:keepNext/>
      </w:pPr>
      <w:r>
        <w:rPr>
          <w:b/>
          <w:color w:val="0B1F3A"/>
          <w:sz w:val="19"/>
        </w:rPr>
        <w:t>Table 2. Hypothetical investment-policy profile</w:t>
      </w:r>
    </w:p>
    <w:tbl>
      <w:tblPr>
        <w:tblW w:w="0" w:type="auto"/>
        <w:jc w:val="center"/>
        <w:tblLayout w:type="fixed"/>
        <w:tblLook w:val="04A0" w:firstRow="1" w:lastRow="0" w:firstColumn="1" w:lastColumn="0" w:noHBand="0" w:noVBand="1"/>
      </w:tblPr>
      <w:tblGrid>
        <w:gridCol w:w="3331"/>
        <w:gridCol w:w="3331"/>
        <w:gridCol w:w="4464"/>
      </w:tblGrid>
      <w:tr w:rsidR="00E96623" w14:paraId="2BF982F3" w14:textId="77777777">
        <w:trPr>
          <w:tblHeader/>
          <w:jc w:val="center"/>
        </w:trPr>
        <w:tc>
          <w:tcPr>
            <w:tcW w:w="3331" w:type="dxa"/>
            <w:tcBorders>
              <w:top w:val="single" w:sz="6" w:space="0" w:color="0B1F3A"/>
              <w:left w:val="single" w:sz="4" w:space="0" w:color="FFFFFF"/>
              <w:bottom w:val="single" w:sz="6" w:space="0" w:color="0B1F3A"/>
              <w:right w:val="single" w:sz="4" w:space="0" w:color="FFFFFF"/>
            </w:tcBorders>
            <w:shd w:val="clear" w:color="auto" w:fill="0B1F3A"/>
            <w:tcMar>
              <w:top w:w="90" w:type="dxa"/>
              <w:left w:w="90" w:type="dxa"/>
              <w:bottom w:w="90" w:type="dxa"/>
              <w:right w:w="90" w:type="dxa"/>
            </w:tcMar>
            <w:vAlign w:val="center"/>
          </w:tcPr>
          <w:p w14:paraId="114A6C23" w14:textId="77777777" w:rsidR="00E96623" w:rsidRDefault="00000000">
            <w:r>
              <w:rPr>
                <w:b/>
                <w:color w:val="FFFFFF"/>
                <w:sz w:val="17"/>
              </w:rPr>
              <w:t>Dimension</w:t>
            </w:r>
          </w:p>
        </w:tc>
        <w:tc>
          <w:tcPr>
            <w:tcW w:w="3331" w:type="dxa"/>
            <w:tcBorders>
              <w:top w:val="single" w:sz="6" w:space="0" w:color="0B1F3A"/>
              <w:left w:val="single" w:sz="4" w:space="0" w:color="FFFFFF"/>
              <w:bottom w:val="single" w:sz="6" w:space="0" w:color="0B1F3A"/>
              <w:right w:val="single" w:sz="4" w:space="0" w:color="FFFFFF"/>
            </w:tcBorders>
            <w:shd w:val="clear" w:color="auto" w:fill="0B1F3A"/>
            <w:tcMar>
              <w:top w:w="90" w:type="dxa"/>
              <w:left w:w="90" w:type="dxa"/>
              <w:bottom w:w="90" w:type="dxa"/>
              <w:right w:w="90" w:type="dxa"/>
            </w:tcMar>
            <w:vAlign w:val="center"/>
          </w:tcPr>
          <w:p w14:paraId="6F233E39" w14:textId="77777777" w:rsidR="00E96623" w:rsidRDefault="00000000">
            <w:r>
              <w:rPr>
                <w:b/>
                <w:color w:val="FFFFFF"/>
                <w:sz w:val="17"/>
              </w:rPr>
              <w:t>Assumption</w:t>
            </w:r>
          </w:p>
        </w:tc>
        <w:tc>
          <w:tcPr>
            <w:tcW w:w="3331" w:type="dxa"/>
            <w:tcBorders>
              <w:top w:val="single" w:sz="6" w:space="0" w:color="0B1F3A"/>
              <w:left w:val="single" w:sz="4" w:space="0" w:color="FFFFFF"/>
              <w:bottom w:val="single" w:sz="6" w:space="0" w:color="0B1F3A"/>
              <w:right w:val="single" w:sz="4" w:space="0" w:color="FFFFFF"/>
            </w:tcBorders>
            <w:shd w:val="clear" w:color="auto" w:fill="0B1F3A"/>
            <w:tcMar>
              <w:top w:w="90" w:type="dxa"/>
              <w:left w:w="90" w:type="dxa"/>
              <w:bottom w:w="90" w:type="dxa"/>
              <w:right w:w="90" w:type="dxa"/>
            </w:tcMar>
            <w:vAlign w:val="center"/>
          </w:tcPr>
          <w:p w14:paraId="361703CC" w14:textId="77777777" w:rsidR="00E96623" w:rsidRDefault="00000000">
            <w:r>
              <w:rPr>
                <w:b/>
                <w:color w:val="FFFFFF"/>
                <w:sz w:val="17"/>
              </w:rPr>
              <w:t>Portfolio implication</w:t>
            </w:r>
          </w:p>
        </w:tc>
      </w:tr>
      <w:tr w:rsidR="00E96623" w14:paraId="0A97FC17" w14:textId="77777777">
        <w:trPr>
          <w:jc w:val="center"/>
        </w:trPr>
        <w:tc>
          <w:tcPr>
            <w:tcW w:w="172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1E2175F4" w14:textId="77777777" w:rsidR="00E96623" w:rsidRDefault="00000000">
            <w:r>
              <w:rPr>
                <w:sz w:val="16"/>
              </w:rPr>
              <w:t>Investable assets</w:t>
            </w:r>
          </w:p>
        </w:tc>
        <w:tc>
          <w:tcPr>
            <w:tcW w:w="316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04B6C4AC" w14:textId="77777777" w:rsidR="00E96623" w:rsidRDefault="00000000">
            <w:r>
              <w:rPr>
                <w:sz w:val="16"/>
              </w:rPr>
              <w:t>$5,000,000</w:t>
            </w:r>
          </w:p>
        </w:tc>
        <w:tc>
          <w:tcPr>
            <w:tcW w:w="4464"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72A3A258" w14:textId="77777777" w:rsidR="00E96623" w:rsidRDefault="00000000">
            <w:r>
              <w:rPr>
                <w:sz w:val="16"/>
              </w:rPr>
              <w:t>Sufficient scale for broad ETF implementation; no need for leverage or illiquid products.</w:t>
            </w:r>
          </w:p>
        </w:tc>
      </w:tr>
      <w:tr w:rsidR="00E96623" w14:paraId="133A7774" w14:textId="77777777">
        <w:trPr>
          <w:jc w:val="center"/>
        </w:trPr>
        <w:tc>
          <w:tcPr>
            <w:tcW w:w="172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03AEA40C" w14:textId="77777777" w:rsidR="00E96623" w:rsidRDefault="00000000">
            <w:r>
              <w:rPr>
                <w:sz w:val="16"/>
              </w:rPr>
              <w:t>Time horizon</w:t>
            </w:r>
          </w:p>
        </w:tc>
        <w:tc>
          <w:tcPr>
            <w:tcW w:w="316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5DD821D8" w14:textId="77777777" w:rsidR="00E96623" w:rsidRDefault="00000000">
            <w:r>
              <w:rPr>
                <w:sz w:val="16"/>
              </w:rPr>
              <w:t>10 years or longer</w:t>
            </w:r>
          </w:p>
        </w:tc>
        <w:tc>
          <w:tcPr>
            <w:tcW w:w="4464"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4797523B" w14:textId="77777777" w:rsidR="00E96623" w:rsidRDefault="00000000">
            <w:r>
              <w:rPr>
                <w:sz w:val="16"/>
              </w:rPr>
              <w:t>Supports meaningful equity exposure but does not eliminate sequence-of-returns risk.</w:t>
            </w:r>
          </w:p>
        </w:tc>
      </w:tr>
      <w:tr w:rsidR="00E96623" w14:paraId="2461351B" w14:textId="77777777">
        <w:trPr>
          <w:jc w:val="center"/>
        </w:trPr>
        <w:tc>
          <w:tcPr>
            <w:tcW w:w="172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450564B2" w14:textId="77777777" w:rsidR="00E96623" w:rsidRDefault="00000000">
            <w:r>
              <w:rPr>
                <w:sz w:val="16"/>
              </w:rPr>
              <w:t>Risk tolerance</w:t>
            </w:r>
          </w:p>
        </w:tc>
        <w:tc>
          <w:tcPr>
            <w:tcW w:w="316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7AF4EC68" w14:textId="77777777" w:rsidR="00E96623" w:rsidRDefault="00000000">
            <w:r>
              <w:rPr>
                <w:sz w:val="16"/>
              </w:rPr>
              <w:t>Moderate</w:t>
            </w:r>
          </w:p>
        </w:tc>
        <w:tc>
          <w:tcPr>
            <w:tcW w:w="4464"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211E59A1" w14:textId="77777777" w:rsidR="00E96623" w:rsidRDefault="00000000">
            <w:r>
              <w:rPr>
                <w:sz w:val="16"/>
              </w:rPr>
              <w:t>The client accepts market fluctuation but prioritizes avoidance of severe permanent loss.</w:t>
            </w:r>
          </w:p>
        </w:tc>
      </w:tr>
      <w:tr w:rsidR="00E96623" w14:paraId="5F4A6B20" w14:textId="77777777">
        <w:trPr>
          <w:jc w:val="center"/>
        </w:trPr>
        <w:tc>
          <w:tcPr>
            <w:tcW w:w="172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403F0874" w14:textId="77777777" w:rsidR="00E96623" w:rsidRDefault="00000000">
            <w:r>
              <w:rPr>
                <w:sz w:val="16"/>
              </w:rPr>
              <w:t>Return objective</w:t>
            </w:r>
          </w:p>
        </w:tc>
        <w:tc>
          <w:tcPr>
            <w:tcW w:w="316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4D341418" w14:textId="77777777" w:rsidR="00E96623" w:rsidRDefault="00000000">
            <w:r>
              <w:rPr>
                <w:sz w:val="16"/>
              </w:rPr>
              <w:t>CPI + 4% annualized over a full cycle, net of estimated trading costs</w:t>
            </w:r>
          </w:p>
        </w:tc>
        <w:tc>
          <w:tcPr>
            <w:tcW w:w="4464"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61F3C145" w14:textId="77777777" w:rsidR="00E96623" w:rsidRDefault="00000000">
            <w:r>
              <w:rPr>
                <w:sz w:val="16"/>
              </w:rPr>
              <w:t>Targets real growth while recognizing that the objective is not guaranteed.</w:t>
            </w:r>
          </w:p>
        </w:tc>
      </w:tr>
      <w:tr w:rsidR="00E96623" w14:paraId="5B5E5B03" w14:textId="77777777">
        <w:trPr>
          <w:jc w:val="center"/>
        </w:trPr>
        <w:tc>
          <w:tcPr>
            <w:tcW w:w="172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44FC9C84" w14:textId="77777777" w:rsidR="00E96623" w:rsidRDefault="00000000">
            <w:r>
              <w:rPr>
                <w:sz w:val="16"/>
              </w:rPr>
              <w:t>Liquidity need</w:t>
            </w:r>
          </w:p>
        </w:tc>
        <w:tc>
          <w:tcPr>
            <w:tcW w:w="316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2A0D5164" w14:textId="77777777" w:rsidR="00E96623" w:rsidRDefault="00000000">
            <w:r>
              <w:rPr>
                <w:sz w:val="16"/>
              </w:rPr>
              <w:t>$100,000 annually, equivalent to 2% of initial assets</w:t>
            </w:r>
          </w:p>
        </w:tc>
        <w:tc>
          <w:tcPr>
            <w:tcW w:w="4464"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5BF83035" w14:textId="77777777" w:rsidR="00E96623" w:rsidRDefault="00000000">
            <w:r>
              <w:rPr>
                <w:sz w:val="16"/>
              </w:rPr>
              <w:t>Requires liquid holdings and a minimum cash-equivalent allocation.</w:t>
            </w:r>
          </w:p>
        </w:tc>
      </w:tr>
      <w:tr w:rsidR="00E96623" w14:paraId="58AF987C" w14:textId="77777777">
        <w:trPr>
          <w:jc w:val="center"/>
        </w:trPr>
        <w:tc>
          <w:tcPr>
            <w:tcW w:w="172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4DD6624C" w14:textId="77777777" w:rsidR="00E96623" w:rsidRDefault="00000000">
            <w:r>
              <w:rPr>
                <w:sz w:val="16"/>
              </w:rPr>
              <w:t>Maximum tolerable drawdown</w:t>
            </w:r>
          </w:p>
        </w:tc>
        <w:tc>
          <w:tcPr>
            <w:tcW w:w="316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3485E024" w14:textId="77777777" w:rsidR="00E96623" w:rsidRDefault="00000000">
            <w:r>
              <w:rPr>
                <w:sz w:val="16"/>
              </w:rPr>
              <w:t>Approximately 20% as an ex ante planning threshold</w:t>
            </w:r>
          </w:p>
        </w:tc>
        <w:tc>
          <w:tcPr>
            <w:tcW w:w="4464"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0EF49973" w14:textId="77777777" w:rsidR="00E96623" w:rsidRDefault="00000000">
            <w:r>
              <w:rPr>
                <w:sz w:val="16"/>
              </w:rPr>
              <w:t>Portfolios exceeding the threshold require explicit justification and stress analysis.</w:t>
            </w:r>
          </w:p>
        </w:tc>
      </w:tr>
      <w:tr w:rsidR="00E96623" w14:paraId="64189464" w14:textId="77777777">
        <w:trPr>
          <w:jc w:val="center"/>
        </w:trPr>
        <w:tc>
          <w:tcPr>
            <w:tcW w:w="172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6379A05E" w14:textId="77777777" w:rsidR="00E96623" w:rsidRDefault="00000000">
            <w:r>
              <w:rPr>
                <w:sz w:val="16"/>
              </w:rPr>
              <w:t>Legal/regulatory</w:t>
            </w:r>
          </w:p>
        </w:tc>
        <w:tc>
          <w:tcPr>
            <w:tcW w:w="316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4C0A0F63" w14:textId="77777777" w:rsidR="00E96623" w:rsidRDefault="00000000">
            <w:r>
              <w:rPr>
                <w:sz w:val="16"/>
              </w:rPr>
              <w:t>U.S.-based taxable investor; no leverage, short selling, derivatives, or private funds in baseline</w:t>
            </w:r>
          </w:p>
        </w:tc>
        <w:tc>
          <w:tcPr>
            <w:tcW w:w="4464"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38FD2F9E" w14:textId="77777777" w:rsidR="00E96623" w:rsidRDefault="00000000">
            <w:r>
              <w:rPr>
                <w:sz w:val="16"/>
              </w:rPr>
              <w:t>Keeps the study implementable and transparent.</w:t>
            </w:r>
          </w:p>
        </w:tc>
      </w:tr>
      <w:tr w:rsidR="00E96623" w14:paraId="579726B7" w14:textId="77777777">
        <w:trPr>
          <w:jc w:val="center"/>
        </w:trPr>
        <w:tc>
          <w:tcPr>
            <w:tcW w:w="172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1E01B1EC" w14:textId="77777777" w:rsidR="00E96623" w:rsidRDefault="00000000">
            <w:r>
              <w:rPr>
                <w:sz w:val="16"/>
              </w:rPr>
              <w:t>Tax treatment</w:t>
            </w:r>
          </w:p>
        </w:tc>
        <w:tc>
          <w:tcPr>
            <w:tcW w:w="316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42136C4C" w14:textId="77777777" w:rsidR="00E96623" w:rsidRDefault="00000000">
            <w:r>
              <w:rPr>
                <w:sz w:val="16"/>
              </w:rPr>
              <w:t>Modeled only qualitatively</w:t>
            </w:r>
          </w:p>
        </w:tc>
        <w:tc>
          <w:tcPr>
            <w:tcW w:w="4464"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7E2E76F9" w14:textId="77777777" w:rsidR="00E96623" w:rsidRDefault="00000000">
            <w:r>
              <w:rPr>
                <w:sz w:val="16"/>
              </w:rPr>
              <w:t>Pre-tax backtest results must not be presented as after-tax client outcomes.</w:t>
            </w:r>
          </w:p>
        </w:tc>
      </w:tr>
      <w:tr w:rsidR="00E96623" w14:paraId="3CDA88C3" w14:textId="77777777">
        <w:trPr>
          <w:jc w:val="center"/>
        </w:trPr>
        <w:tc>
          <w:tcPr>
            <w:tcW w:w="172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5CB528D9" w14:textId="77777777" w:rsidR="00E96623" w:rsidRDefault="00000000">
            <w:r>
              <w:rPr>
                <w:sz w:val="16"/>
              </w:rPr>
              <w:t>Legacy objective</w:t>
            </w:r>
          </w:p>
        </w:tc>
        <w:tc>
          <w:tcPr>
            <w:tcW w:w="316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2CECFC07" w14:textId="77777777" w:rsidR="00E96623" w:rsidRDefault="00000000">
            <w:r>
              <w:rPr>
                <w:sz w:val="16"/>
              </w:rPr>
              <w:t>Preserve substantial principal for future generations</w:t>
            </w:r>
          </w:p>
        </w:tc>
        <w:tc>
          <w:tcPr>
            <w:tcW w:w="4464"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1A8D614D" w14:textId="77777777" w:rsidR="00E96623" w:rsidRDefault="00000000">
            <w:r>
              <w:rPr>
                <w:sz w:val="16"/>
              </w:rPr>
              <w:t>Favors resilience, liquidity, and disciplined rebalancing.</w:t>
            </w:r>
          </w:p>
        </w:tc>
      </w:tr>
    </w:tbl>
    <w:p w14:paraId="26BD66C0" w14:textId="77777777" w:rsidR="00E96623" w:rsidRDefault="00E96623">
      <w:pPr>
        <w:spacing w:after="0"/>
      </w:pPr>
    </w:p>
    <w:p w14:paraId="4B1B9948" w14:textId="77777777" w:rsidR="00E96623" w:rsidRDefault="00000000">
      <w:pPr>
        <w:pStyle w:val="Heading2"/>
      </w:pPr>
      <w:r>
        <w:rPr>
          <w:rFonts w:ascii="Cambria" w:hAnsi="Cambria"/>
        </w:rPr>
        <w:t>3.1 Return Objective</w:t>
      </w:r>
    </w:p>
    <w:p w14:paraId="7CD44E92" w14:textId="77777777" w:rsidR="00E96623" w:rsidRDefault="00000000">
      <w:pPr>
        <w:pStyle w:val="BodyText"/>
        <w:ind w:firstLine="360"/>
      </w:pPr>
      <w:r>
        <w:t>The long-term objective is to preserve purchasing power and compound real wealth. A CPI-plus target is more appropriate than a fixed nominal return because the client’s future spending and legacy goals are affected by inflation. The target of CPI plus 4 percent is an aspiration, not a guaranteed outcome. The completed analysis evaluates the objective using full-period real CAGR together with drawdown, CVaR, and recovery measures.</w:t>
      </w:r>
    </w:p>
    <w:p w14:paraId="77D73B0F" w14:textId="77777777" w:rsidR="00E96623" w:rsidRDefault="00000000">
      <w:pPr>
        <w:pStyle w:val="Heading2"/>
      </w:pPr>
      <w:r>
        <w:rPr>
          <w:rFonts w:ascii="Cambria" w:hAnsi="Cambria"/>
        </w:rPr>
        <w:t>3.2 Risk Objective</w:t>
      </w:r>
    </w:p>
    <w:p w14:paraId="1701B0C1" w14:textId="77777777" w:rsidR="00E96623" w:rsidRDefault="00000000">
      <w:pPr>
        <w:pStyle w:val="BodyText"/>
        <w:ind w:firstLine="360"/>
      </w:pPr>
      <w:r>
        <w:t>Risk is defined in several dimensions. Volatility captures the variability of returns. Maximum drawdown measures the peak-to-trough loss. CVaR estimates the average loss in the worst five percent of monthly outcomes. Recovery time measures how long the portfolio remains below its prior high. Real return shortfall measures failure to preserve purchasing power. No single metric is treated as decisive; the recommendation must be supported by a consistent pattern across measures.</w:t>
      </w:r>
    </w:p>
    <w:p w14:paraId="2DCE004C" w14:textId="77777777" w:rsidR="00905B4D" w:rsidRDefault="00905B4D">
      <w:pPr>
        <w:pStyle w:val="BodyText"/>
        <w:ind w:firstLine="360"/>
      </w:pPr>
    </w:p>
    <w:p w14:paraId="36E68ACB" w14:textId="77777777" w:rsidR="00E96623" w:rsidRDefault="00000000">
      <w:pPr>
        <w:pStyle w:val="Heading2"/>
      </w:pPr>
      <w:r>
        <w:rPr>
          <w:rFonts w:ascii="Cambria" w:hAnsi="Cambria"/>
        </w:rPr>
        <w:lastRenderedPageBreak/>
        <w:t>3.3 Constraints</w:t>
      </w:r>
    </w:p>
    <w:p w14:paraId="45676DCE" w14:textId="77777777" w:rsidR="00E96623" w:rsidRDefault="00000000">
      <w:pPr>
        <w:pStyle w:val="BodyText"/>
        <w:ind w:firstLine="360"/>
      </w:pPr>
      <w:r>
        <w:t>All portfolios are long only, fully invested, and unlevered. Optimized portfolios cap each asset at 40 percent, require at least 5 percent in BIL, cap combined U.S. and developed-market equities at 70 percent, and cap combined listed real estate and gold at 30 percent. The analysis does not impose a turnover ceiling, but reports turnover and deducts transaction costs.</w:t>
      </w:r>
    </w:p>
    <w:p w14:paraId="2BEC4C6E" w14:textId="77777777" w:rsidR="00E96623" w:rsidRDefault="00000000">
      <w:pPr>
        <w:pStyle w:val="Heading1"/>
      </w:pPr>
      <w:r>
        <w:rPr>
          <w:rFonts w:ascii="Cambria" w:hAnsi="Cambria"/>
        </w:rPr>
        <w:t>4. Data and Asset-Class Proxies</w:t>
      </w:r>
    </w:p>
    <w:p w14:paraId="233CF493" w14:textId="77777777" w:rsidR="00E96623" w:rsidRDefault="00000000">
      <w:pPr>
        <w:pStyle w:val="Heading2"/>
      </w:pPr>
      <w:r>
        <w:rPr>
          <w:rFonts w:ascii="Cambria" w:hAnsi="Cambria"/>
        </w:rPr>
        <w:t>4.1 Sample Window and Frequency</w:t>
      </w:r>
    </w:p>
    <w:p w14:paraId="747F725B" w14:textId="77777777" w:rsidR="00E96623" w:rsidRDefault="00000000">
      <w:pPr>
        <w:pStyle w:val="BodyText"/>
        <w:ind w:firstLine="360"/>
      </w:pPr>
      <w:r>
        <w:t>The dataset runs from January 2008 through December 2025 at month-end frequency. The first 60 months are reserved for estimation, so the principal out-of-sample comparison begins in January 2013 and contains 156 monthly observations.</w:t>
      </w:r>
    </w:p>
    <w:p w14:paraId="22268BA3" w14:textId="72A4C64B" w:rsidR="00B55BD3" w:rsidRDefault="00381699">
      <w:pPr>
        <w:pStyle w:val="BodyText"/>
        <w:ind w:firstLine="360"/>
      </w:pPr>
      <w:r w:rsidRPr="00381699">
        <w:t xml:space="preserve">ETF market data were retrieved on July 17, </w:t>
      </w:r>
      <w:proofErr w:type="gramStart"/>
      <w:r w:rsidRPr="00381699">
        <w:t>2026</w:t>
      </w:r>
      <w:proofErr w:type="gramEnd"/>
      <w:r w:rsidRPr="00381699">
        <w:t xml:space="preserve"> at 02:28:20 UTC using yfinance version 1.5.1 with automatic price adjustment enabled. The raw retrieval window begins in January 2007, while the research sample begins in January 2008. Daily adjusted prices were converted to month</w:t>
      </w:r>
      <w:r>
        <w:t xml:space="preserve"> </w:t>
      </w:r>
      <w:r w:rsidRPr="00381699">
        <w:t>end observations and simple monthly total returns. VEA has six initial missing month</w:t>
      </w:r>
      <w:r>
        <w:t xml:space="preserve"> </w:t>
      </w:r>
      <w:r w:rsidRPr="00381699">
        <w:t>end observations and BIL has four because those funds did not yet have complete trading histories at the beginning of the raw retrieval window. These pre</w:t>
      </w:r>
      <w:r>
        <w:t xml:space="preserve"> </w:t>
      </w:r>
      <w:r w:rsidRPr="00381699">
        <w:t xml:space="preserve">inception gaps occur before the January 2008 research sample and do not represent deleted observations. </w:t>
      </w:r>
      <w:r>
        <w:t xml:space="preserve">                   </w:t>
      </w:r>
      <w:r w:rsidRPr="00381699">
        <w:t>CPIAUCSL, FEDFUNDS, and USREC were retrieved from FRED using pandas</w:t>
      </w:r>
      <w:r>
        <w:t xml:space="preserve"> </w:t>
      </w:r>
      <w:r w:rsidRPr="00381699">
        <w:t xml:space="preserve">datareader version 0.11.1. Data processing used </w:t>
      </w:r>
      <w:proofErr w:type="gramStart"/>
      <w:r w:rsidRPr="00381699">
        <w:t>pandas</w:t>
      </w:r>
      <w:proofErr w:type="gramEnd"/>
      <w:r w:rsidRPr="00381699">
        <w:t xml:space="preserve"> version 3.0.3, and the complete Python environment is recorded in requirements.txt</w:t>
      </w:r>
    </w:p>
    <w:p w14:paraId="0544B443" w14:textId="77777777" w:rsidR="00E96623" w:rsidRDefault="00000000">
      <w:pPr>
        <w:keepNext/>
      </w:pPr>
      <w:r>
        <w:t>Table 3. Investable proxies</w:t>
      </w:r>
    </w:p>
    <w:tbl>
      <w:tblPr>
        <w:tblW w:w="0" w:type="auto"/>
        <w:jc w:val="center"/>
        <w:tblLook w:val="04A0" w:firstRow="1" w:lastRow="0" w:firstColumn="1" w:lastColumn="0" w:noHBand="0" w:noVBand="1"/>
      </w:tblPr>
      <w:tblGrid>
        <w:gridCol w:w="1800"/>
        <w:gridCol w:w="3168"/>
        <w:gridCol w:w="2880"/>
        <w:gridCol w:w="2304"/>
      </w:tblGrid>
      <w:tr w:rsidR="00E96623" w14:paraId="7CE28AC1" w14:textId="77777777">
        <w:trPr>
          <w:tblHeader/>
          <w:jc w:val="center"/>
        </w:trPr>
        <w:tc>
          <w:tcPr>
            <w:tcW w:w="1800" w:type="dxa"/>
            <w:shd w:val="clear" w:color="auto" w:fill="0B1F3A"/>
            <w:tcMar>
              <w:top w:w="80" w:type="dxa"/>
              <w:left w:w="80" w:type="dxa"/>
              <w:bottom w:w="80" w:type="dxa"/>
              <w:right w:w="80" w:type="dxa"/>
            </w:tcMar>
            <w:vAlign w:val="center"/>
          </w:tcPr>
          <w:p w14:paraId="37C41275" w14:textId="77777777" w:rsidR="00E96623" w:rsidRDefault="00000000">
            <w:r>
              <w:rPr>
                <w:b/>
                <w:color w:val="FFFFFF"/>
                <w:sz w:val="15"/>
              </w:rPr>
              <w:t>Exposure</w:t>
            </w:r>
          </w:p>
        </w:tc>
        <w:tc>
          <w:tcPr>
            <w:tcW w:w="3168" w:type="dxa"/>
            <w:shd w:val="clear" w:color="auto" w:fill="0B1F3A"/>
            <w:tcMar>
              <w:top w:w="80" w:type="dxa"/>
              <w:left w:w="80" w:type="dxa"/>
              <w:bottom w:w="80" w:type="dxa"/>
              <w:right w:w="80" w:type="dxa"/>
            </w:tcMar>
            <w:vAlign w:val="center"/>
          </w:tcPr>
          <w:p w14:paraId="7804DB1B" w14:textId="77777777" w:rsidR="00E96623" w:rsidRDefault="00000000">
            <w:r>
              <w:rPr>
                <w:b/>
                <w:color w:val="FFFFFF"/>
                <w:sz w:val="15"/>
              </w:rPr>
              <w:t>Proxy</w:t>
            </w:r>
          </w:p>
        </w:tc>
        <w:tc>
          <w:tcPr>
            <w:tcW w:w="2880" w:type="dxa"/>
            <w:shd w:val="clear" w:color="auto" w:fill="0B1F3A"/>
            <w:tcMar>
              <w:top w:w="80" w:type="dxa"/>
              <w:left w:w="80" w:type="dxa"/>
              <w:bottom w:w="80" w:type="dxa"/>
              <w:right w:w="80" w:type="dxa"/>
            </w:tcMar>
            <w:vAlign w:val="center"/>
          </w:tcPr>
          <w:p w14:paraId="6D569B62" w14:textId="77777777" w:rsidR="00E96623" w:rsidRDefault="00000000">
            <w:r>
              <w:rPr>
                <w:b/>
                <w:color w:val="FFFFFF"/>
                <w:sz w:val="15"/>
              </w:rPr>
              <w:t>Role in portfolio</w:t>
            </w:r>
          </w:p>
        </w:tc>
        <w:tc>
          <w:tcPr>
            <w:tcW w:w="2304" w:type="dxa"/>
            <w:shd w:val="clear" w:color="auto" w:fill="0B1F3A"/>
            <w:tcMar>
              <w:top w:w="80" w:type="dxa"/>
              <w:left w:w="80" w:type="dxa"/>
              <w:bottom w:w="80" w:type="dxa"/>
              <w:right w:w="80" w:type="dxa"/>
            </w:tcMar>
            <w:vAlign w:val="center"/>
          </w:tcPr>
          <w:p w14:paraId="2E93F31E" w14:textId="77777777" w:rsidR="00E96623" w:rsidRDefault="00000000">
            <w:r>
              <w:rPr>
                <w:b/>
                <w:color w:val="FFFFFF"/>
                <w:sz w:val="15"/>
              </w:rPr>
              <w:t>Primary risk driver</w:t>
            </w:r>
          </w:p>
        </w:tc>
      </w:tr>
      <w:tr w:rsidR="00E96623" w14:paraId="4EB3D552" w14:textId="77777777">
        <w:trPr>
          <w:jc w:val="center"/>
        </w:trPr>
        <w:tc>
          <w:tcPr>
            <w:tcW w:w="1800" w:type="dxa"/>
            <w:shd w:val="clear" w:color="auto" w:fill="FFFFFF"/>
            <w:tcMar>
              <w:top w:w="80" w:type="dxa"/>
              <w:left w:w="80" w:type="dxa"/>
              <w:bottom w:w="80" w:type="dxa"/>
              <w:right w:w="80" w:type="dxa"/>
            </w:tcMar>
            <w:vAlign w:val="center"/>
          </w:tcPr>
          <w:p w14:paraId="19F20B8C" w14:textId="77777777" w:rsidR="00E96623" w:rsidRDefault="00000000">
            <w:r>
              <w:rPr>
                <w:sz w:val="15"/>
              </w:rPr>
              <w:t>U.S. equities</w:t>
            </w:r>
          </w:p>
        </w:tc>
        <w:tc>
          <w:tcPr>
            <w:tcW w:w="3168" w:type="dxa"/>
            <w:shd w:val="clear" w:color="auto" w:fill="FFFFFF"/>
            <w:tcMar>
              <w:top w:w="80" w:type="dxa"/>
              <w:left w:w="80" w:type="dxa"/>
              <w:bottom w:w="80" w:type="dxa"/>
              <w:right w:w="80" w:type="dxa"/>
            </w:tcMar>
            <w:vAlign w:val="center"/>
          </w:tcPr>
          <w:p w14:paraId="75B1B008" w14:textId="77777777" w:rsidR="00E96623" w:rsidRDefault="00000000">
            <w:r>
              <w:rPr>
                <w:sz w:val="15"/>
              </w:rPr>
              <w:t>SPY - SPDR S&amp;P 500 ETF Trust</w:t>
            </w:r>
          </w:p>
        </w:tc>
        <w:tc>
          <w:tcPr>
            <w:tcW w:w="2880" w:type="dxa"/>
            <w:shd w:val="clear" w:color="auto" w:fill="FFFFFF"/>
            <w:tcMar>
              <w:top w:w="80" w:type="dxa"/>
              <w:left w:w="80" w:type="dxa"/>
              <w:bottom w:w="80" w:type="dxa"/>
              <w:right w:w="80" w:type="dxa"/>
            </w:tcMar>
            <w:vAlign w:val="center"/>
          </w:tcPr>
          <w:p w14:paraId="3CBB0942" w14:textId="77777777" w:rsidR="00E96623" w:rsidRDefault="00000000">
            <w:r>
              <w:rPr>
                <w:sz w:val="15"/>
              </w:rPr>
              <w:t>Long-term growth and U.S. corporate earnings</w:t>
            </w:r>
          </w:p>
        </w:tc>
        <w:tc>
          <w:tcPr>
            <w:tcW w:w="2304" w:type="dxa"/>
            <w:shd w:val="clear" w:color="auto" w:fill="FFFFFF"/>
            <w:tcMar>
              <w:top w:w="80" w:type="dxa"/>
              <w:left w:w="80" w:type="dxa"/>
              <w:bottom w:w="80" w:type="dxa"/>
              <w:right w:w="80" w:type="dxa"/>
            </w:tcMar>
            <w:vAlign w:val="center"/>
          </w:tcPr>
          <w:p w14:paraId="6E5F079C" w14:textId="77777777" w:rsidR="00E96623" w:rsidRDefault="00000000">
            <w:r>
              <w:rPr>
                <w:sz w:val="15"/>
              </w:rPr>
              <w:t>Growth, valuation, equity risk premium</w:t>
            </w:r>
          </w:p>
        </w:tc>
      </w:tr>
      <w:tr w:rsidR="00E96623" w14:paraId="7A6AD747" w14:textId="77777777">
        <w:trPr>
          <w:jc w:val="center"/>
        </w:trPr>
        <w:tc>
          <w:tcPr>
            <w:tcW w:w="1800" w:type="dxa"/>
            <w:shd w:val="clear" w:color="auto" w:fill="F2F4F7"/>
            <w:tcMar>
              <w:top w:w="80" w:type="dxa"/>
              <w:left w:w="80" w:type="dxa"/>
              <w:bottom w:w="80" w:type="dxa"/>
              <w:right w:w="80" w:type="dxa"/>
            </w:tcMar>
            <w:vAlign w:val="center"/>
          </w:tcPr>
          <w:p w14:paraId="640B891F" w14:textId="77777777" w:rsidR="00E96623" w:rsidRDefault="00000000">
            <w:r>
              <w:rPr>
                <w:sz w:val="15"/>
              </w:rPr>
              <w:t>Developed ex-U.S. equities</w:t>
            </w:r>
          </w:p>
        </w:tc>
        <w:tc>
          <w:tcPr>
            <w:tcW w:w="3168" w:type="dxa"/>
            <w:shd w:val="clear" w:color="auto" w:fill="F2F4F7"/>
            <w:tcMar>
              <w:top w:w="80" w:type="dxa"/>
              <w:left w:w="80" w:type="dxa"/>
              <w:bottom w:w="80" w:type="dxa"/>
              <w:right w:w="80" w:type="dxa"/>
            </w:tcMar>
            <w:vAlign w:val="center"/>
          </w:tcPr>
          <w:p w14:paraId="29985E67" w14:textId="77777777" w:rsidR="00E96623" w:rsidRDefault="00000000">
            <w:r>
              <w:rPr>
                <w:sz w:val="15"/>
              </w:rPr>
              <w:t>VEA - Vanguard FTSE Developed Markets ETF</w:t>
            </w:r>
          </w:p>
        </w:tc>
        <w:tc>
          <w:tcPr>
            <w:tcW w:w="2880" w:type="dxa"/>
            <w:shd w:val="clear" w:color="auto" w:fill="F2F4F7"/>
            <w:tcMar>
              <w:top w:w="80" w:type="dxa"/>
              <w:left w:w="80" w:type="dxa"/>
              <w:bottom w:w="80" w:type="dxa"/>
              <w:right w:w="80" w:type="dxa"/>
            </w:tcMar>
            <w:vAlign w:val="center"/>
          </w:tcPr>
          <w:p w14:paraId="556A5DB9" w14:textId="77777777" w:rsidR="00E96623" w:rsidRDefault="00000000">
            <w:r>
              <w:rPr>
                <w:sz w:val="15"/>
              </w:rPr>
              <w:t>Geographic and currency diversification</w:t>
            </w:r>
          </w:p>
        </w:tc>
        <w:tc>
          <w:tcPr>
            <w:tcW w:w="2304" w:type="dxa"/>
            <w:shd w:val="clear" w:color="auto" w:fill="F2F4F7"/>
            <w:tcMar>
              <w:top w:w="80" w:type="dxa"/>
              <w:left w:w="80" w:type="dxa"/>
              <w:bottom w:w="80" w:type="dxa"/>
              <w:right w:w="80" w:type="dxa"/>
            </w:tcMar>
            <w:vAlign w:val="center"/>
          </w:tcPr>
          <w:p w14:paraId="6C9A66E9" w14:textId="77777777" w:rsidR="00E96623" w:rsidRDefault="00000000">
            <w:r>
              <w:rPr>
                <w:sz w:val="15"/>
              </w:rPr>
              <w:t>Global growth, currency, regional valuation</w:t>
            </w:r>
          </w:p>
        </w:tc>
      </w:tr>
      <w:tr w:rsidR="00E96623" w14:paraId="42E02D47" w14:textId="77777777">
        <w:trPr>
          <w:jc w:val="center"/>
        </w:trPr>
        <w:tc>
          <w:tcPr>
            <w:tcW w:w="1800" w:type="dxa"/>
            <w:shd w:val="clear" w:color="auto" w:fill="FFFFFF"/>
            <w:tcMar>
              <w:top w:w="80" w:type="dxa"/>
              <w:left w:w="80" w:type="dxa"/>
              <w:bottom w:w="80" w:type="dxa"/>
              <w:right w:w="80" w:type="dxa"/>
            </w:tcMar>
            <w:vAlign w:val="center"/>
          </w:tcPr>
          <w:p w14:paraId="6FD1A884" w14:textId="77777777" w:rsidR="00E96623" w:rsidRDefault="00000000">
            <w:r>
              <w:rPr>
                <w:sz w:val="15"/>
              </w:rPr>
              <w:t>Intermediate Treasuries</w:t>
            </w:r>
          </w:p>
        </w:tc>
        <w:tc>
          <w:tcPr>
            <w:tcW w:w="3168" w:type="dxa"/>
            <w:shd w:val="clear" w:color="auto" w:fill="FFFFFF"/>
            <w:tcMar>
              <w:top w:w="80" w:type="dxa"/>
              <w:left w:w="80" w:type="dxa"/>
              <w:bottom w:w="80" w:type="dxa"/>
              <w:right w:w="80" w:type="dxa"/>
            </w:tcMar>
            <w:vAlign w:val="center"/>
          </w:tcPr>
          <w:p w14:paraId="593AB52E" w14:textId="77777777" w:rsidR="00E96623" w:rsidRDefault="00000000">
            <w:r>
              <w:rPr>
                <w:sz w:val="15"/>
              </w:rPr>
              <w:t>IEF - iShares 7-10 Year Treasury Bond ETF</w:t>
            </w:r>
          </w:p>
        </w:tc>
        <w:tc>
          <w:tcPr>
            <w:tcW w:w="2880" w:type="dxa"/>
            <w:shd w:val="clear" w:color="auto" w:fill="FFFFFF"/>
            <w:tcMar>
              <w:top w:w="80" w:type="dxa"/>
              <w:left w:w="80" w:type="dxa"/>
              <w:bottom w:w="80" w:type="dxa"/>
              <w:right w:w="80" w:type="dxa"/>
            </w:tcMar>
            <w:vAlign w:val="center"/>
          </w:tcPr>
          <w:p w14:paraId="3C458ED6" w14:textId="77777777" w:rsidR="00E96623" w:rsidRDefault="00000000">
            <w:r>
              <w:rPr>
                <w:sz w:val="15"/>
              </w:rPr>
              <w:t>Duration exposure and recession defense</w:t>
            </w:r>
          </w:p>
        </w:tc>
        <w:tc>
          <w:tcPr>
            <w:tcW w:w="2304" w:type="dxa"/>
            <w:shd w:val="clear" w:color="auto" w:fill="FFFFFF"/>
            <w:tcMar>
              <w:top w:w="80" w:type="dxa"/>
              <w:left w:w="80" w:type="dxa"/>
              <w:bottom w:w="80" w:type="dxa"/>
              <w:right w:w="80" w:type="dxa"/>
            </w:tcMar>
            <w:vAlign w:val="center"/>
          </w:tcPr>
          <w:p w14:paraId="53857B83" w14:textId="77777777" w:rsidR="00E96623" w:rsidRDefault="00000000">
            <w:r>
              <w:rPr>
                <w:sz w:val="15"/>
              </w:rPr>
              <w:t>Nominal yields, inflation expectations, term premium</w:t>
            </w:r>
          </w:p>
        </w:tc>
      </w:tr>
      <w:tr w:rsidR="00E96623" w14:paraId="69FDF348" w14:textId="77777777">
        <w:trPr>
          <w:jc w:val="center"/>
        </w:trPr>
        <w:tc>
          <w:tcPr>
            <w:tcW w:w="1800" w:type="dxa"/>
            <w:shd w:val="clear" w:color="auto" w:fill="F2F4F7"/>
            <w:tcMar>
              <w:top w:w="80" w:type="dxa"/>
              <w:left w:w="80" w:type="dxa"/>
              <w:bottom w:w="80" w:type="dxa"/>
              <w:right w:w="80" w:type="dxa"/>
            </w:tcMar>
            <w:vAlign w:val="center"/>
          </w:tcPr>
          <w:p w14:paraId="2D35CAB8" w14:textId="77777777" w:rsidR="00E96623" w:rsidRDefault="00000000">
            <w:r>
              <w:rPr>
                <w:sz w:val="15"/>
              </w:rPr>
              <w:t>Investment-grade credit</w:t>
            </w:r>
          </w:p>
        </w:tc>
        <w:tc>
          <w:tcPr>
            <w:tcW w:w="3168" w:type="dxa"/>
            <w:shd w:val="clear" w:color="auto" w:fill="F2F4F7"/>
            <w:tcMar>
              <w:top w:w="80" w:type="dxa"/>
              <w:left w:w="80" w:type="dxa"/>
              <w:bottom w:w="80" w:type="dxa"/>
              <w:right w:w="80" w:type="dxa"/>
            </w:tcMar>
            <w:vAlign w:val="center"/>
          </w:tcPr>
          <w:p w14:paraId="03AECB17" w14:textId="77777777" w:rsidR="00E96623" w:rsidRDefault="00000000">
            <w:r>
              <w:rPr>
                <w:sz w:val="15"/>
              </w:rPr>
              <w:t>LQD - iShares iBoxx $ Investment Grade Corporate Bond ETF</w:t>
            </w:r>
          </w:p>
        </w:tc>
        <w:tc>
          <w:tcPr>
            <w:tcW w:w="2880" w:type="dxa"/>
            <w:shd w:val="clear" w:color="auto" w:fill="F2F4F7"/>
            <w:tcMar>
              <w:top w:w="80" w:type="dxa"/>
              <w:left w:w="80" w:type="dxa"/>
              <w:bottom w:w="80" w:type="dxa"/>
              <w:right w:w="80" w:type="dxa"/>
            </w:tcMar>
            <w:vAlign w:val="center"/>
          </w:tcPr>
          <w:p w14:paraId="63B1E774" w14:textId="77777777" w:rsidR="00E96623" w:rsidRDefault="00000000">
            <w:r>
              <w:rPr>
                <w:sz w:val="15"/>
              </w:rPr>
              <w:t>Income and credit-spread exposure</w:t>
            </w:r>
          </w:p>
        </w:tc>
        <w:tc>
          <w:tcPr>
            <w:tcW w:w="2304" w:type="dxa"/>
            <w:shd w:val="clear" w:color="auto" w:fill="F2F4F7"/>
            <w:tcMar>
              <w:top w:w="80" w:type="dxa"/>
              <w:left w:w="80" w:type="dxa"/>
              <w:bottom w:w="80" w:type="dxa"/>
              <w:right w:w="80" w:type="dxa"/>
            </w:tcMar>
            <w:vAlign w:val="center"/>
          </w:tcPr>
          <w:p w14:paraId="3B092C86" w14:textId="77777777" w:rsidR="00E96623" w:rsidRDefault="00000000">
            <w:r>
              <w:rPr>
                <w:sz w:val="15"/>
              </w:rPr>
              <w:t>Treasury yields, credit spreads, default risk</w:t>
            </w:r>
          </w:p>
        </w:tc>
      </w:tr>
      <w:tr w:rsidR="00E96623" w14:paraId="37CD320F" w14:textId="77777777">
        <w:trPr>
          <w:jc w:val="center"/>
        </w:trPr>
        <w:tc>
          <w:tcPr>
            <w:tcW w:w="1800" w:type="dxa"/>
            <w:shd w:val="clear" w:color="auto" w:fill="FFFFFF"/>
            <w:tcMar>
              <w:top w:w="80" w:type="dxa"/>
              <w:left w:w="80" w:type="dxa"/>
              <w:bottom w:w="80" w:type="dxa"/>
              <w:right w:w="80" w:type="dxa"/>
            </w:tcMar>
            <w:vAlign w:val="center"/>
          </w:tcPr>
          <w:p w14:paraId="4E6B12DB" w14:textId="77777777" w:rsidR="00E96623" w:rsidRDefault="00000000">
            <w:r>
              <w:rPr>
                <w:sz w:val="15"/>
              </w:rPr>
              <w:t>Listed real estate</w:t>
            </w:r>
          </w:p>
        </w:tc>
        <w:tc>
          <w:tcPr>
            <w:tcW w:w="3168" w:type="dxa"/>
            <w:shd w:val="clear" w:color="auto" w:fill="FFFFFF"/>
            <w:tcMar>
              <w:top w:w="80" w:type="dxa"/>
              <w:left w:w="80" w:type="dxa"/>
              <w:bottom w:w="80" w:type="dxa"/>
              <w:right w:w="80" w:type="dxa"/>
            </w:tcMar>
            <w:vAlign w:val="center"/>
          </w:tcPr>
          <w:p w14:paraId="7CBF4581" w14:textId="77777777" w:rsidR="00E96623" w:rsidRDefault="00000000">
            <w:r>
              <w:rPr>
                <w:sz w:val="15"/>
              </w:rPr>
              <w:t>VNQ - Vanguard Real Estate ETF</w:t>
            </w:r>
          </w:p>
        </w:tc>
        <w:tc>
          <w:tcPr>
            <w:tcW w:w="2880" w:type="dxa"/>
            <w:shd w:val="clear" w:color="auto" w:fill="FFFFFF"/>
            <w:tcMar>
              <w:top w:w="80" w:type="dxa"/>
              <w:left w:w="80" w:type="dxa"/>
              <w:bottom w:w="80" w:type="dxa"/>
              <w:right w:w="80" w:type="dxa"/>
            </w:tcMar>
            <w:vAlign w:val="center"/>
          </w:tcPr>
          <w:p w14:paraId="50DA5FEC" w14:textId="77777777" w:rsidR="00E96623" w:rsidRDefault="00000000">
            <w:r>
              <w:rPr>
                <w:sz w:val="15"/>
              </w:rPr>
              <w:t>Real-asset and property-income exposure</w:t>
            </w:r>
          </w:p>
        </w:tc>
        <w:tc>
          <w:tcPr>
            <w:tcW w:w="2304" w:type="dxa"/>
            <w:shd w:val="clear" w:color="auto" w:fill="FFFFFF"/>
            <w:tcMar>
              <w:top w:w="80" w:type="dxa"/>
              <w:left w:w="80" w:type="dxa"/>
              <w:bottom w:w="80" w:type="dxa"/>
              <w:right w:w="80" w:type="dxa"/>
            </w:tcMar>
            <w:vAlign w:val="center"/>
          </w:tcPr>
          <w:p w14:paraId="649EB686" w14:textId="77777777" w:rsidR="00E96623" w:rsidRDefault="00000000">
            <w:r>
              <w:rPr>
                <w:sz w:val="15"/>
              </w:rPr>
              <w:t>Rates, property fundamentals, equity beta</w:t>
            </w:r>
          </w:p>
        </w:tc>
      </w:tr>
      <w:tr w:rsidR="00E96623" w14:paraId="12E92843" w14:textId="77777777">
        <w:trPr>
          <w:jc w:val="center"/>
        </w:trPr>
        <w:tc>
          <w:tcPr>
            <w:tcW w:w="1800" w:type="dxa"/>
            <w:shd w:val="clear" w:color="auto" w:fill="F2F4F7"/>
            <w:tcMar>
              <w:top w:w="80" w:type="dxa"/>
              <w:left w:w="80" w:type="dxa"/>
              <w:bottom w:w="80" w:type="dxa"/>
              <w:right w:w="80" w:type="dxa"/>
            </w:tcMar>
            <w:vAlign w:val="center"/>
          </w:tcPr>
          <w:p w14:paraId="56063B32" w14:textId="77777777" w:rsidR="00E96623" w:rsidRDefault="00000000">
            <w:r>
              <w:rPr>
                <w:sz w:val="15"/>
              </w:rPr>
              <w:t>Gold</w:t>
            </w:r>
          </w:p>
        </w:tc>
        <w:tc>
          <w:tcPr>
            <w:tcW w:w="3168" w:type="dxa"/>
            <w:shd w:val="clear" w:color="auto" w:fill="F2F4F7"/>
            <w:tcMar>
              <w:top w:w="80" w:type="dxa"/>
              <w:left w:w="80" w:type="dxa"/>
              <w:bottom w:w="80" w:type="dxa"/>
              <w:right w:w="80" w:type="dxa"/>
            </w:tcMar>
            <w:vAlign w:val="center"/>
          </w:tcPr>
          <w:p w14:paraId="4819CD86" w14:textId="77777777" w:rsidR="00E96623" w:rsidRDefault="00000000">
            <w:r>
              <w:rPr>
                <w:sz w:val="15"/>
              </w:rPr>
              <w:t>GLD - SPDR Gold Shares</w:t>
            </w:r>
          </w:p>
        </w:tc>
        <w:tc>
          <w:tcPr>
            <w:tcW w:w="2880" w:type="dxa"/>
            <w:shd w:val="clear" w:color="auto" w:fill="F2F4F7"/>
            <w:tcMar>
              <w:top w:w="80" w:type="dxa"/>
              <w:left w:w="80" w:type="dxa"/>
              <w:bottom w:w="80" w:type="dxa"/>
              <w:right w:w="80" w:type="dxa"/>
            </w:tcMar>
            <w:vAlign w:val="center"/>
          </w:tcPr>
          <w:p w14:paraId="20EE57C9" w14:textId="77777777" w:rsidR="00E96623" w:rsidRDefault="00000000">
            <w:r>
              <w:rPr>
                <w:sz w:val="15"/>
              </w:rPr>
              <w:t>Crisis and inflation diversification</w:t>
            </w:r>
          </w:p>
        </w:tc>
        <w:tc>
          <w:tcPr>
            <w:tcW w:w="2304" w:type="dxa"/>
            <w:shd w:val="clear" w:color="auto" w:fill="F2F4F7"/>
            <w:tcMar>
              <w:top w:w="80" w:type="dxa"/>
              <w:left w:w="80" w:type="dxa"/>
              <w:bottom w:w="80" w:type="dxa"/>
              <w:right w:w="80" w:type="dxa"/>
            </w:tcMar>
            <w:vAlign w:val="center"/>
          </w:tcPr>
          <w:p w14:paraId="72AA8625" w14:textId="77777777" w:rsidR="00E96623" w:rsidRDefault="00000000">
            <w:r>
              <w:rPr>
                <w:sz w:val="15"/>
              </w:rPr>
              <w:t>Real rates, dollar, risk aversion</w:t>
            </w:r>
          </w:p>
        </w:tc>
      </w:tr>
      <w:tr w:rsidR="00E96623" w14:paraId="22B5B3D6" w14:textId="77777777">
        <w:trPr>
          <w:jc w:val="center"/>
        </w:trPr>
        <w:tc>
          <w:tcPr>
            <w:tcW w:w="1800" w:type="dxa"/>
            <w:shd w:val="clear" w:color="auto" w:fill="FFFFFF"/>
            <w:tcMar>
              <w:top w:w="80" w:type="dxa"/>
              <w:left w:w="80" w:type="dxa"/>
              <w:bottom w:w="80" w:type="dxa"/>
              <w:right w:w="80" w:type="dxa"/>
            </w:tcMar>
            <w:vAlign w:val="center"/>
          </w:tcPr>
          <w:p w14:paraId="15BA5EB2" w14:textId="77777777" w:rsidR="00E96623" w:rsidRDefault="00000000">
            <w:r>
              <w:rPr>
                <w:sz w:val="15"/>
              </w:rPr>
              <w:t>Treasury bills / cash</w:t>
            </w:r>
          </w:p>
        </w:tc>
        <w:tc>
          <w:tcPr>
            <w:tcW w:w="3168" w:type="dxa"/>
            <w:shd w:val="clear" w:color="auto" w:fill="FFFFFF"/>
            <w:tcMar>
              <w:top w:w="80" w:type="dxa"/>
              <w:left w:w="80" w:type="dxa"/>
              <w:bottom w:w="80" w:type="dxa"/>
              <w:right w:w="80" w:type="dxa"/>
            </w:tcMar>
            <w:vAlign w:val="center"/>
          </w:tcPr>
          <w:p w14:paraId="29CF89AA" w14:textId="77777777" w:rsidR="00E96623" w:rsidRDefault="00000000">
            <w:r>
              <w:rPr>
                <w:sz w:val="15"/>
              </w:rPr>
              <w:t>BIL - SPDR Bloomberg 1-3 Month T-Bill ETF</w:t>
            </w:r>
          </w:p>
        </w:tc>
        <w:tc>
          <w:tcPr>
            <w:tcW w:w="2880" w:type="dxa"/>
            <w:shd w:val="clear" w:color="auto" w:fill="FFFFFF"/>
            <w:tcMar>
              <w:top w:w="80" w:type="dxa"/>
              <w:left w:w="80" w:type="dxa"/>
              <w:bottom w:w="80" w:type="dxa"/>
              <w:right w:w="80" w:type="dxa"/>
            </w:tcMar>
            <w:vAlign w:val="center"/>
          </w:tcPr>
          <w:p w14:paraId="19E0FEAD" w14:textId="77777777" w:rsidR="00E96623" w:rsidRDefault="00000000">
            <w:r>
              <w:rPr>
                <w:sz w:val="15"/>
              </w:rPr>
              <w:t>Liquidity and risk-free proxy</w:t>
            </w:r>
          </w:p>
        </w:tc>
        <w:tc>
          <w:tcPr>
            <w:tcW w:w="2304" w:type="dxa"/>
            <w:shd w:val="clear" w:color="auto" w:fill="FFFFFF"/>
            <w:tcMar>
              <w:top w:w="80" w:type="dxa"/>
              <w:left w:w="80" w:type="dxa"/>
              <w:bottom w:w="80" w:type="dxa"/>
              <w:right w:w="80" w:type="dxa"/>
            </w:tcMar>
            <w:vAlign w:val="center"/>
          </w:tcPr>
          <w:p w14:paraId="6796E400" w14:textId="77777777" w:rsidR="00E96623" w:rsidRDefault="00000000">
            <w:r>
              <w:rPr>
                <w:sz w:val="15"/>
              </w:rPr>
              <w:t>Short-term policy rates</w:t>
            </w:r>
          </w:p>
        </w:tc>
      </w:tr>
    </w:tbl>
    <w:p w14:paraId="2FC0D86F" w14:textId="77777777" w:rsidR="00E96623" w:rsidRDefault="00E96623">
      <w:pPr>
        <w:spacing w:after="0"/>
      </w:pPr>
    </w:p>
    <w:p w14:paraId="143BDCF0" w14:textId="77777777" w:rsidR="00E96623" w:rsidRDefault="00000000">
      <w:pPr>
        <w:pStyle w:val="Heading2"/>
        <w:pageBreakBefore/>
      </w:pPr>
      <w:r>
        <w:rPr>
          <w:rFonts w:ascii="Cambria" w:hAnsi="Cambria"/>
        </w:rPr>
        <w:lastRenderedPageBreak/>
        <w:t>4.2 Macroeconomic Variables</w:t>
      </w:r>
    </w:p>
    <w:p w14:paraId="5797A905" w14:textId="77777777" w:rsidR="00E96623" w:rsidRDefault="00000000">
      <w:pPr>
        <w:pStyle w:val="BodyText"/>
        <w:ind w:firstLine="360"/>
      </w:pPr>
      <w:r>
        <w:t>Headline inflation is measured using CPIAUCSL, and monetary-policy direction is measured using FEDFUNDS. To prevent look-ahead bias, the regime strategy uses a two-month signal lag. Because BLS did not publish a complete October 2025 CPI index during the 2025 federal shutdown, the strategy retains the latest genuinely available inflation observation rather than interpolating a new index value.</w:t>
      </w:r>
    </w:p>
    <w:p w14:paraId="703C09BE" w14:textId="77777777" w:rsidR="00E96623" w:rsidRDefault="00000000">
      <w:pPr>
        <w:keepNext/>
      </w:pPr>
      <w:r>
        <w:rPr>
          <w:b/>
          <w:color w:val="0B1F3A"/>
          <w:sz w:val="19"/>
        </w:rPr>
        <w:t>Table 4. Macroeconomic data architecture</w:t>
      </w:r>
    </w:p>
    <w:tbl>
      <w:tblPr>
        <w:tblW w:w="0" w:type="auto"/>
        <w:jc w:val="center"/>
        <w:tblLook w:val="04A0" w:firstRow="1" w:lastRow="0" w:firstColumn="1" w:lastColumn="0" w:noHBand="0" w:noVBand="1"/>
      </w:tblPr>
      <w:tblGrid>
        <w:gridCol w:w="1676"/>
        <w:gridCol w:w="2508"/>
        <w:gridCol w:w="3602"/>
        <w:gridCol w:w="2368"/>
      </w:tblGrid>
      <w:tr w:rsidR="00E96623" w14:paraId="73D16518" w14:textId="77777777">
        <w:trPr>
          <w:jc w:val="center"/>
        </w:trPr>
        <w:tc>
          <w:tcPr>
            <w:tcW w:w="1728" w:type="dxa"/>
            <w:shd w:val="clear" w:color="auto" w:fill="0B1F3A"/>
            <w:tcMar>
              <w:top w:w="80" w:type="dxa"/>
              <w:left w:w="80" w:type="dxa"/>
              <w:bottom w:w="80" w:type="dxa"/>
              <w:right w:w="80" w:type="dxa"/>
            </w:tcMar>
            <w:vAlign w:val="center"/>
          </w:tcPr>
          <w:p w14:paraId="4A4EB190" w14:textId="77777777" w:rsidR="00E96623" w:rsidRDefault="00000000">
            <w:r>
              <w:rPr>
                <w:b/>
                <w:color w:val="FFFFFF"/>
                <w:sz w:val="15"/>
              </w:rPr>
              <w:t>Variable</w:t>
            </w:r>
          </w:p>
        </w:tc>
        <w:tc>
          <w:tcPr>
            <w:tcW w:w="2592" w:type="dxa"/>
            <w:shd w:val="clear" w:color="auto" w:fill="0B1F3A"/>
            <w:tcMar>
              <w:top w:w="80" w:type="dxa"/>
              <w:left w:w="80" w:type="dxa"/>
              <w:bottom w:w="80" w:type="dxa"/>
              <w:right w:w="80" w:type="dxa"/>
            </w:tcMar>
            <w:vAlign w:val="center"/>
          </w:tcPr>
          <w:p w14:paraId="47FEBEBF" w14:textId="77777777" w:rsidR="00E96623" w:rsidRDefault="00000000">
            <w:r>
              <w:rPr>
                <w:b/>
                <w:color w:val="FFFFFF"/>
                <w:sz w:val="15"/>
              </w:rPr>
              <w:t>Series/source</w:t>
            </w:r>
          </w:p>
        </w:tc>
        <w:tc>
          <w:tcPr>
            <w:tcW w:w="3744" w:type="dxa"/>
            <w:shd w:val="clear" w:color="auto" w:fill="0B1F3A"/>
            <w:tcMar>
              <w:top w:w="80" w:type="dxa"/>
              <w:left w:w="80" w:type="dxa"/>
              <w:bottom w:w="80" w:type="dxa"/>
              <w:right w:w="80" w:type="dxa"/>
            </w:tcMar>
            <w:vAlign w:val="center"/>
          </w:tcPr>
          <w:p w14:paraId="12E892A3" w14:textId="77777777" w:rsidR="00E96623" w:rsidRDefault="00000000">
            <w:r>
              <w:rPr>
                <w:b/>
                <w:color w:val="FFFFFF"/>
                <w:sz w:val="15"/>
              </w:rPr>
              <w:t>Transformation</w:t>
            </w:r>
          </w:p>
        </w:tc>
        <w:tc>
          <w:tcPr>
            <w:tcW w:w="2448" w:type="dxa"/>
            <w:shd w:val="clear" w:color="auto" w:fill="0B1F3A"/>
            <w:tcMar>
              <w:top w:w="80" w:type="dxa"/>
              <w:left w:w="80" w:type="dxa"/>
              <w:bottom w:w="80" w:type="dxa"/>
              <w:right w:w="80" w:type="dxa"/>
            </w:tcMar>
            <w:vAlign w:val="center"/>
          </w:tcPr>
          <w:p w14:paraId="7F4E243E" w14:textId="77777777" w:rsidR="00E96623" w:rsidRDefault="00000000">
            <w:r>
              <w:rPr>
                <w:b/>
                <w:color w:val="FFFFFF"/>
                <w:sz w:val="15"/>
              </w:rPr>
              <w:t>Use</w:t>
            </w:r>
          </w:p>
        </w:tc>
      </w:tr>
      <w:tr w:rsidR="00E96623" w14:paraId="016DC674" w14:textId="77777777">
        <w:trPr>
          <w:jc w:val="center"/>
        </w:trPr>
        <w:tc>
          <w:tcPr>
            <w:tcW w:w="1728" w:type="dxa"/>
            <w:shd w:val="clear" w:color="auto" w:fill="FFFFFF"/>
            <w:tcMar>
              <w:top w:w="80" w:type="dxa"/>
              <w:left w:w="80" w:type="dxa"/>
              <w:bottom w:w="80" w:type="dxa"/>
              <w:right w:w="80" w:type="dxa"/>
            </w:tcMar>
            <w:vAlign w:val="center"/>
          </w:tcPr>
          <w:p w14:paraId="43202C40" w14:textId="77777777" w:rsidR="00E96623" w:rsidRDefault="00000000">
            <w:r>
              <w:rPr>
                <w:sz w:val="15"/>
              </w:rPr>
              <w:t>Headline inflation</w:t>
            </w:r>
          </w:p>
        </w:tc>
        <w:tc>
          <w:tcPr>
            <w:tcW w:w="2592" w:type="dxa"/>
            <w:shd w:val="clear" w:color="auto" w:fill="FFFFFF"/>
            <w:tcMar>
              <w:top w:w="80" w:type="dxa"/>
              <w:left w:w="80" w:type="dxa"/>
              <w:bottom w:w="80" w:type="dxa"/>
              <w:right w:w="80" w:type="dxa"/>
            </w:tcMar>
            <w:vAlign w:val="center"/>
          </w:tcPr>
          <w:p w14:paraId="444E67B2" w14:textId="77777777" w:rsidR="00E96623" w:rsidRDefault="00000000">
            <w:r>
              <w:rPr>
                <w:sz w:val="15"/>
              </w:rPr>
              <w:t>CPIAUCSL, FRED/BLS</w:t>
            </w:r>
          </w:p>
        </w:tc>
        <w:tc>
          <w:tcPr>
            <w:tcW w:w="3744" w:type="dxa"/>
            <w:shd w:val="clear" w:color="auto" w:fill="FFFFFF"/>
            <w:tcMar>
              <w:top w:w="80" w:type="dxa"/>
              <w:left w:w="80" w:type="dxa"/>
              <w:bottom w:w="80" w:type="dxa"/>
              <w:right w:w="80" w:type="dxa"/>
            </w:tcMar>
            <w:vAlign w:val="center"/>
          </w:tcPr>
          <w:p w14:paraId="0EECE658" w14:textId="77777777" w:rsidR="00E96623" w:rsidRDefault="00000000">
            <w:r>
              <w:rPr>
                <w:sz w:val="15"/>
              </w:rPr>
              <w:t>Year-over-year change; two-month signal lag; last published value retained when a release is unavailable</w:t>
            </w:r>
          </w:p>
        </w:tc>
        <w:tc>
          <w:tcPr>
            <w:tcW w:w="2448" w:type="dxa"/>
            <w:shd w:val="clear" w:color="auto" w:fill="FFFFFF"/>
            <w:tcMar>
              <w:top w:w="80" w:type="dxa"/>
              <w:left w:w="80" w:type="dxa"/>
              <w:bottom w:w="80" w:type="dxa"/>
              <w:right w:w="80" w:type="dxa"/>
            </w:tcMar>
            <w:vAlign w:val="center"/>
          </w:tcPr>
          <w:p w14:paraId="314D66CE" w14:textId="77777777" w:rsidR="00E96623" w:rsidRDefault="00000000">
            <w:r>
              <w:rPr>
                <w:sz w:val="15"/>
              </w:rPr>
              <w:t>Inflation trend and real-growth measurement</w:t>
            </w:r>
          </w:p>
        </w:tc>
      </w:tr>
      <w:tr w:rsidR="00E96623" w14:paraId="41A2D9C2" w14:textId="77777777">
        <w:trPr>
          <w:jc w:val="center"/>
        </w:trPr>
        <w:tc>
          <w:tcPr>
            <w:tcW w:w="1728" w:type="dxa"/>
            <w:shd w:val="clear" w:color="auto" w:fill="F2F4F7"/>
            <w:tcMar>
              <w:top w:w="80" w:type="dxa"/>
              <w:left w:w="80" w:type="dxa"/>
              <w:bottom w:w="80" w:type="dxa"/>
              <w:right w:w="80" w:type="dxa"/>
            </w:tcMar>
            <w:vAlign w:val="center"/>
          </w:tcPr>
          <w:p w14:paraId="6B630CE8" w14:textId="77777777" w:rsidR="00E96623" w:rsidRDefault="00000000">
            <w:r>
              <w:rPr>
                <w:sz w:val="15"/>
              </w:rPr>
              <w:t>Policy rate</w:t>
            </w:r>
          </w:p>
        </w:tc>
        <w:tc>
          <w:tcPr>
            <w:tcW w:w="2592" w:type="dxa"/>
            <w:shd w:val="clear" w:color="auto" w:fill="F2F4F7"/>
            <w:tcMar>
              <w:top w:w="80" w:type="dxa"/>
              <w:left w:w="80" w:type="dxa"/>
              <w:bottom w:w="80" w:type="dxa"/>
              <w:right w:w="80" w:type="dxa"/>
            </w:tcMar>
            <w:vAlign w:val="center"/>
          </w:tcPr>
          <w:p w14:paraId="51F30609" w14:textId="77777777" w:rsidR="00E96623" w:rsidRDefault="00000000">
            <w:r>
              <w:rPr>
                <w:sz w:val="15"/>
              </w:rPr>
              <w:t>FEDFUNDS, FRED</w:t>
            </w:r>
          </w:p>
        </w:tc>
        <w:tc>
          <w:tcPr>
            <w:tcW w:w="3744" w:type="dxa"/>
            <w:shd w:val="clear" w:color="auto" w:fill="F2F4F7"/>
            <w:tcMar>
              <w:top w:w="80" w:type="dxa"/>
              <w:left w:w="80" w:type="dxa"/>
              <w:bottom w:w="80" w:type="dxa"/>
              <w:right w:w="80" w:type="dxa"/>
            </w:tcMar>
            <w:vAlign w:val="center"/>
          </w:tcPr>
          <w:p w14:paraId="733B5FE8" w14:textId="77777777" w:rsidR="00E96623" w:rsidRDefault="00000000">
            <w:r>
              <w:rPr>
                <w:sz w:val="15"/>
              </w:rPr>
              <w:t>Six-month change after a two-month signal lag</w:t>
            </w:r>
          </w:p>
        </w:tc>
        <w:tc>
          <w:tcPr>
            <w:tcW w:w="2448" w:type="dxa"/>
            <w:shd w:val="clear" w:color="auto" w:fill="F2F4F7"/>
            <w:tcMar>
              <w:top w:w="80" w:type="dxa"/>
              <w:left w:w="80" w:type="dxa"/>
              <w:bottom w:w="80" w:type="dxa"/>
              <w:right w:w="80" w:type="dxa"/>
            </w:tcMar>
            <w:vAlign w:val="center"/>
          </w:tcPr>
          <w:p w14:paraId="47DB42EA" w14:textId="77777777" w:rsidR="00E96623" w:rsidRDefault="00000000">
            <w:r>
              <w:rPr>
                <w:sz w:val="15"/>
              </w:rPr>
              <w:t>Tightening versus easing classification</w:t>
            </w:r>
          </w:p>
        </w:tc>
      </w:tr>
      <w:tr w:rsidR="00E96623" w14:paraId="0A987FC0" w14:textId="77777777">
        <w:trPr>
          <w:jc w:val="center"/>
        </w:trPr>
        <w:tc>
          <w:tcPr>
            <w:tcW w:w="1728" w:type="dxa"/>
            <w:shd w:val="clear" w:color="auto" w:fill="FFFFFF"/>
            <w:tcMar>
              <w:top w:w="80" w:type="dxa"/>
              <w:left w:w="80" w:type="dxa"/>
              <w:bottom w:w="80" w:type="dxa"/>
              <w:right w:w="80" w:type="dxa"/>
            </w:tcMar>
            <w:vAlign w:val="center"/>
          </w:tcPr>
          <w:p w14:paraId="1F88BDA5" w14:textId="77777777" w:rsidR="00E96623" w:rsidRDefault="00000000">
            <w:r>
              <w:rPr>
                <w:sz w:val="15"/>
              </w:rPr>
              <w:t>Cash / risk-free proxy</w:t>
            </w:r>
          </w:p>
        </w:tc>
        <w:tc>
          <w:tcPr>
            <w:tcW w:w="2592" w:type="dxa"/>
            <w:shd w:val="clear" w:color="auto" w:fill="FFFFFF"/>
            <w:tcMar>
              <w:top w:w="80" w:type="dxa"/>
              <w:left w:w="80" w:type="dxa"/>
              <w:bottom w:w="80" w:type="dxa"/>
              <w:right w:w="80" w:type="dxa"/>
            </w:tcMar>
            <w:vAlign w:val="center"/>
          </w:tcPr>
          <w:p w14:paraId="5BE0386F" w14:textId="77777777" w:rsidR="00E96623" w:rsidRDefault="00000000">
            <w:r>
              <w:rPr>
                <w:sz w:val="15"/>
              </w:rPr>
              <w:t>BIL adjusted total return</w:t>
            </w:r>
          </w:p>
        </w:tc>
        <w:tc>
          <w:tcPr>
            <w:tcW w:w="3744" w:type="dxa"/>
            <w:shd w:val="clear" w:color="auto" w:fill="FFFFFF"/>
            <w:tcMar>
              <w:top w:w="80" w:type="dxa"/>
              <w:left w:w="80" w:type="dxa"/>
              <w:bottom w:w="80" w:type="dxa"/>
              <w:right w:w="80" w:type="dxa"/>
            </w:tcMar>
            <w:vAlign w:val="center"/>
          </w:tcPr>
          <w:p w14:paraId="43E1DDD4" w14:textId="77777777" w:rsidR="00E96623" w:rsidRDefault="00000000">
            <w:r>
              <w:rPr>
                <w:sz w:val="15"/>
              </w:rPr>
              <w:t>Monthly ETF total return</w:t>
            </w:r>
          </w:p>
        </w:tc>
        <w:tc>
          <w:tcPr>
            <w:tcW w:w="2448" w:type="dxa"/>
            <w:shd w:val="clear" w:color="auto" w:fill="FFFFFF"/>
            <w:tcMar>
              <w:top w:w="80" w:type="dxa"/>
              <w:left w:w="80" w:type="dxa"/>
              <w:bottom w:w="80" w:type="dxa"/>
              <w:right w:w="80" w:type="dxa"/>
            </w:tcMar>
            <w:vAlign w:val="center"/>
          </w:tcPr>
          <w:p w14:paraId="4B07F03F" w14:textId="77777777" w:rsidR="00E96623" w:rsidRDefault="00000000">
            <w:r>
              <w:rPr>
                <w:sz w:val="15"/>
              </w:rPr>
              <w:t>Sharpe ratio and portfolio cash sleeve</w:t>
            </w:r>
          </w:p>
        </w:tc>
      </w:tr>
      <w:tr w:rsidR="00E96623" w14:paraId="3DD5ADEF" w14:textId="77777777">
        <w:trPr>
          <w:jc w:val="center"/>
        </w:trPr>
        <w:tc>
          <w:tcPr>
            <w:tcW w:w="1728" w:type="dxa"/>
            <w:shd w:val="clear" w:color="auto" w:fill="F2F4F7"/>
            <w:tcMar>
              <w:top w:w="80" w:type="dxa"/>
              <w:left w:w="80" w:type="dxa"/>
              <w:bottom w:w="80" w:type="dxa"/>
              <w:right w:w="80" w:type="dxa"/>
            </w:tcMar>
            <w:vAlign w:val="center"/>
          </w:tcPr>
          <w:p w14:paraId="17699A95" w14:textId="77777777" w:rsidR="00E96623" w:rsidRDefault="00000000">
            <w:r>
              <w:rPr>
                <w:sz w:val="15"/>
              </w:rPr>
              <w:t>Recession indicator</w:t>
            </w:r>
          </w:p>
        </w:tc>
        <w:tc>
          <w:tcPr>
            <w:tcW w:w="2592" w:type="dxa"/>
            <w:shd w:val="clear" w:color="auto" w:fill="F2F4F7"/>
            <w:tcMar>
              <w:top w:w="80" w:type="dxa"/>
              <w:left w:w="80" w:type="dxa"/>
              <w:bottom w:w="80" w:type="dxa"/>
              <w:right w:w="80" w:type="dxa"/>
            </w:tcMar>
            <w:vAlign w:val="center"/>
          </w:tcPr>
          <w:p w14:paraId="495BF196" w14:textId="77777777" w:rsidR="00E96623" w:rsidRDefault="00000000">
            <w:r>
              <w:rPr>
                <w:sz w:val="15"/>
              </w:rPr>
              <w:t>USREC, FRED / NBER chronology</w:t>
            </w:r>
          </w:p>
        </w:tc>
        <w:tc>
          <w:tcPr>
            <w:tcW w:w="3744" w:type="dxa"/>
            <w:shd w:val="clear" w:color="auto" w:fill="F2F4F7"/>
            <w:tcMar>
              <w:top w:w="80" w:type="dxa"/>
              <w:left w:w="80" w:type="dxa"/>
              <w:bottom w:w="80" w:type="dxa"/>
              <w:right w:w="80" w:type="dxa"/>
            </w:tcMar>
            <w:vAlign w:val="center"/>
          </w:tcPr>
          <w:p w14:paraId="674FEED1" w14:textId="77777777" w:rsidR="00E96623" w:rsidRDefault="00000000">
            <w:r>
              <w:rPr>
                <w:sz w:val="15"/>
              </w:rPr>
              <w:t>Monthly 0/1 indicator</w:t>
            </w:r>
          </w:p>
        </w:tc>
        <w:tc>
          <w:tcPr>
            <w:tcW w:w="2448" w:type="dxa"/>
            <w:shd w:val="clear" w:color="auto" w:fill="F2F4F7"/>
            <w:tcMar>
              <w:top w:w="80" w:type="dxa"/>
              <w:left w:w="80" w:type="dxa"/>
              <w:bottom w:w="80" w:type="dxa"/>
              <w:right w:w="80" w:type="dxa"/>
            </w:tcMar>
            <w:vAlign w:val="center"/>
          </w:tcPr>
          <w:p w14:paraId="0089B447" w14:textId="77777777" w:rsidR="00E96623" w:rsidRDefault="00000000">
            <w:r>
              <w:rPr>
                <w:sz w:val="15"/>
              </w:rPr>
              <w:t>Stress-period reporting</w:t>
            </w:r>
          </w:p>
        </w:tc>
      </w:tr>
    </w:tbl>
    <w:p w14:paraId="497E6EC2" w14:textId="77777777" w:rsidR="00E96623" w:rsidRDefault="00E96623">
      <w:pPr>
        <w:spacing w:after="0"/>
      </w:pPr>
    </w:p>
    <w:p w14:paraId="126BF1FB" w14:textId="77777777" w:rsidR="00E96623" w:rsidRDefault="00000000">
      <w:pPr>
        <w:pStyle w:val="Heading2"/>
      </w:pPr>
      <w:r>
        <w:rPr>
          <w:rFonts w:ascii="Cambria" w:hAnsi="Cambria"/>
        </w:rPr>
        <w:t>4.3 Return Construction and Data Cleaning</w:t>
      </w:r>
    </w:p>
    <w:p w14:paraId="522ED411" w14:textId="77777777" w:rsidR="00E96623" w:rsidRDefault="00000000">
      <w:pPr>
        <w:pStyle w:val="BodyText"/>
        <w:ind w:firstLine="360"/>
      </w:pPr>
      <w:r>
        <w:t>Adjusted prices were converted to simple monthly total returns. All series were aligned to the final available trading date of each calendar month. Missing observations were not forward-filled across a month without documentation. The common sample began only after every ETF proxy had a valid return, and the validation report recorded missing values, duplicate dates, non-month-end dates, and extreme-return checks.</w:t>
      </w:r>
    </w:p>
    <w:tbl>
      <w:tblPr>
        <w:tblW w:w="0" w:type="auto"/>
        <w:jc w:val="center"/>
        <w:tblLayout w:type="fixed"/>
        <w:tblLook w:val="04A0" w:firstRow="1" w:lastRow="0" w:firstColumn="1" w:lastColumn="0" w:noHBand="0" w:noVBand="1"/>
      </w:tblPr>
      <w:tblGrid>
        <w:gridCol w:w="4997"/>
        <w:gridCol w:w="4997"/>
      </w:tblGrid>
      <w:tr w:rsidR="00E96623" w14:paraId="06667DF3" w14:textId="77777777">
        <w:trPr>
          <w:jc w:val="center"/>
        </w:trPr>
        <w:tc>
          <w:tcPr>
            <w:tcW w:w="4997" w:type="dxa"/>
            <w:tcBorders>
              <w:top w:val="nil"/>
              <w:left w:val="nil"/>
              <w:bottom w:val="nil"/>
              <w:right w:val="nil"/>
            </w:tcBorders>
            <w:shd w:val="clear" w:color="auto" w:fill="FFFFFF"/>
          </w:tcPr>
          <w:p w14:paraId="698A7E9E" w14:textId="77777777" w:rsidR="00E96623" w:rsidRDefault="00000000">
            <w:pPr>
              <w:jc w:val="center"/>
            </w:pPr>
            <w:r>
              <w:rPr>
                <w:rFonts w:ascii="Cambria Math" w:hAnsi="Cambria Math"/>
                <w:sz w:val="22"/>
              </w:rPr>
              <w:t>rᵢ,ₜ = (Pᵢ,ₜ / Pᵢ,ₜ₋₁) − 1</w:t>
            </w:r>
          </w:p>
        </w:tc>
        <w:tc>
          <w:tcPr>
            <w:tcW w:w="4997" w:type="dxa"/>
            <w:tcBorders>
              <w:top w:val="nil"/>
              <w:left w:val="nil"/>
              <w:bottom w:val="nil"/>
              <w:right w:val="nil"/>
            </w:tcBorders>
            <w:shd w:val="clear" w:color="auto" w:fill="FFFFFF"/>
          </w:tcPr>
          <w:p w14:paraId="01286991" w14:textId="77777777" w:rsidR="00E96623" w:rsidRDefault="00000000">
            <w:pPr>
              <w:jc w:val="right"/>
            </w:pPr>
            <w:r>
              <w:rPr>
                <w:sz w:val="20"/>
              </w:rPr>
              <w:t>(1)</w:t>
            </w:r>
          </w:p>
        </w:tc>
      </w:tr>
    </w:tbl>
    <w:p w14:paraId="24FA9571" w14:textId="77777777" w:rsidR="00E96623" w:rsidRDefault="00000000" w:rsidP="008340B6">
      <w:pPr>
        <w:pStyle w:val="BodyText"/>
      </w:pPr>
      <w:r>
        <w:t>Real CAGR is calculated by dividing cumulative nominal portfolio growth by the cumulative CPI growth factor between December 2012 and December 2025, then annualizing the resulting real wealth ratio. This endpoint method avoids inventing a missing monthly October 2025 CPI observation.</w:t>
      </w:r>
    </w:p>
    <w:tbl>
      <w:tblPr>
        <w:tblW w:w="0" w:type="auto"/>
        <w:jc w:val="center"/>
        <w:tblLayout w:type="fixed"/>
        <w:tblLook w:val="04A0" w:firstRow="1" w:lastRow="0" w:firstColumn="1" w:lastColumn="0" w:noHBand="0" w:noVBand="1"/>
      </w:tblPr>
      <w:tblGrid>
        <w:gridCol w:w="4997"/>
        <w:gridCol w:w="4997"/>
      </w:tblGrid>
      <w:tr w:rsidR="00E96623" w14:paraId="042C9AC7" w14:textId="77777777" w:rsidTr="008340B6">
        <w:trPr>
          <w:jc w:val="center"/>
        </w:trPr>
        <w:tc>
          <w:tcPr>
            <w:tcW w:w="4997" w:type="dxa"/>
            <w:tcBorders>
              <w:top w:val="nil"/>
              <w:left w:val="nil"/>
              <w:bottom w:val="nil"/>
              <w:right w:val="nil"/>
            </w:tcBorders>
            <w:shd w:val="clear" w:color="auto" w:fill="FFFFFF"/>
            <w:vAlign w:val="center"/>
          </w:tcPr>
          <w:p w14:paraId="273BA7F3" w14:textId="77777777" w:rsidR="00B8284F" w:rsidRPr="008340B6" w:rsidRDefault="00B8284F" w:rsidP="008340B6">
            <m:oMathPara>
              <m:oMathParaPr>
                <m:jc m:val="center"/>
              </m:oMathParaPr>
              <m:oMath>
                <m:r>
                  <w:rPr>
                    <w:rFonts w:ascii="Cambria Math" w:hAnsi="Cambria Math"/>
                  </w:rPr>
                  <m:t>Real CAGR=</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T</m:t>
                                    </m:r>
                                  </m:sub>
                                </m:sSub>
                              </m:num>
                              <m:den>
                                <m:sSub>
                                  <m:sSubPr>
                                    <m:ctrlPr>
                                      <w:rPr>
                                        <w:rFonts w:ascii="Cambria Math" w:hAnsi="Cambria Math"/>
                                        <w:i/>
                                      </w:rPr>
                                    </m:ctrlPr>
                                  </m:sSubPr>
                                  <m:e>
                                    <m:r>
                                      <w:rPr>
                                        <w:rFonts w:ascii="Cambria Math" w:hAnsi="Cambria Math"/>
                                      </w:rPr>
                                      <m:t>W</m:t>
                                    </m:r>
                                  </m:e>
                                  <m:sub>
                                    <m:r>
                                      <w:rPr>
                                        <w:rFonts w:ascii="Cambria Math" w:hAnsi="Cambria Math"/>
                                      </w:rPr>
                                      <m:t>0</m:t>
                                    </m:r>
                                  </m:sub>
                                </m:sSub>
                              </m:den>
                            </m:f>
                          </m:num>
                          <m:den>
                            <m:f>
                              <m:fPr>
                                <m:ctrlPr>
                                  <w:rPr>
                                    <w:rFonts w:ascii="Cambria Math" w:hAnsi="Cambria Math"/>
                                    <w:i/>
                                  </w:rPr>
                                </m:ctrlPr>
                              </m:fPr>
                              <m:num>
                                <m:r>
                                  <w:rPr>
                                    <w:rFonts w:ascii="Cambria Math" w:hAnsi="Cambria Math"/>
                                  </w:rPr>
                                  <m:t>CP</m:t>
                                </m:r>
                                <m:sSub>
                                  <m:sSubPr>
                                    <m:ctrlPr>
                                      <w:rPr>
                                        <w:rFonts w:ascii="Cambria Math" w:hAnsi="Cambria Math"/>
                                        <w:i/>
                                      </w:rPr>
                                    </m:ctrlPr>
                                  </m:sSubPr>
                                  <m:e>
                                    <m:r>
                                      <w:rPr>
                                        <w:rFonts w:ascii="Cambria Math" w:hAnsi="Cambria Math"/>
                                      </w:rPr>
                                      <m:t>I</m:t>
                                    </m:r>
                                  </m:e>
                                  <m:sub>
                                    <m:r>
                                      <w:rPr>
                                        <w:rFonts w:ascii="Cambria Math" w:hAnsi="Cambria Math"/>
                                      </w:rPr>
                                      <m:t>T</m:t>
                                    </m:r>
                                  </m:sub>
                                </m:sSub>
                              </m:num>
                              <m:den>
                                <m:r>
                                  <w:rPr>
                                    <w:rFonts w:ascii="Cambria Math" w:hAnsi="Cambria Math"/>
                                  </w:rPr>
                                  <m:t>CP</m:t>
                                </m:r>
                                <m:sSub>
                                  <m:sSubPr>
                                    <m:ctrlPr>
                                      <w:rPr>
                                        <w:rFonts w:ascii="Cambria Math" w:hAnsi="Cambria Math"/>
                                        <w:i/>
                                      </w:rPr>
                                    </m:ctrlPr>
                                  </m:sSubPr>
                                  <m:e>
                                    <m:r>
                                      <w:rPr>
                                        <w:rFonts w:ascii="Cambria Math" w:hAnsi="Cambria Math"/>
                                      </w:rPr>
                                      <m:t>I</m:t>
                                    </m:r>
                                  </m:e>
                                  <m:sub>
                                    <m:r>
                                      <w:rPr>
                                        <w:rFonts w:ascii="Cambria Math" w:hAnsi="Cambria Math"/>
                                      </w:rPr>
                                      <m:t>0</m:t>
                                    </m:r>
                                  </m:sub>
                                </m:sSub>
                              </m:den>
                            </m:f>
                          </m:den>
                        </m:f>
                      </m:e>
                    </m:d>
                  </m:e>
                  <m:sup>
                    <m:f>
                      <m:fPr>
                        <m:ctrlPr>
                          <w:rPr>
                            <w:rFonts w:ascii="Cambria Math" w:hAnsi="Cambria Math"/>
                            <w:i/>
                          </w:rPr>
                        </m:ctrlPr>
                      </m:fPr>
                      <m:num>
                        <m:r>
                          <w:rPr>
                            <w:rFonts w:ascii="Cambria Math" w:hAnsi="Cambria Math"/>
                          </w:rPr>
                          <m:t>12</m:t>
                        </m:r>
                      </m:num>
                      <m:den>
                        <m:r>
                          <w:rPr>
                            <w:rFonts w:ascii="Cambria Math" w:hAnsi="Cambria Math"/>
                          </w:rPr>
                          <m:t>N</m:t>
                        </m:r>
                      </m:den>
                    </m:f>
                  </m:sup>
                </m:sSup>
                <m:r>
                  <w:rPr>
                    <w:rFonts w:ascii="Cambria Math" w:hAnsi="Cambria Math"/>
                  </w:rPr>
                  <m:t>-</m:t>
                </m:r>
                <m:r>
                  <w:rPr>
                    <w:rFonts w:ascii="Cambria Math" w:hAnsi="Cambria Math"/>
                  </w:rPr>
                  <m:t>1</m:t>
                </m:r>
              </m:oMath>
            </m:oMathPara>
          </w:p>
          <w:p w14:paraId="3C43DDEF" w14:textId="6C799FAC" w:rsidR="00B8284F" w:rsidRPr="00B8284F" w:rsidRDefault="003E63AB" w:rsidP="008340B6">
            <w:r>
              <w:t xml:space="preserve">where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w:t>
            </w:r>
            <w:r>
              <w:t xml:space="preserve">is cumulative nominal portfolio growth, </w:t>
            </w:r>
            <m:oMath>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CP</m:t>
              </m:r>
              <m:sSub>
                <m:sSubPr>
                  <m:ctrlPr>
                    <w:rPr>
                      <w:rFonts w:ascii="Cambria Math" w:hAnsi="Cambria Math"/>
                    </w:rPr>
                  </m:ctrlPr>
                </m:sSubPr>
                <m:e>
                  <m:r>
                    <w:rPr>
                      <w:rFonts w:ascii="Cambria Math" w:hAnsi="Cambria Math"/>
                    </w:rPr>
                    <m:t>I</m:t>
                  </m:r>
                </m:e>
                <m:sub>
                  <m:r>
                    <w:rPr>
                      <w:rFonts w:ascii="Cambria Math" w:hAnsi="Cambria Math"/>
                    </w:rPr>
                    <m:t>0</m:t>
                  </m:r>
                  <m:r>
                    <w:rPr>
                      <w:rFonts w:ascii="Cambria Math" w:hAnsi="Cambria Math"/>
                    </w:rPr>
                    <m:t xml:space="preserve">  </m:t>
                  </m:r>
                </m:sub>
              </m:sSub>
            </m:oMath>
            <w:r>
              <w:t xml:space="preserve">is cumulative CPI growth, and </w:t>
            </w:r>
            <w:r>
              <w:t xml:space="preserve">          </w:t>
            </w:r>
            <m:oMath>
              <m:r>
                <w:rPr>
                  <w:rFonts w:ascii="Cambria Math" w:hAnsi="Cambria Math"/>
                </w:rPr>
                <m:t>N</m:t>
              </m:r>
            </m:oMath>
            <w:r>
              <w:t xml:space="preserve"> </w:t>
            </w:r>
            <w:r>
              <w:t>is the number of monthly observations</w:t>
            </w:r>
            <w:r w:rsidR="008340B6">
              <w:t>.</w:t>
            </w:r>
          </w:p>
        </w:tc>
        <w:tc>
          <w:tcPr>
            <w:tcW w:w="4997" w:type="dxa"/>
            <w:tcBorders>
              <w:top w:val="nil"/>
              <w:left w:val="nil"/>
              <w:bottom w:val="nil"/>
              <w:right w:val="nil"/>
            </w:tcBorders>
            <w:shd w:val="clear" w:color="auto" w:fill="FFFFFF"/>
          </w:tcPr>
          <w:p w14:paraId="12A5F820" w14:textId="77777777" w:rsidR="00E96623" w:rsidRDefault="00000000">
            <w:pPr>
              <w:jc w:val="right"/>
            </w:pPr>
            <w:r>
              <w:rPr>
                <w:sz w:val="20"/>
              </w:rPr>
              <w:t>(2)</w:t>
            </w:r>
          </w:p>
        </w:tc>
      </w:tr>
    </w:tbl>
    <w:p w14:paraId="3E3A6BC8" w14:textId="4A57D8E9" w:rsidR="00E96623" w:rsidRDefault="00000000">
      <w:pPr>
        <w:pStyle w:val="Heading2"/>
      </w:pPr>
      <w:r>
        <w:rPr>
          <w:rFonts w:ascii="Cambria" w:hAnsi="Cambria"/>
        </w:rPr>
        <w:t>4.4 Data Governance and R</w:t>
      </w:r>
      <w:r w:rsidR="00B8284F">
        <w:rPr>
          <w:rFonts w:ascii="Cambria" w:hAnsi="Cambria"/>
        </w:rPr>
        <w:t xml:space="preserve">esearch </w:t>
      </w:r>
      <w:r w:rsidR="00B8284F" w:rsidRPr="00B8284F">
        <w:rPr>
          <w:rFonts w:ascii="Cambria" w:hAnsi="Cambria"/>
        </w:rPr>
        <w:t>Transparency</w:t>
      </w:r>
    </w:p>
    <w:p w14:paraId="6245A6EE" w14:textId="060292FC" w:rsidR="00E96623" w:rsidRDefault="00381699" w:rsidP="00381699">
      <w:pPr>
        <w:pStyle w:val="BodyText"/>
      </w:pPr>
      <w:r w:rsidRPr="00381699">
        <w:t xml:space="preserve">The public repository contains the six analysis scripts, </w:t>
      </w:r>
      <w:proofErr w:type="gramStart"/>
      <w:r w:rsidRPr="00381699">
        <w:t>a pinned</w:t>
      </w:r>
      <w:proofErr w:type="gramEnd"/>
      <w:r w:rsidRPr="00381699">
        <w:t xml:space="preserve"> requirements.txt file, project documentation, sanitized retrieval metadata, validation reports, portfolio diagnostics, and the authoritative result tables and figures used in Working Paper 1.0. The reported results correspond to the data retrieval completed on</w:t>
      </w:r>
      <w:r>
        <w:t xml:space="preserve">                   </w:t>
      </w:r>
      <w:r w:rsidRPr="00381699">
        <w:t xml:space="preserve"> July 17, </w:t>
      </w:r>
      <w:proofErr w:type="gramStart"/>
      <w:r w:rsidRPr="00381699">
        <w:t>2026</w:t>
      </w:r>
      <w:proofErr w:type="gramEnd"/>
      <w:r w:rsidRPr="00381699">
        <w:t xml:space="preserve"> at 02:28:20 UTC. Raw third-party </w:t>
      </w:r>
      <w:proofErr w:type="gramStart"/>
      <w:r w:rsidRPr="00381699">
        <w:t>market-price</w:t>
      </w:r>
      <w:proofErr w:type="gramEnd"/>
      <w:r w:rsidRPr="00381699">
        <w:t xml:space="preserve"> files are not redistributed. The data</w:t>
      </w:r>
      <w:r>
        <w:t xml:space="preserve"> </w:t>
      </w:r>
      <w:r w:rsidRPr="00381699">
        <w:t>collection script permits an independent refresh of the dataset, although later downloads may differ because third</w:t>
      </w:r>
      <w:r>
        <w:t xml:space="preserve"> </w:t>
      </w:r>
      <w:r w:rsidRPr="00381699">
        <w:t xml:space="preserve">party providers can revise historical adjusted-price information. Files prefixed </w:t>
      </w:r>
      <w:proofErr w:type="spellStart"/>
      <w:r w:rsidRPr="00381699">
        <w:t>fair_comparison</w:t>
      </w:r>
      <w:proofErr w:type="spellEnd"/>
      <w:r w:rsidRPr="00381699">
        <w:t>_ contain the authoritative six</w:t>
      </w:r>
      <w:r>
        <w:t xml:space="preserve"> </w:t>
      </w:r>
      <w:r w:rsidRPr="00381699">
        <w:t>portfolio results reported in this paper</w:t>
      </w:r>
      <w:r>
        <w:t>,</w:t>
      </w:r>
      <w:r w:rsidRPr="00381699">
        <w:t xml:space="preserve"> files prefixed baseline_ and </w:t>
      </w:r>
      <w:r>
        <w:t xml:space="preserve">                                  </w:t>
      </w:r>
      <w:r w:rsidRPr="00381699">
        <w:lastRenderedPageBreak/>
        <w:t>optimized_ are intermediate audit outputs. The retrieval log is stored at data/metadata/data_retrieval_log.txt. The repository is available at https://github.com/ishaanparm/beyond-60-40-portfolio</w:t>
      </w:r>
      <w:r w:rsidR="00B55BD3" w:rsidRPr="00B55BD3">
        <w:t>.</w:t>
      </w:r>
      <w:r w:rsidR="009843CF">
        <w:t xml:space="preserve"> </w:t>
      </w:r>
    </w:p>
    <w:p w14:paraId="15DE2E4E" w14:textId="77777777" w:rsidR="00905B4D" w:rsidRDefault="00905B4D">
      <w:pPr>
        <w:pStyle w:val="BodyText"/>
        <w:ind w:firstLine="360"/>
      </w:pPr>
    </w:p>
    <w:p w14:paraId="1758AFC8" w14:textId="77777777" w:rsidR="00905B4D" w:rsidRDefault="00905B4D">
      <w:pPr>
        <w:pStyle w:val="BodyText"/>
        <w:ind w:firstLine="360"/>
      </w:pPr>
    </w:p>
    <w:p w14:paraId="2DA13084" w14:textId="77777777" w:rsidR="00905B4D" w:rsidRDefault="00905B4D">
      <w:pPr>
        <w:pStyle w:val="BodyText"/>
        <w:ind w:firstLine="360"/>
      </w:pPr>
    </w:p>
    <w:p w14:paraId="2521D90C" w14:textId="77777777" w:rsidR="00E96623" w:rsidRDefault="00000000">
      <w:pPr>
        <w:pStyle w:val="Heading1"/>
      </w:pPr>
      <w:r>
        <w:rPr>
          <w:rFonts w:ascii="Cambria" w:hAnsi="Cambria"/>
        </w:rPr>
        <w:t>5. Methodology</w:t>
      </w:r>
    </w:p>
    <w:p w14:paraId="1E905A02" w14:textId="77777777" w:rsidR="00E96623" w:rsidRDefault="00000000">
      <w:pPr>
        <w:pStyle w:val="Heading2"/>
      </w:pPr>
      <w:r>
        <w:rPr>
          <w:rFonts w:ascii="Cambria" w:hAnsi="Cambria"/>
        </w:rPr>
        <w:t>5.1 Portfolio Set</w:t>
      </w:r>
    </w:p>
    <w:p w14:paraId="22D9BE7E" w14:textId="77777777" w:rsidR="00E96623" w:rsidRDefault="00000000">
      <w:pPr>
        <w:keepNext/>
      </w:pPr>
      <w:r>
        <w:rPr>
          <w:b/>
          <w:color w:val="0B1F3A"/>
          <w:sz w:val="19"/>
        </w:rPr>
        <w:t>Table 5. Portfolio definitions</w:t>
      </w:r>
    </w:p>
    <w:tbl>
      <w:tblPr>
        <w:tblW w:w="0" w:type="auto"/>
        <w:jc w:val="center"/>
        <w:tblLook w:val="04A0" w:firstRow="1" w:lastRow="0" w:firstColumn="1" w:lastColumn="0" w:noHBand="0" w:noVBand="1"/>
      </w:tblPr>
      <w:tblGrid>
        <w:gridCol w:w="1935"/>
        <w:gridCol w:w="5072"/>
        <w:gridCol w:w="3147"/>
      </w:tblGrid>
      <w:tr w:rsidR="00E96623" w14:paraId="2A4BAFAB" w14:textId="77777777">
        <w:trPr>
          <w:tblHeader/>
          <w:jc w:val="center"/>
        </w:trPr>
        <w:tc>
          <w:tcPr>
            <w:tcW w:w="1944" w:type="dxa"/>
            <w:shd w:val="clear" w:color="auto" w:fill="0B1F3A"/>
            <w:tcMar>
              <w:top w:w="80" w:type="dxa"/>
              <w:left w:w="80" w:type="dxa"/>
              <w:bottom w:w="80" w:type="dxa"/>
              <w:right w:w="80" w:type="dxa"/>
            </w:tcMar>
            <w:vAlign w:val="center"/>
          </w:tcPr>
          <w:p w14:paraId="166DB15B" w14:textId="77777777" w:rsidR="00E96623" w:rsidRDefault="00000000">
            <w:r>
              <w:rPr>
                <w:b/>
                <w:color w:val="FFFFFF"/>
                <w:sz w:val="15"/>
              </w:rPr>
              <w:t>Portfolio</w:t>
            </w:r>
          </w:p>
        </w:tc>
        <w:tc>
          <w:tcPr>
            <w:tcW w:w="5112" w:type="dxa"/>
            <w:shd w:val="clear" w:color="auto" w:fill="0B1F3A"/>
            <w:tcMar>
              <w:top w:w="80" w:type="dxa"/>
              <w:left w:w="80" w:type="dxa"/>
              <w:bottom w:w="80" w:type="dxa"/>
              <w:right w:w="80" w:type="dxa"/>
            </w:tcMar>
            <w:vAlign w:val="center"/>
          </w:tcPr>
          <w:p w14:paraId="0939B1C6" w14:textId="77777777" w:rsidR="00E96623" w:rsidRDefault="00000000">
            <w:r>
              <w:rPr>
                <w:b/>
                <w:color w:val="FFFFFF"/>
                <w:sz w:val="15"/>
              </w:rPr>
              <w:t>Construction rule</w:t>
            </w:r>
          </w:p>
        </w:tc>
        <w:tc>
          <w:tcPr>
            <w:tcW w:w="3168" w:type="dxa"/>
            <w:shd w:val="clear" w:color="auto" w:fill="0B1F3A"/>
            <w:tcMar>
              <w:top w:w="80" w:type="dxa"/>
              <w:left w:w="80" w:type="dxa"/>
              <w:bottom w:w="80" w:type="dxa"/>
              <w:right w:w="80" w:type="dxa"/>
            </w:tcMar>
            <w:vAlign w:val="center"/>
          </w:tcPr>
          <w:p w14:paraId="0565B7E0" w14:textId="77777777" w:rsidR="00E96623" w:rsidRDefault="00000000">
            <w:r>
              <w:rPr>
                <w:b/>
                <w:color w:val="FFFFFF"/>
                <w:sz w:val="15"/>
              </w:rPr>
              <w:t>Purpose</w:t>
            </w:r>
          </w:p>
        </w:tc>
      </w:tr>
      <w:tr w:rsidR="00E96623" w14:paraId="62E6EDF8" w14:textId="77777777">
        <w:trPr>
          <w:jc w:val="center"/>
        </w:trPr>
        <w:tc>
          <w:tcPr>
            <w:tcW w:w="1944" w:type="dxa"/>
            <w:shd w:val="clear" w:color="auto" w:fill="FFFFFF"/>
            <w:tcMar>
              <w:top w:w="80" w:type="dxa"/>
              <w:left w:w="80" w:type="dxa"/>
              <w:bottom w:w="80" w:type="dxa"/>
              <w:right w:w="80" w:type="dxa"/>
            </w:tcMar>
            <w:vAlign w:val="center"/>
          </w:tcPr>
          <w:p w14:paraId="349EFBCD" w14:textId="77777777" w:rsidR="00E96623" w:rsidRDefault="00000000">
            <w:r>
              <w:rPr>
                <w:b/>
                <w:sz w:val="15"/>
              </w:rPr>
              <w:t>Traditional 60/40</w:t>
            </w:r>
          </w:p>
        </w:tc>
        <w:tc>
          <w:tcPr>
            <w:tcW w:w="5112" w:type="dxa"/>
            <w:shd w:val="clear" w:color="auto" w:fill="FFFFFF"/>
            <w:tcMar>
              <w:top w:w="80" w:type="dxa"/>
              <w:left w:w="80" w:type="dxa"/>
              <w:bottom w:w="80" w:type="dxa"/>
              <w:right w:w="80" w:type="dxa"/>
            </w:tcMar>
            <w:vAlign w:val="center"/>
          </w:tcPr>
          <w:p w14:paraId="522EC8A7" w14:textId="77777777" w:rsidR="00E96623" w:rsidRDefault="00000000">
            <w:r>
              <w:rPr>
                <w:sz w:val="15"/>
              </w:rPr>
              <w:t>60% SPY and 40% IEF; quarterly rebalance</w:t>
            </w:r>
          </w:p>
        </w:tc>
        <w:tc>
          <w:tcPr>
            <w:tcW w:w="3168" w:type="dxa"/>
            <w:shd w:val="clear" w:color="auto" w:fill="FFFFFF"/>
            <w:tcMar>
              <w:top w:w="80" w:type="dxa"/>
              <w:left w:w="80" w:type="dxa"/>
              <w:bottom w:w="80" w:type="dxa"/>
              <w:right w:w="80" w:type="dxa"/>
            </w:tcMar>
            <w:vAlign w:val="center"/>
          </w:tcPr>
          <w:p w14:paraId="67D49F0F" w14:textId="77777777" w:rsidR="00E96623" w:rsidRDefault="00000000">
            <w:r>
              <w:rPr>
                <w:sz w:val="15"/>
              </w:rPr>
              <w:t>Simple balanced benchmark</w:t>
            </w:r>
          </w:p>
        </w:tc>
      </w:tr>
      <w:tr w:rsidR="00E96623" w14:paraId="7BF67831" w14:textId="77777777">
        <w:trPr>
          <w:jc w:val="center"/>
        </w:trPr>
        <w:tc>
          <w:tcPr>
            <w:tcW w:w="1944" w:type="dxa"/>
            <w:shd w:val="clear" w:color="auto" w:fill="F2F4F7"/>
            <w:tcMar>
              <w:top w:w="80" w:type="dxa"/>
              <w:left w:w="80" w:type="dxa"/>
              <w:bottom w:w="80" w:type="dxa"/>
              <w:right w:w="80" w:type="dxa"/>
            </w:tcMar>
            <w:vAlign w:val="center"/>
          </w:tcPr>
          <w:p w14:paraId="50443608" w14:textId="77777777" w:rsidR="00E96623" w:rsidRDefault="00000000">
            <w:r>
              <w:rPr>
                <w:b/>
                <w:sz w:val="15"/>
              </w:rPr>
              <w:t>Strategic diversified</w:t>
            </w:r>
          </w:p>
        </w:tc>
        <w:tc>
          <w:tcPr>
            <w:tcW w:w="5112" w:type="dxa"/>
            <w:shd w:val="clear" w:color="auto" w:fill="F2F4F7"/>
            <w:tcMar>
              <w:top w:w="80" w:type="dxa"/>
              <w:left w:w="80" w:type="dxa"/>
              <w:bottom w:w="80" w:type="dxa"/>
              <w:right w:w="80" w:type="dxa"/>
            </w:tcMar>
            <w:vAlign w:val="center"/>
          </w:tcPr>
          <w:p w14:paraId="63D9C32C" w14:textId="77777777" w:rsidR="00E96623" w:rsidRDefault="00000000">
            <w:r>
              <w:rPr>
                <w:sz w:val="15"/>
              </w:rPr>
              <w:t>35% SPY, 15% VEA, 15% IEF, 10% LQD, 10% VNQ, 10% GLD, 5% BIL</w:t>
            </w:r>
          </w:p>
        </w:tc>
        <w:tc>
          <w:tcPr>
            <w:tcW w:w="3168" w:type="dxa"/>
            <w:shd w:val="clear" w:color="auto" w:fill="F2F4F7"/>
            <w:tcMar>
              <w:top w:w="80" w:type="dxa"/>
              <w:left w:w="80" w:type="dxa"/>
              <w:bottom w:w="80" w:type="dxa"/>
              <w:right w:w="80" w:type="dxa"/>
            </w:tcMar>
            <w:vAlign w:val="center"/>
          </w:tcPr>
          <w:p w14:paraId="342148E6" w14:textId="77777777" w:rsidR="00E96623" w:rsidRDefault="00000000">
            <w:r>
              <w:rPr>
                <w:sz w:val="15"/>
              </w:rPr>
              <w:t>Fixed multi-asset benchmark</w:t>
            </w:r>
          </w:p>
        </w:tc>
      </w:tr>
      <w:tr w:rsidR="00E96623" w14:paraId="49046B08" w14:textId="77777777">
        <w:trPr>
          <w:jc w:val="center"/>
        </w:trPr>
        <w:tc>
          <w:tcPr>
            <w:tcW w:w="1944" w:type="dxa"/>
            <w:shd w:val="clear" w:color="auto" w:fill="FFFFFF"/>
            <w:tcMar>
              <w:top w:w="80" w:type="dxa"/>
              <w:left w:w="80" w:type="dxa"/>
              <w:bottom w:w="80" w:type="dxa"/>
              <w:right w:w="80" w:type="dxa"/>
            </w:tcMar>
            <w:vAlign w:val="center"/>
          </w:tcPr>
          <w:p w14:paraId="396DEB6F" w14:textId="77777777" w:rsidR="00E96623" w:rsidRDefault="00000000">
            <w:r>
              <w:rPr>
                <w:b/>
                <w:sz w:val="15"/>
              </w:rPr>
              <w:t>Constrained mean-variance</w:t>
            </w:r>
          </w:p>
        </w:tc>
        <w:tc>
          <w:tcPr>
            <w:tcW w:w="5112" w:type="dxa"/>
            <w:shd w:val="clear" w:color="auto" w:fill="FFFFFF"/>
            <w:tcMar>
              <w:top w:w="80" w:type="dxa"/>
              <w:left w:w="80" w:type="dxa"/>
              <w:bottom w:w="80" w:type="dxa"/>
              <w:right w:w="80" w:type="dxa"/>
            </w:tcMar>
            <w:vAlign w:val="center"/>
          </w:tcPr>
          <w:p w14:paraId="48EDD013" w14:textId="77777777" w:rsidR="00E96623" w:rsidRDefault="00000000">
            <w:r>
              <w:rPr>
                <w:sz w:val="15"/>
              </w:rPr>
              <w:t>Rolling 60-month maximum historical Sharpe portfolio under policy limits</w:t>
            </w:r>
          </w:p>
        </w:tc>
        <w:tc>
          <w:tcPr>
            <w:tcW w:w="3168" w:type="dxa"/>
            <w:shd w:val="clear" w:color="auto" w:fill="FFFFFF"/>
            <w:tcMar>
              <w:top w:w="80" w:type="dxa"/>
              <w:left w:w="80" w:type="dxa"/>
              <w:bottom w:w="80" w:type="dxa"/>
              <w:right w:w="80" w:type="dxa"/>
            </w:tcMar>
            <w:vAlign w:val="center"/>
          </w:tcPr>
          <w:p w14:paraId="66543F11" w14:textId="77777777" w:rsidR="00E96623" w:rsidRDefault="00000000">
            <w:r>
              <w:rPr>
                <w:sz w:val="15"/>
              </w:rPr>
              <w:t>Tests return-risk optimization with guardrails</w:t>
            </w:r>
          </w:p>
        </w:tc>
      </w:tr>
      <w:tr w:rsidR="00E96623" w14:paraId="39F278A3" w14:textId="77777777">
        <w:trPr>
          <w:jc w:val="center"/>
        </w:trPr>
        <w:tc>
          <w:tcPr>
            <w:tcW w:w="1944" w:type="dxa"/>
            <w:shd w:val="clear" w:color="auto" w:fill="F2F4F7"/>
            <w:tcMar>
              <w:top w:w="80" w:type="dxa"/>
              <w:left w:w="80" w:type="dxa"/>
              <w:bottom w:w="80" w:type="dxa"/>
              <w:right w:w="80" w:type="dxa"/>
            </w:tcMar>
            <w:vAlign w:val="center"/>
          </w:tcPr>
          <w:p w14:paraId="498AF569" w14:textId="77777777" w:rsidR="00E96623" w:rsidRDefault="00000000">
            <w:r>
              <w:rPr>
                <w:b/>
                <w:sz w:val="15"/>
              </w:rPr>
              <w:t>Equal-risk contribution</w:t>
            </w:r>
          </w:p>
        </w:tc>
        <w:tc>
          <w:tcPr>
            <w:tcW w:w="5112" w:type="dxa"/>
            <w:shd w:val="clear" w:color="auto" w:fill="F2F4F7"/>
            <w:tcMar>
              <w:top w:w="80" w:type="dxa"/>
              <w:left w:w="80" w:type="dxa"/>
              <w:bottom w:w="80" w:type="dxa"/>
              <w:right w:w="80" w:type="dxa"/>
            </w:tcMar>
            <w:vAlign w:val="center"/>
          </w:tcPr>
          <w:p w14:paraId="72F59F5F" w14:textId="77777777" w:rsidR="00E96623" w:rsidRDefault="00000000">
            <w:r>
              <w:rPr>
                <w:sz w:val="15"/>
              </w:rPr>
              <w:t>Weights selected to equalize variance-contribution shares under the same limits</w:t>
            </w:r>
          </w:p>
        </w:tc>
        <w:tc>
          <w:tcPr>
            <w:tcW w:w="3168" w:type="dxa"/>
            <w:shd w:val="clear" w:color="auto" w:fill="F2F4F7"/>
            <w:tcMar>
              <w:top w:w="80" w:type="dxa"/>
              <w:left w:w="80" w:type="dxa"/>
              <w:bottom w:w="80" w:type="dxa"/>
              <w:right w:w="80" w:type="dxa"/>
            </w:tcMar>
            <w:vAlign w:val="center"/>
          </w:tcPr>
          <w:p w14:paraId="53F004BC" w14:textId="77777777" w:rsidR="00E96623" w:rsidRDefault="00000000">
            <w:r>
              <w:rPr>
                <w:sz w:val="15"/>
              </w:rPr>
              <w:t>Tests risk budgeting without leverage</w:t>
            </w:r>
          </w:p>
        </w:tc>
      </w:tr>
      <w:tr w:rsidR="00E96623" w14:paraId="17BD46E5" w14:textId="77777777">
        <w:trPr>
          <w:jc w:val="center"/>
        </w:trPr>
        <w:tc>
          <w:tcPr>
            <w:tcW w:w="1944" w:type="dxa"/>
            <w:shd w:val="clear" w:color="auto" w:fill="FFFFFF"/>
            <w:tcMar>
              <w:top w:w="80" w:type="dxa"/>
              <w:left w:w="80" w:type="dxa"/>
              <w:bottom w:w="80" w:type="dxa"/>
              <w:right w:w="80" w:type="dxa"/>
            </w:tcMar>
            <w:vAlign w:val="center"/>
          </w:tcPr>
          <w:p w14:paraId="260AE4FA" w14:textId="77777777" w:rsidR="00E96623" w:rsidRDefault="00000000">
            <w:r>
              <w:rPr>
                <w:b/>
                <w:sz w:val="15"/>
              </w:rPr>
              <w:t>Minimum CVaR</w:t>
            </w:r>
          </w:p>
        </w:tc>
        <w:tc>
          <w:tcPr>
            <w:tcW w:w="5112" w:type="dxa"/>
            <w:shd w:val="clear" w:color="auto" w:fill="FFFFFF"/>
            <w:tcMar>
              <w:top w:w="80" w:type="dxa"/>
              <w:left w:w="80" w:type="dxa"/>
              <w:bottom w:w="80" w:type="dxa"/>
              <w:right w:w="80" w:type="dxa"/>
            </w:tcMar>
            <w:vAlign w:val="center"/>
          </w:tcPr>
          <w:p w14:paraId="0AFF038B" w14:textId="77777777" w:rsidR="00E96623" w:rsidRDefault="00000000">
            <w:r>
              <w:rPr>
                <w:sz w:val="15"/>
              </w:rPr>
              <w:t>Historical 95% CVaR minimization under the same limits</w:t>
            </w:r>
          </w:p>
        </w:tc>
        <w:tc>
          <w:tcPr>
            <w:tcW w:w="3168" w:type="dxa"/>
            <w:shd w:val="clear" w:color="auto" w:fill="FFFFFF"/>
            <w:tcMar>
              <w:top w:w="80" w:type="dxa"/>
              <w:left w:w="80" w:type="dxa"/>
              <w:bottom w:w="80" w:type="dxa"/>
              <w:right w:w="80" w:type="dxa"/>
            </w:tcMar>
            <w:vAlign w:val="center"/>
          </w:tcPr>
          <w:p w14:paraId="7437B23A" w14:textId="77777777" w:rsidR="00E96623" w:rsidRDefault="00000000">
            <w:r>
              <w:rPr>
                <w:sz w:val="15"/>
              </w:rPr>
              <w:t>Tests explicit tail-loss control</w:t>
            </w:r>
          </w:p>
        </w:tc>
      </w:tr>
      <w:tr w:rsidR="00E96623" w14:paraId="45CC78AF" w14:textId="77777777">
        <w:trPr>
          <w:jc w:val="center"/>
        </w:trPr>
        <w:tc>
          <w:tcPr>
            <w:tcW w:w="1944" w:type="dxa"/>
            <w:shd w:val="clear" w:color="auto" w:fill="F2F4F7"/>
            <w:tcMar>
              <w:top w:w="80" w:type="dxa"/>
              <w:left w:w="80" w:type="dxa"/>
              <w:bottom w:w="80" w:type="dxa"/>
              <w:right w:w="80" w:type="dxa"/>
            </w:tcMar>
            <w:vAlign w:val="center"/>
          </w:tcPr>
          <w:p w14:paraId="5355815A" w14:textId="77777777" w:rsidR="00E96623" w:rsidRDefault="00000000">
            <w:r>
              <w:rPr>
                <w:b/>
                <w:sz w:val="15"/>
              </w:rPr>
              <w:t>Regime-sensitive</w:t>
            </w:r>
          </w:p>
        </w:tc>
        <w:tc>
          <w:tcPr>
            <w:tcW w:w="5112" w:type="dxa"/>
            <w:shd w:val="clear" w:color="auto" w:fill="F2F4F7"/>
            <w:tcMar>
              <w:top w:w="80" w:type="dxa"/>
              <w:left w:w="80" w:type="dxa"/>
              <w:bottom w:w="80" w:type="dxa"/>
              <w:right w:w="80" w:type="dxa"/>
            </w:tcMar>
            <w:vAlign w:val="center"/>
          </w:tcPr>
          <w:p w14:paraId="12504273" w14:textId="77777777" w:rsidR="00E96623" w:rsidRDefault="00000000">
            <w:r>
              <w:rPr>
                <w:sz w:val="15"/>
              </w:rPr>
              <w:t>One of four fixed allocations selected using lagged inflation and policy trends</w:t>
            </w:r>
          </w:p>
        </w:tc>
        <w:tc>
          <w:tcPr>
            <w:tcW w:w="3168" w:type="dxa"/>
            <w:shd w:val="clear" w:color="auto" w:fill="F2F4F7"/>
            <w:tcMar>
              <w:top w:w="80" w:type="dxa"/>
              <w:left w:w="80" w:type="dxa"/>
              <w:bottom w:w="80" w:type="dxa"/>
              <w:right w:w="80" w:type="dxa"/>
            </w:tcMar>
            <w:vAlign w:val="center"/>
          </w:tcPr>
          <w:p w14:paraId="2C11E6B5" w14:textId="77777777" w:rsidR="00E96623" w:rsidRDefault="00000000">
            <w:r>
              <w:rPr>
                <w:sz w:val="15"/>
              </w:rPr>
              <w:t>Tests transparent tactical allocation</w:t>
            </w:r>
          </w:p>
        </w:tc>
      </w:tr>
    </w:tbl>
    <w:p w14:paraId="503E9DA0" w14:textId="77777777" w:rsidR="00E96623" w:rsidRDefault="00E96623">
      <w:pPr>
        <w:spacing w:after="0"/>
      </w:pPr>
    </w:p>
    <w:p w14:paraId="0D31EAFB" w14:textId="77777777" w:rsidR="00E96623" w:rsidRDefault="00000000">
      <w:pPr>
        <w:pStyle w:val="Heading2"/>
      </w:pPr>
      <w:r>
        <w:rPr>
          <w:rFonts w:ascii="Cambria" w:hAnsi="Cambria"/>
        </w:rPr>
        <w:t>5.2 Rebalancing Convention</w:t>
      </w:r>
    </w:p>
    <w:p w14:paraId="4F104938" w14:textId="77777777" w:rsidR="00E96623" w:rsidRDefault="00000000">
      <w:pPr>
        <w:pStyle w:val="BodyText"/>
        <w:ind w:firstLine="360"/>
      </w:pPr>
      <w:r>
        <w:t>All portfolios are evaluated monthly. Fixed and optimized portfolios rebalance before the January, April, July, and October returns are earned. Optimized weights use only the preceding 60 months. The first allocation is not charged a cost; later reallocations incur 10 basis points multiplied by one-way turnover.</w:t>
      </w:r>
    </w:p>
    <w:tbl>
      <w:tblPr>
        <w:tblW w:w="0" w:type="auto"/>
        <w:jc w:val="center"/>
        <w:tblLayout w:type="fixed"/>
        <w:tblLook w:val="04A0" w:firstRow="1" w:lastRow="0" w:firstColumn="1" w:lastColumn="0" w:noHBand="0" w:noVBand="1"/>
      </w:tblPr>
      <w:tblGrid>
        <w:gridCol w:w="4997"/>
        <w:gridCol w:w="4997"/>
      </w:tblGrid>
      <w:tr w:rsidR="00E96623" w14:paraId="0FCE675B" w14:textId="77777777">
        <w:trPr>
          <w:jc w:val="center"/>
        </w:trPr>
        <w:tc>
          <w:tcPr>
            <w:tcW w:w="4997" w:type="dxa"/>
            <w:tcBorders>
              <w:top w:val="nil"/>
              <w:left w:val="nil"/>
              <w:bottom w:val="nil"/>
              <w:right w:val="nil"/>
            </w:tcBorders>
            <w:shd w:val="clear" w:color="auto" w:fill="FFFFFF"/>
          </w:tcPr>
          <w:p w14:paraId="3ED5BF5D" w14:textId="77777777" w:rsidR="00E96623" w:rsidRDefault="00000000">
            <w:pPr>
              <w:jc w:val="center"/>
            </w:pPr>
            <w:r>
              <w:rPr>
                <w:rFonts w:ascii="Cambria Math" w:hAnsi="Cambria Math"/>
                <w:sz w:val="22"/>
              </w:rPr>
              <w:t>rₚ,ₜ = Σᵢ wᵢ,ₜ₋₁ rᵢ,ₜ</w:t>
            </w:r>
          </w:p>
        </w:tc>
        <w:tc>
          <w:tcPr>
            <w:tcW w:w="4997" w:type="dxa"/>
            <w:tcBorders>
              <w:top w:val="nil"/>
              <w:left w:val="nil"/>
              <w:bottom w:val="nil"/>
              <w:right w:val="nil"/>
            </w:tcBorders>
            <w:shd w:val="clear" w:color="auto" w:fill="FFFFFF"/>
          </w:tcPr>
          <w:p w14:paraId="291B1A58" w14:textId="77777777" w:rsidR="00E96623" w:rsidRDefault="00000000">
            <w:pPr>
              <w:jc w:val="right"/>
            </w:pPr>
            <w:r>
              <w:rPr>
                <w:sz w:val="20"/>
              </w:rPr>
              <w:t>(3)</w:t>
            </w:r>
          </w:p>
        </w:tc>
      </w:tr>
    </w:tbl>
    <w:p w14:paraId="7C5FC92C" w14:textId="0488641E" w:rsidR="00E96623" w:rsidRDefault="00000000">
      <w:pPr>
        <w:pStyle w:val="BodyText"/>
        <w:ind w:firstLine="360"/>
      </w:pPr>
      <w:r>
        <w:t xml:space="preserve">Turnover at a rebalance is one half of the sum of absolute changes in weights. The factor of one half avoids double-counting the sale and purchase sides of the same reallocation. Net return deducts a baseline cost of 10 basis points per unit of one-way turnover. </w:t>
      </w:r>
      <w:r w:rsidR="00B55BD3" w:rsidRPr="00B55BD3">
        <w:t>Transaction-cost sensitivity was evaluated using 0, 10, and 25 basis points per unit of one</w:t>
      </w:r>
      <w:r w:rsidR="00381699">
        <w:t xml:space="preserve"> </w:t>
      </w:r>
      <w:r w:rsidR="00B55BD3" w:rsidRPr="00B55BD3">
        <w:t>way turnover</w:t>
      </w:r>
      <w:r>
        <w:t>.</w:t>
      </w:r>
    </w:p>
    <w:tbl>
      <w:tblPr>
        <w:tblW w:w="0" w:type="auto"/>
        <w:jc w:val="center"/>
        <w:tblLayout w:type="fixed"/>
        <w:tblLook w:val="04A0" w:firstRow="1" w:lastRow="0" w:firstColumn="1" w:lastColumn="0" w:noHBand="0" w:noVBand="1"/>
      </w:tblPr>
      <w:tblGrid>
        <w:gridCol w:w="4997"/>
        <w:gridCol w:w="4997"/>
      </w:tblGrid>
      <w:tr w:rsidR="00E96623" w14:paraId="5391FFF6" w14:textId="77777777">
        <w:trPr>
          <w:jc w:val="center"/>
        </w:trPr>
        <w:tc>
          <w:tcPr>
            <w:tcW w:w="4997" w:type="dxa"/>
            <w:tcBorders>
              <w:top w:val="nil"/>
              <w:left w:val="nil"/>
              <w:bottom w:val="nil"/>
              <w:right w:val="nil"/>
            </w:tcBorders>
            <w:shd w:val="clear" w:color="auto" w:fill="FFFFFF"/>
          </w:tcPr>
          <w:p w14:paraId="01B5A941" w14:textId="77777777" w:rsidR="00E96623" w:rsidRDefault="00000000">
            <w:pPr>
              <w:jc w:val="center"/>
            </w:pPr>
            <w:r>
              <w:rPr>
                <w:rFonts w:ascii="Cambria Math" w:hAnsi="Cambria Math"/>
                <w:sz w:val="22"/>
              </w:rPr>
              <w:t>Turnoverₜ = 0.5 × Σᵢ |wᵢ,ₜ* − wᵢ,ₜ⁻|</w:t>
            </w:r>
          </w:p>
        </w:tc>
        <w:tc>
          <w:tcPr>
            <w:tcW w:w="4997" w:type="dxa"/>
            <w:tcBorders>
              <w:top w:val="nil"/>
              <w:left w:val="nil"/>
              <w:bottom w:val="nil"/>
              <w:right w:val="nil"/>
            </w:tcBorders>
            <w:shd w:val="clear" w:color="auto" w:fill="FFFFFF"/>
          </w:tcPr>
          <w:p w14:paraId="312AD74A" w14:textId="77777777" w:rsidR="00E96623" w:rsidRDefault="00000000">
            <w:pPr>
              <w:jc w:val="right"/>
            </w:pPr>
            <w:r>
              <w:rPr>
                <w:sz w:val="20"/>
              </w:rPr>
              <w:t>(4)</w:t>
            </w:r>
          </w:p>
        </w:tc>
      </w:tr>
      <w:tr w:rsidR="00E96623" w14:paraId="1F4ECAD1" w14:textId="77777777">
        <w:trPr>
          <w:jc w:val="center"/>
        </w:trPr>
        <w:tc>
          <w:tcPr>
            <w:tcW w:w="4997" w:type="dxa"/>
            <w:tcBorders>
              <w:top w:val="nil"/>
              <w:left w:val="nil"/>
              <w:bottom w:val="nil"/>
              <w:right w:val="nil"/>
            </w:tcBorders>
            <w:shd w:val="clear" w:color="auto" w:fill="FFFFFF"/>
          </w:tcPr>
          <w:p w14:paraId="23155530" w14:textId="77777777" w:rsidR="00E96623" w:rsidRDefault="00000000">
            <w:pPr>
              <w:jc w:val="center"/>
            </w:pPr>
            <w:r>
              <w:rPr>
                <w:rFonts w:ascii="Cambria Math" w:hAnsi="Cambria Math"/>
                <w:sz w:val="22"/>
              </w:rPr>
              <w:t>rₚ,ₜⁿᵉᵗ = rₚ,ₜᵍʳᵒˢˢ − c × Turnoverₜ</w:t>
            </w:r>
          </w:p>
        </w:tc>
        <w:tc>
          <w:tcPr>
            <w:tcW w:w="4997" w:type="dxa"/>
            <w:tcBorders>
              <w:top w:val="nil"/>
              <w:left w:val="nil"/>
              <w:bottom w:val="nil"/>
              <w:right w:val="nil"/>
            </w:tcBorders>
            <w:shd w:val="clear" w:color="auto" w:fill="FFFFFF"/>
          </w:tcPr>
          <w:p w14:paraId="0471DD98" w14:textId="77777777" w:rsidR="00E96623" w:rsidRDefault="00000000">
            <w:pPr>
              <w:jc w:val="right"/>
            </w:pPr>
            <w:r>
              <w:rPr>
                <w:sz w:val="20"/>
              </w:rPr>
              <w:t>(5)</w:t>
            </w:r>
          </w:p>
        </w:tc>
      </w:tr>
    </w:tbl>
    <w:p w14:paraId="2CC7690D" w14:textId="77777777" w:rsidR="00E96623" w:rsidRDefault="00000000">
      <w:pPr>
        <w:pStyle w:val="Heading2"/>
      </w:pPr>
      <w:r>
        <w:rPr>
          <w:rFonts w:ascii="Cambria" w:hAnsi="Cambria"/>
        </w:rPr>
        <w:t>5.3 Constrained Mean-Variance Portfolio</w:t>
      </w:r>
    </w:p>
    <w:p w14:paraId="7915E93E" w14:textId="77777777" w:rsidR="00E96623" w:rsidRDefault="00000000">
      <w:pPr>
        <w:pStyle w:val="BodyText"/>
        <w:ind w:firstLine="360"/>
      </w:pPr>
      <w:r>
        <w:t>The mean-variance portfolio uses the preceding 60 monthly returns to maximize the historical Sharpe ratio, with the mean BIL return in the estimation window serving as the cash benchmark. The model is solved using constrained nonlinear optimization and does not use future observations.</w:t>
      </w:r>
    </w:p>
    <w:tbl>
      <w:tblPr>
        <w:tblW w:w="0" w:type="auto"/>
        <w:jc w:val="center"/>
        <w:tblLayout w:type="fixed"/>
        <w:tblLook w:val="04A0" w:firstRow="1" w:lastRow="0" w:firstColumn="1" w:lastColumn="0" w:noHBand="0" w:noVBand="1"/>
      </w:tblPr>
      <w:tblGrid>
        <w:gridCol w:w="4997"/>
        <w:gridCol w:w="4997"/>
      </w:tblGrid>
      <w:tr w:rsidR="00E96623" w14:paraId="43EF8CC7" w14:textId="77777777">
        <w:trPr>
          <w:jc w:val="center"/>
        </w:trPr>
        <w:tc>
          <w:tcPr>
            <w:tcW w:w="4997" w:type="dxa"/>
            <w:tcBorders>
              <w:top w:val="nil"/>
              <w:left w:val="nil"/>
              <w:bottom w:val="nil"/>
              <w:right w:val="nil"/>
            </w:tcBorders>
            <w:shd w:val="clear" w:color="auto" w:fill="FFFFFF"/>
            <w:vAlign w:val="center"/>
          </w:tcPr>
          <w:p w14:paraId="58A1E157" w14:textId="77777777" w:rsidR="00E96623" w:rsidRDefault="00000000">
            <w:r>
              <w:rPr>
                <w:sz w:val="18"/>
              </w:rPr>
              <w:t>max_w  [(w′μ̂ − r̂_f) / √(w′Σ̂w)]</w:t>
            </w:r>
          </w:p>
        </w:tc>
        <w:tc>
          <w:tcPr>
            <w:tcW w:w="4997" w:type="dxa"/>
            <w:tcBorders>
              <w:top w:val="nil"/>
              <w:left w:val="nil"/>
              <w:bottom w:val="nil"/>
              <w:right w:val="nil"/>
            </w:tcBorders>
            <w:shd w:val="clear" w:color="auto" w:fill="FFFFFF"/>
          </w:tcPr>
          <w:p w14:paraId="554E9D26" w14:textId="77777777" w:rsidR="00E96623" w:rsidRDefault="00000000">
            <w:pPr>
              <w:jc w:val="right"/>
            </w:pPr>
            <w:r>
              <w:rPr>
                <w:sz w:val="20"/>
              </w:rPr>
              <w:t>(6)</w:t>
            </w:r>
          </w:p>
        </w:tc>
      </w:tr>
    </w:tbl>
    <w:p w14:paraId="57F87D31" w14:textId="77777777" w:rsidR="00E96623" w:rsidRDefault="00000000">
      <w:pPr>
        <w:pStyle w:val="BodyText"/>
      </w:pPr>
      <w:r>
        <w:t>Constraints are: weights sum to one; all weights are nonnegative; each asset is capped at 40 percent; BIL is at least 5 percent; SPY plus VEA is no more than 70 percent; and VNQ plus GLD is no more than 30 percent.</w:t>
      </w:r>
    </w:p>
    <w:p w14:paraId="72E7A4E7" w14:textId="77777777" w:rsidR="00E96623" w:rsidRDefault="00000000">
      <w:pPr>
        <w:pStyle w:val="BodyText"/>
        <w:ind w:firstLine="360"/>
      </w:pPr>
      <w:r>
        <w:lastRenderedPageBreak/>
        <w:t>Because sample expected returns are unstable, the paper treats corner solutions and repeated binding constraints as important diagnostics rather than evidence of a naturally diversified optimum.</w:t>
      </w:r>
    </w:p>
    <w:p w14:paraId="074E174F" w14:textId="77777777" w:rsidR="005F65A1" w:rsidRDefault="005F65A1">
      <w:pPr>
        <w:pStyle w:val="BodyText"/>
        <w:ind w:firstLine="360"/>
      </w:pPr>
    </w:p>
    <w:p w14:paraId="217A5B67" w14:textId="77777777" w:rsidR="005F65A1" w:rsidRDefault="005F65A1">
      <w:pPr>
        <w:pStyle w:val="BodyText"/>
        <w:ind w:firstLine="360"/>
      </w:pPr>
    </w:p>
    <w:p w14:paraId="3BAE2588" w14:textId="77777777" w:rsidR="00E96623" w:rsidRDefault="00000000">
      <w:pPr>
        <w:pStyle w:val="Heading2"/>
      </w:pPr>
      <w:r>
        <w:rPr>
          <w:rFonts w:ascii="Cambria" w:hAnsi="Cambria"/>
        </w:rPr>
        <w:t>5.4 Equal-Risk-Contribution Portfolio</w:t>
      </w:r>
    </w:p>
    <w:p w14:paraId="22E2B6BD" w14:textId="77777777" w:rsidR="00E96623" w:rsidRDefault="00000000">
      <w:pPr>
        <w:pStyle w:val="BodyText"/>
        <w:ind w:firstLine="360"/>
      </w:pPr>
      <w:r>
        <w:t>For portfolio volatility σₚ = √(w′Σw), the marginal contribution of asset i is (Σw)ᵢ / σₚ. The total risk contribution is the asset weight multiplied by its marginal contribution. The ERC portfolio chooses weights so that each asset contributes approximately one seventh of total volatility, subject to the same long-only, concentration, equity, and cash constraints.</w:t>
      </w:r>
    </w:p>
    <w:tbl>
      <w:tblPr>
        <w:tblW w:w="0" w:type="auto"/>
        <w:jc w:val="center"/>
        <w:tblLayout w:type="fixed"/>
        <w:tblLook w:val="04A0" w:firstRow="1" w:lastRow="0" w:firstColumn="1" w:lastColumn="0" w:noHBand="0" w:noVBand="1"/>
      </w:tblPr>
      <w:tblGrid>
        <w:gridCol w:w="4997"/>
        <w:gridCol w:w="4997"/>
      </w:tblGrid>
      <w:tr w:rsidR="00E96623" w14:paraId="54D4AD4B" w14:textId="77777777">
        <w:trPr>
          <w:jc w:val="center"/>
        </w:trPr>
        <w:tc>
          <w:tcPr>
            <w:tcW w:w="4997" w:type="dxa"/>
            <w:tcBorders>
              <w:top w:val="nil"/>
              <w:left w:val="nil"/>
              <w:bottom w:val="nil"/>
              <w:right w:val="nil"/>
            </w:tcBorders>
            <w:shd w:val="clear" w:color="auto" w:fill="FFFFFF"/>
          </w:tcPr>
          <w:p w14:paraId="6E892C73" w14:textId="77777777" w:rsidR="00E96623" w:rsidRDefault="00000000">
            <w:pPr>
              <w:jc w:val="center"/>
            </w:pPr>
            <w:r>
              <w:rPr>
                <w:rFonts w:ascii="Cambria Math" w:hAnsi="Cambria Math"/>
                <w:sz w:val="22"/>
              </w:rPr>
              <w:t>RCᵢ = wᵢ(Σw)ᵢ / σₚ</w:t>
            </w:r>
          </w:p>
        </w:tc>
        <w:tc>
          <w:tcPr>
            <w:tcW w:w="4997" w:type="dxa"/>
            <w:tcBorders>
              <w:top w:val="nil"/>
              <w:left w:val="nil"/>
              <w:bottom w:val="nil"/>
              <w:right w:val="nil"/>
            </w:tcBorders>
            <w:shd w:val="clear" w:color="auto" w:fill="FFFFFF"/>
          </w:tcPr>
          <w:p w14:paraId="1F7B3609" w14:textId="77777777" w:rsidR="00E96623" w:rsidRDefault="00000000">
            <w:pPr>
              <w:jc w:val="right"/>
            </w:pPr>
            <w:r>
              <w:rPr>
                <w:sz w:val="20"/>
              </w:rPr>
              <w:t>(7)</w:t>
            </w:r>
          </w:p>
        </w:tc>
      </w:tr>
      <w:tr w:rsidR="00E96623" w14:paraId="4349704D" w14:textId="77777777">
        <w:trPr>
          <w:jc w:val="center"/>
        </w:trPr>
        <w:tc>
          <w:tcPr>
            <w:tcW w:w="4997" w:type="dxa"/>
            <w:tcBorders>
              <w:top w:val="nil"/>
              <w:left w:val="nil"/>
              <w:bottom w:val="nil"/>
              <w:right w:val="nil"/>
            </w:tcBorders>
            <w:shd w:val="clear" w:color="auto" w:fill="FFFFFF"/>
          </w:tcPr>
          <w:p w14:paraId="7E08EEA8" w14:textId="77777777" w:rsidR="00E96623" w:rsidRDefault="00000000">
            <w:pPr>
              <w:jc w:val="center"/>
            </w:pPr>
            <w:r>
              <w:rPr>
                <w:rFonts w:ascii="Cambria Math" w:hAnsi="Cambria Math"/>
                <w:sz w:val="22"/>
              </w:rPr>
              <w:t>RCᵢ ≈ σₚ / N  for all i</w:t>
            </w:r>
          </w:p>
        </w:tc>
        <w:tc>
          <w:tcPr>
            <w:tcW w:w="4997" w:type="dxa"/>
            <w:tcBorders>
              <w:top w:val="nil"/>
              <w:left w:val="nil"/>
              <w:bottom w:val="nil"/>
              <w:right w:val="nil"/>
            </w:tcBorders>
            <w:shd w:val="clear" w:color="auto" w:fill="FFFFFF"/>
          </w:tcPr>
          <w:p w14:paraId="37B8B01F" w14:textId="77777777" w:rsidR="00E96623" w:rsidRDefault="00000000">
            <w:pPr>
              <w:jc w:val="right"/>
            </w:pPr>
            <w:r>
              <w:rPr>
                <w:sz w:val="20"/>
              </w:rPr>
              <w:t>(8)</w:t>
            </w:r>
          </w:p>
        </w:tc>
      </w:tr>
    </w:tbl>
    <w:p w14:paraId="7366080C" w14:textId="77777777" w:rsidR="00E96623" w:rsidRDefault="00000000">
      <w:pPr>
        <w:pStyle w:val="BodyText"/>
        <w:ind w:firstLine="360"/>
      </w:pPr>
      <w:r>
        <w:t>Because the portfolio is not levered, equal risk contribution may produce a lower expected return than an institutional risk-parity portfolio that scales exposures. That is intentional: leverage would change the risk profile and complicate comparison with the client mandate.</w:t>
      </w:r>
    </w:p>
    <w:p w14:paraId="2C4F988A" w14:textId="77777777" w:rsidR="00E96623" w:rsidRDefault="00000000">
      <w:pPr>
        <w:pStyle w:val="Heading2"/>
      </w:pPr>
      <w:r>
        <w:rPr>
          <w:rFonts w:ascii="Cambria" w:hAnsi="Cambria"/>
        </w:rPr>
        <w:t>5.5 Minimum-CVaR Portfolio</w:t>
      </w:r>
    </w:p>
    <w:p w14:paraId="049BBA6E" w14:textId="77777777" w:rsidR="00E96623" w:rsidRDefault="00000000">
      <w:pPr>
        <w:pStyle w:val="BodyText"/>
        <w:ind w:firstLine="360"/>
      </w:pPr>
      <w:r>
        <w:t>The minimum-CVaR portfolio minimizes historical monthly 95 percent CVaR over the rolling 60-month window using linear programming. The same long-only and policy constraints apply.</w:t>
      </w:r>
    </w:p>
    <w:tbl>
      <w:tblPr>
        <w:tblW w:w="0" w:type="auto"/>
        <w:jc w:val="center"/>
        <w:tblLayout w:type="fixed"/>
        <w:tblLook w:val="04A0" w:firstRow="1" w:lastRow="0" w:firstColumn="1" w:lastColumn="0" w:noHBand="0" w:noVBand="1"/>
      </w:tblPr>
      <w:tblGrid>
        <w:gridCol w:w="4997"/>
        <w:gridCol w:w="4997"/>
      </w:tblGrid>
      <w:tr w:rsidR="00E96623" w14:paraId="0D5E5476" w14:textId="77777777">
        <w:trPr>
          <w:jc w:val="center"/>
        </w:trPr>
        <w:tc>
          <w:tcPr>
            <w:tcW w:w="4997" w:type="dxa"/>
            <w:tcBorders>
              <w:top w:val="nil"/>
              <w:left w:val="nil"/>
              <w:bottom w:val="nil"/>
              <w:right w:val="nil"/>
            </w:tcBorders>
            <w:shd w:val="clear" w:color="auto" w:fill="FFFFFF"/>
          </w:tcPr>
          <w:p w14:paraId="654BCEB2" w14:textId="77777777" w:rsidR="00E96623" w:rsidRDefault="00000000">
            <w:pPr>
              <w:jc w:val="center"/>
            </w:pPr>
            <w:r>
              <w:rPr>
                <w:rFonts w:ascii="Cambria Math" w:hAnsi="Cambria Math"/>
                <w:sz w:val="22"/>
              </w:rPr>
              <w:t>CVaR₀.₉₅(L) = E[L | L ≥ VaR₀.₉₅(L)]</w:t>
            </w:r>
          </w:p>
        </w:tc>
        <w:tc>
          <w:tcPr>
            <w:tcW w:w="4997" w:type="dxa"/>
            <w:tcBorders>
              <w:top w:val="nil"/>
              <w:left w:val="nil"/>
              <w:bottom w:val="nil"/>
              <w:right w:val="nil"/>
            </w:tcBorders>
            <w:shd w:val="clear" w:color="auto" w:fill="FFFFFF"/>
          </w:tcPr>
          <w:p w14:paraId="28458078" w14:textId="77777777" w:rsidR="00E96623" w:rsidRDefault="00000000">
            <w:pPr>
              <w:jc w:val="right"/>
            </w:pPr>
            <w:r>
              <w:rPr>
                <w:sz w:val="20"/>
              </w:rPr>
              <w:t>(9)</w:t>
            </w:r>
          </w:p>
        </w:tc>
      </w:tr>
    </w:tbl>
    <w:p w14:paraId="76DAF6AD" w14:textId="77777777" w:rsidR="00E96623" w:rsidRDefault="00000000">
      <w:pPr>
        <w:pStyle w:val="BodyText"/>
        <w:ind w:firstLine="360"/>
      </w:pPr>
      <w:r>
        <w:t>No minimum expected-return constraint is imposed. The resulting portfolio is therefore interpreted as a defensive tail-risk solution rather than a return-maximizing allocation.</w:t>
      </w:r>
    </w:p>
    <w:p w14:paraId="49363373" w14:textId="77777777" w:rsidR="00E96623" w:rsidRDefault="00000000">
      <w:pPr>
        <w:pStyle w:val="Heading2"/>
      </w:pPr>
      <w:r>
        <w:rPr>
          <w:rFonts w:ascii="Cambria" w:hAnsi="Cambria"/>
        </w:rPr>
        <w:t>5.6 Regime Classification</w:t>
      </w:r>
    </w:p>
    <w:p w14:paraId="3F608C22" w14:textId="77777777" w:rsidR="00E96623" w:rsidRDefault="00000000">
      <w:pPr>
        <w:pStyle w:val="BodyText"/>
        <w:ind w:firstLine="360"/>
      </w:pPr>
      <w:r>
        <w:t>The regime model uses observable, lagged macroeconomic variables. Inflation is classified as rising or falling according to the six-month change in the two-month-lagged year-over-year CPI rate. Policy is classified as tightening or easing according to the six-month change in the two-month-lagged effective federal funds rate. Zero changes retain the previous state.</w:t>
      </w:r>
    </w:p>
    <w:tbl>
      <w:tblPr>
        <w:tblW w:w="0" w:type="auto"/>
        <w:jc w:val="center"/>
        <w:tblLayout w:type="fixed"/>
        <w:tblLook w:val="04A0" w:firstRow="1" w:lastRow="0" w:firstColumn="1" w:lastColumn="0" w:noHBand="0" w:noVBand="1"/>
      </w:tblPr>
      <w:tblGrid>
        <w:gridCol w:w="4997"/>
        <w:gridCol w:w="4997"/>
      </w:tblGrid>
      <w:tr w:rsidR="00E96623" w14:paraId="3610CE27" w14:textId="77777777">
        <w:trPr>
          <w:jc w:val="center"/>
        </w:trPr>
        <w:tc>
          <w:tcPr>
            <w:tcW w:w="4997" w:type="dxa"/>
            <w:tcBorders>
              <w:top w:val="nil"/>
              <w:left w:val="nil"/>
              <w:bottom w:val="nil"/>
              <w:right w:val="nil"/>
            </w:tcBorders>
            <w:shd w:val="clear" w:color="auto" w:fill="FFFFFF"/>
            <w:vAlign w:val="center"/>
          </w:tcPr>
          <w:p w14:paraId="75ECC785" w14:textId="77777777" w:rsidR="00E96623" w:rsidRDefault="00000000">
            <w:r>
              <w:rPr>
                <w:sz w:val="17"/>
              </w:rPr>
              <w:t>InflationStateₜ = Rising if Δ₆[YoY CPIₜ₋₂] &gt; 0; otherwise Falling</w:t>
            </w:r>
          </w:p>
        </w:tc>
        <w:tc>
          <w:tcPr>
            <w:tcW w:w="4997" w:type="dxa"/>
            <w:tcBorders>
              <w:top w:val="nil"/>
              <w:left w:val="nil"/>
              <w:bottom w:val="nil"/>
              <w:right w:val="nil"/>
            </w:tcBorders>
            <w:shd w:val="clear" w:color="auto" w:fill="FFFFFF"/>
          </w:tcPr>
          <w:p w14:paraId="17AF2AFC" w14:textId="77777777" w:rsidR="00E96623" w:rsidRDefault="00000000">
            <w:pPr>
              <w:jc w:val="right"/>
            </w:pPr>
            <w:r>
              <w:rPr>
                <w:sz w:val="20"/>
              </w:rPr>
              <w:t>(10)</w:t>
            </w:r>
          </w:p>
        </w:tc>
      </w:tr>
      <w:tr w:rsidR="00E96623" w14:paraId="5F0FE1E5" w14:textId="77777777">
        <w:trPr>
          <w:jc w:val="center"/>
        </w:trPr>
        <w:tc>
          <w:tcPr>
            <w:tcW w:w="4997" w:type="dxa"/>
            <w:tcBorders>
              <w:top w:val="nil"/>
              <w:left w:val="nil"/>
              <w:bottom w:val="nil"/>
              <w:right w:val="nil"/>
            </w:tcBorders>
            <w:shd w:val="clear" w:color="auto" w:fill="FFFFFF"/>
            <w:vAlign w:val="center"/>
          </w:tcPr>
          <w:p w14:paraId="3DC18862" w14:textId="77777777" w:rsidR="00E96623" w:rsidRDefault="00000000">
            <w:r>
              <w:rPr>
                <w:sz w:val="17"/>
              </w:rPr>
              <w:t>PolicyStateₜ = Tightening if Δ₆[FEDFUNDSₜ₋₂] &gt; 0; otherwise Easing</w:t>
            </w:r>
          </w:p>
        </w:tc>
        <w:tc>
          <w:tcPr>
            <w:tcW w:w="4997" w:type="dxa"/>
            <w:tcBorders>
              <w:top w:val="nil"/>
              <w:left w:val="nil"/>
              <w:bottom w:val="nil"/>
              <w:right w:val="nil"/>
            </w:tcBorders>
            <w:shd w:val="clear" w:color="auto" w:fill="FFFFFF"/>
          </w:tcPr>
          <w:p w14:paraId="4499E5C0" w14:textId="77777777" w:rsidR="00E96623" w:rsidRDefault="00000000">
            <w:pPr>
              <w:jc w:val="right"/>
            </w:pPr>
            <w:r>
              <w:rPr>
                <w:sz w:val="20"/>
              </w:rPr>
              <w:t>(11)</w:t>
            </w:r>
          </w:p>
        </w:tc>
      </w:tr>
    </w:tbl>
    <w:p w14:paraId="7F5A04A6" w14:textId="77777777" w:rsidR="00E96623" w:rsidRDefault="00000000">
      <w:pPr>
        <w:keepNext/>
      </w:pPr>
      <w:r>
        <w:rPr>
          <w:b/>
          <w:color w:val="0B1F3A"/>
          <w:sz w:val="19"/>
        </w:rPr>
        <w:t>Table 6. Precommitted regime-sensitive allocation matrix</w:t>
      </w:r>
    </w:p>
    <w:tbl>
      <w:tblPr>
        <w:tblW w:w="0" w:type="auto"/>
        <w:jc w:val="center"/>
        <w:tblLook w:val="04A0" w:firstRow="1" w:lastRow="0" w:firstColumn="1" w:lastColumn="0" w:noHBand="0" w:noVBand="1"/>
      </w:tblPr>
      <w:tblGrid>
        <w:gridCol w:w="2088"/>
        <w:gridCol w:w="605"/>
        <w:gridCol w:w="605"/>
        <w:gridCol w:w="605"/>
        <w:gridCol w:w="605"/>
        <w:gridCol w:w="605"/>
        <w:gridCol w:w="605"/>
        <w:gridCol w:w="605"/>
        <w:gridCol w:w="3672"/>
      </w:tblGrid>
      <w:tr w:rsidR="00E96623" w14:paraId="6B21DE76" w14:textId="77777777">
        <w:trPr>
          <w:tblHeader/>
          <w:jc w:val="center"/>
        </w:trPr>
        <w:tc>
          <w:tcPr>
            <w:tcW w:w="2088" w:type="dxa"/>
            <w:shd w:val="clear" w:color="auto" w:fill="0B1F3A"/>
            <w:tcMar>
              <w:top w:w="80" w:type="dxa"/>
              <w:left w:w="80" w:type="dxa"/>
              <w:bottom w:w="80" w:type="dxa"/>
              <w:right w:w="80" w:type="dxa"/>
            </w:tcMar>
            <w:vAlign w:val="center"/>
          </w:tcPr>
          <w:p w14:paraId="3B715B2D" w14:textId="77777777" w:rsidR="00E96623" w:rsidRDefault="00000000">
            <w:r>
              <w:rPr>
                <w:b/>
                <w:color w:val="FFFFFF"/>
                <w:sz w:val="14"/>
              </w:rPr>
              <w:t>Regime</w:t>
            </w:r>
          </w:p>
        </w:tc>
        <w:tc>
          <w:tcPr>
            <w:tcW w:w="605" w:type="dxa"/>
            <w:shd w:val="clear" w:color="auto" w:fill="0B1F3A"/>
            <w:tcMar>
              <w:top w:w="80" w:type="dxa"/>
              <w:left w:w="80" w:type="dxa"/>
              <w:bottom w:w="80" w:type="dxa"/>
              <w:right w:w="80" w:type="dxa"/>
            </w:tcMar>
            <w:vAlign w:val="center"/>
          </w:tcPr>
          <w:p w14:paraId="06C3A564" w14:textId="77777777" w:rsidR="00E96623" w:rsidRDefault="00000000">
            <w:r>
              <w:rPr>
                <w:b/>
                <w:color w:val="FFFFFF"/>
                <w:sz w:val="14"/>
              </w:rPr>
              <w:t>SPY</w:t>
            </w:r>
          </w:p>
        </w:tc>
        <w:tc>
          <w:tcPr>
            <w:tcW w:w="605" w:type="dxa"/>
            <w:shd w:val="clear" w:color="auto" w:fill="0B1F3A"/>
            <w:tcMar>
              <w:top w:w="80" w:type="dxa"/>
              <w:left w:w="80" w:type="dxa"/>
              <w:bottom w:w="80" w:type="dxa"/>
              <w:right w:w="80" w:type="dxa"/>
            </w:tcMar>
            <w:vAlign w:val="center"/>
          </w:tcPr>
          <w:p w14:paraId="1AACB137" w14:textId="77777777" w:rsidR="00E96623" w:rsidRDefault="00000000">
            <w:r>
              <w:rPr>
                <w:b/>
                <w:color w:val="FFFFFF"/>
                <w:sz w:val="14"/>
              </w:rPr>
              <w:t>VEA</w:t>
            </w:r>
          </w:p>
        </w:tc>
        <w:tc>
          <w:tcPr>
            <w:tcW w:w="605" w:type="dxa"/>
            <w:shd w:val="clear" w:color="auto" w:fill="0B1F3A"/>
            <w:tcMar>
              <w:top w:w="80" w:type="dxa"/>
              <w:left w:w="80" w:type="dxa"/>
              <w:bottom w:w="80" w:type="dxa"/>
              <w:right w:w="80" w:type="dxa"/>
            </w:tcMar>
            <w:vAlign w:val="center"/>
          </w:tcPr>
          <w:p w14:paraId="6E17542F" w14:textId="77777777" w:rsidR="00E96623" w:rsidRDefault="00000000">
            <w:r>
              <w:rPr>
                <w:b/>
                <w:color w:val="FFFFFF"/>
                <w:sz w:val="14"/>
              </w:rPr>
              <w:t>IEF</w:t>
            </w:r>
          </w:p>
        </w:tc>
        <w:tc>
          <w:tcPr>
            <w:tcW w:w="605" w:type="dxa"/>
            <w:shd w:val="clear" w:color="auto" w:fill="0B1F3A"/>
            <w:tcMar>
              <w:top w:w="80" w:type="dxa"/>
              <w:left w:w="80" w:type="dxa"/>
              <w:bottom w:w="80" w:type="dxa"/>
              <w:right w:w="80" w:type="dxa"/>
            </w:tcMar>
            <w:vAlign w:val="center"/>
          </w:tcPr>
          <w:p w14:paraId="10057AAD" w14:textId="77777777" w:rsidR="00E96623" w:rsidRDefault="00000000">
            <w:r>
              <w:rPr>
                <w:b/>
                <w:color w:val="FFFFFF"/>
                <w:sz w:val="14"/>
              </w:rPr>
              <w:t>LQD</w:t>
            </w:r>
          </w:p>
        </w:tc>
        <w:tc>
          <w:tcPr>
            <w:tcW w:w="605" w:type="dxa"/>
            <w:shd w:val="clear" w:color="auto" w:fill="0B1F3A"/>
            <w:tcMar>
              <w:top w:w="80" w:type="dxa"/>
              <w:left w:w="80" w:type="dxa"/>
              <w:bottom w:w="80" w:type="dxa"/>
              <w:right w:w="80" w:type="dxa"/>
            </w:tcMar>
            <w:vAlign w:val="center"/>
          </w:tcPr>
          <w:p w14:paraId="3D3FEC08" w14:textId="77777777" w:rsidR="00E96623" w:rsidRDefault="00000000">
            <w:r>
              <w:rPr>
                <w:b/>
                <w:color w:val="FFFFFF"/>
                <w:sz w:val="14"/>
              </w:rPr>
              <w:t>VNQ</w:t>
            </w:r>
          </w:p>
        </w:tc>
        <w:tc>
          <w:tcPr>
            <w:tcW w:w="605" w:type="dxa"/>
            <w:shd w:val="clear" w:color="auto" w:fill="0B1F3A"/>
            <w:tcMar>
              <w:top w:w="80" w:type="dxa"/>
              <w:left w:w="80" w:type="dxa"/>
              <w:bottom w:w="80" w:type="dxa"/>
              <w:right w:w="80" w:type="dxa"/>
            </w:tcMar>
            <w:vAlign w:val="center"/>
          </w:tcPr>
          <w:p w14:paraId="584EB6B0" w14:textId="77777777" w:rsidR="00E96623" w:rsidRDefault="00000000">
            <w:r>
              <w:rPr>
                <w:b/>
                <w:color w:val="FFFFFF"/>
                <w:sz w:val="14"/>
              </w:rPr>
              <w:t>GLD</w:t>
            </w:r>
          </w:p>
        </w:tc>
        <w:tc>
          <w:tcPr>
            <w:tcW w:w="605" w:type="dxa"/>
            <w:shd w:val="clear" w:color="auto" w:fill="0B1F3A"/>
            <w:tcMar>
              <w:top w:w="80" w:type="dxa"/>
              <w:left w:w="80" w:type="dxa"/>
              <w:bottom w:w="80" w:type="dxa"/>
              <w:right w:w="80" w:type="dxa"/>
            </w:tcMar>
            <w:vAlign w:val="center"/>
          </w:tcPr>
          <w:p w14:paraId="5EC35839" w14:textId="77777777" w:rsidR="00E96623" w:rsidRDefault="00000000">
            <w:r>
              <w:rPr>
                <w:b/>
                <w:color w:val="FFFFFF"/>
                <w:sz w:val="14"/>
              </w:rPr>
              <w:t>BIL</w:t>
            </w:r>
          </w:p>
        </w:tc>
        <w:tc>
          <w:tcPr>
            <w:tcW w:w="3672" w:type="dxa"/>
            <w:shd w:val="clear" w:color="auto" w:fill="0B1F3A"/>
            <w:tcMar>
              <w:top w:w="80" w:type="dxa"/>
              <w:left w:w="80" w:type="dxa"/>
              <w:bottom w:w="80" w:type="dxa"/>
              <w:right w:w="80" w:type="dxa"/>
            </w:tcMar>
            <w:vAlign w:val="center"/>
          </w:tcPr>
          <w:p w14:paraId="071C7E31" w14:textId="77777777" w:rsidR="00E96623" w:rsidRDefault="00000000">
            <w:r>
              <w:rPr>
                <w:b/>
                <w:color w:val="FFFFFF"/>
                <w:sz w:val="14"/>
              </w:rPr>
              <w:t>Economic rationale</w:t>
            </w:r>
          </w:p>
        </w:tc>
      </w:tr>
      <w:tr w:rsidR="00E96623" w14:paraId="56BDC59D" w14:textId="77777777">
        <w:trPr>
          <w:jc w:val="center"/>
        </w:trPr>
        <w:tc>
          <w:tcPr>
            <w:tcW w:w="2088" w:type="dxa"/>
            <w:shd w:val="clear" w:color="auto" w:fill="FFFFFF"/>
            <w:tcMar>
              <w:top w:w="80" w:type="dxa"/>
              <w:left w:w="80" w:type="dxa"/>
              <w:bottom w:w="80" w:type="dxa"/>
              <w:right w:w="80" w:type="dxa"/>
            </w:tcMar>
            <w:vAlign w:val="center"/>
          </w:tcPr>
          <w:p w14:paraId="0D604BB5" w14:textId="77777777" w:rsidR="00E96623" w:rsidRDefault="00000000">
            <w:r>
              <w:rPr>
                <w:sz w:val="14"/>
              </w:rPr>
              <w:t>Rising inflation / Tightening</w:t>
            </w:r>
          </w:p>
        </w:tc>
        <w:tc>
          <w:tcPr>
            <w:tcW w:w="605" w:type="dxa"/>
            <w:shd w:val="clear" w:color="auto" w:fill="FFFFFF"/>
            <w:tcMar>
              <w:top w:w="80" w:type="dxa"/>
              <w:left w:w="80" w:type="dxa"/>
              <w:bottom w:w="80" w:type="dxa"/>
              <w:right w:w="80" w:type="dxa"/>
            </w:tcMar>
            <w:vAlign w:val="center"/>
          </w:tcPr>
          <w:p w14:paraId="42451587" w14:textId="77777777" w:rsidR="00E96623" w:rsidRDefault="00000000">
            <w:r>
              <w:rPr>
                <w:sz w:val="14"/>
              </w:rPr>
              <w:t>20%</w:t>
            </w:r>
          </w:p>
        </w:tc>
        <w:tc>
          <w:tcPr>
            <w:tcW w:w="605" w:type="dxa"/>
            <w:shd w:val="clear" w:color="auto" w:fill="FFFFFF"/>
            <w:tcMar>
              <w:top w:w="80" w:type="dxa"/>
              <w:left w:w="80" w:type="dxa"/>
              <w:bottom w:w="80" w:type="dxa"/>
              <w:right w:w="80" w:type="dxa"/>
            </w:tcMar>
            <w:vAlign w:val="center"/>
          </w:tcPr>
          <w:p w14:paraId="6F57AD6A" w14:textId="77777777" w:rsidR="00E96623" w:rsidRDefault="00000000">
            <w:r>
              <w:rPr>
                <w:sz w:val="14"/>
              </w:rPr>
              <w:t>5%</w:t>
            </w:r>
          </w:p>
        </w:tc>
        <w:tc>
          <w:tcPr>
            <w:tcW w:w="605" w:type="dxa"/>
            <w:shd w:val="clear" w:color="auto" w:fill="FFFFFF"/>
            <w:tcMar>
              <w:top w:w="80" w:type="dxa"/>
              <w:left w:w="80" w:type="dxa"/>
              <w:bottom w:w="80" w:type="dxa"/>
              <w:right w:w="80" w:type="dxa"/>
            </w:tcMar>
            <w:vAlign w:val="center"/>
          </w:tcPr>
          <w:p w14:paraId="11A49F64" w14:textId="77777777" w:rsidR="00E96623" w:rsidRDefault="00000000">
            <w:r>
              <w:rPr>
                <w:sz w:val="14"/>
              </w:rPr>
              <w:t>10%</w:t>
            </w:r>
          </w:p>
        </w:tc>
        <w:tc>
          <w:tcPr>
            <w:tcW w:w="605" w:type="dxa"/>
            <w:shd w:val="clear" w:color="auto" w:fill="FFFFFF"/>
            <w:tcMar>
              <w:top w:w="80" w:type="dxa"/>
              <w:left w:w="80" w:type="dxa"/>
              <w:bottom w:w="80" w:type="dxa"/>
              <w:right w:w="80" w:type="dxa"/>
            </w:tcMar>
            <w:vAlign w:val="center"/>
          </w:tcPr>
          <w:p w14:paraId="738377BF" w14:textId="77777777" w:rsidR="00E96623" w:rsidRDefault="00000000">
            <w:r>
              <w:rPr>
                <w:sz w:val="14"/>
              </w:rPr>
              <w:t>10%</w:t>
            </w:r>
          </w:p>
        </w:tc>
        <w:tc>
          <w:tcPr>
            <w:tcW w:w="605" w:type="dxa"/>
            <w:shd w:val="clear" w:color="auto" w:fill="FFFFFF"/>
            <w:tcMar>
              <w:top w:w="80" w:type="dxa"/>
              <w:left w:w="80" w:type="dxa"/>
              <w:bottom w:w="80" w:type="dxa"/>
              <w:right w:w="80" w:type="dxa"/>
            </w:tcMar>
            <w:vAlign w:val="center"/>
          </w:tcPr>
          <w:p w14:paraId="1595D1FA" w14:textId="77777777" w:rsidR="00E96623" w:rsidRDefault="00000000">
            <w:r>
              <w:rPr>
                <w:sz w:val="14"/>
              </w:rPr>
              <w:t>10%</w:t>
            </w:r>
          </w:p>
        </w:tc>
        <w:tc>
          <w:tcPr>
            <w:tcW w:w="605" w:type="dxa"/>
            <w:shd w:val="clear" w:color="auto" w:fill="FFFFFF"/>
            <w:tcMar>
              <w:top w:w="80" w:type="dxa"/>
              <w:left w:w="80" w:type="dxa"/>
              <w:bottom w:w="80" w:type="dxa"/>
              <w:right w:w="80" w:type="dxa"/>
            </w:tcMar>
            <w:vAlign w:val="center"/>
          </w:tcPr>
          <w:p w14:paraId="2FA51367" w14:textId="77777777" w:rsidR="00E96623" w:rsidRDefault="00000000">
            <w:r>
              <w:rPr>
                <w:sz w:val="14"/>
              </w:rPr>
              <w:t>20%</w:t>
            </w:r>
          </w:p>
        </w:tc>
        <w:tc>
          <w:tcPr>
            <w:tcW w:w="605" w:type="dxa"/>
            <w:shd w:val="clear" w:color="auto" w:fill="FFFFFF"/>
            <w:tcMar>
              <w:top w:w="80" w:type="dxa"/>
              <w:left w:w="80" w:type="dxa"/>
              <w:bottom w:w="80" w:type="dxa"/>
              <w:right w:w="80" w:type="dxa"/>
            </w:tcMar>
            <w:vAlign w:val="center"/>
          </w:tcPr>
          <w:p w14:paraId="6AE61701" w14:textId="77777777" w:rsidR="00E96623" w:rsidRDefault="00000000">
            <w:r>
              <w:rPr>
                <w:sz w:val="14"/>
              </w:rPr>
              <w:t>25%</w:t>
            </w:r>
          </w:p>
        </w:tc>
        <w:tc>
          <w:tcPr>
            <w:tcW w:w="3672" w:type="dxa"/>
            <w:shd w:val="clear" w:color="auto" w:fill="FFFFFF"/>
            <w:tcMar>
              <w:top w:w="80" w:type="dxa"/>
              <w:left w:w="80" w:type="dxa"/>
              <w:bottom w:w="80" w:type="dxa"/>
              <w:right w:w="80" w:type="dxa"/>
            </w:tcMar>
            <w:vAlign w:val="center"/>
          </w:tcPr>
          <w:p w14:paraId="180D713C" w14:textId="77777777" w:rsidR="00E96623" w:rsidRDefault="00000000">
            <w:r>
              <w:rPr>
                <w:sz w:val="14"/>
              </w:rPr>
              <w:t>Defensive liquidity and gold; lower equity and duration exposure.</w:t>
            </w:r>
          </w:p>
        </w:tc>
      </w:tr>
      <w:tr w:rsidR="00E96623" w14:paraId="114ADA27" w14:textId="77777777">
        <w:trPr>
          <w:jc w:val="center"/>
        </w:trPr>
        <w:tc>
          <w:tcPr>
            <w:tcW w:w="2088" w:type="dxa"/>
            <w:shd w:val="clear" w:color="auto" w:fill="F2F4F7"/>
            <w:tcMar>
              <w:top w:w="80" w:type="dxa"/>
              <w:left w:w="80" w:type="dxa"/>
              <w:bottom w:w="80" w:type="dxa"/>
              <w:right w:w="80" w:type="dxa"/>
            </w:tcMar>
            <w:vAlign w:val="center"/>
          </w:tcPr>
          <w:p w14:paraId="4953086D" w14:textId="77777777" w:rsidR="00E96623" w:rsidRDefault="00000000">
            <w:r>
              <w:rPr>
                <w:sz w:val="14"/>
              </w:rPr>
              <w:t>Rising inflation / Easing</w:t>
            </w:r>
          </w:p>
        </w:tc>
        <w:tc>
          <w:tcPr>
            <w:tcW w:w="605" w:type="dxa"/>
            <w:shd w:val="clear" w:color="auto" w:fill="F2F4F7"/>
            <w:tcMar>
              <w:top w:w="80" w:type="dxa"/>
              <w:left w:w="80" w:type="dxa"/>
              <w:bottom w:w="80" w:type="dxa"/>
              <w:right w:w="80" w:type="dxa"/>
            </w:tcMar>
            <w:vAlign w:val="center"/>
          </w:tcPr>
          <w:p w14:paraId="1177291F" w14:textId="77777777" w:rsidR="00E96623" w:rsidRDefault="00000000">
            <w:r>
              <w:rPr>
                <w:sz w:val="14"/>
              </w:rPr>
              <w:t>30%</w:t>
            </w:r>
          </w:p>
        </w:tc>
        <w:tc>
          <w:tcPr>
            <w:tcW w:w="605" w:type="dxa"/>
            <w:shd w:val="clear" w:color="auto" w:fill="F2F4F7"/>
            <w:tcMar>
              <w:top w:w="80" w:type="dxa"/>
              <w:left w:w="80" w:type="dxa"/>
              <w:bottom w:w="80" w:type="dxa"/>
              <w:right w:w="80" w:type="dxa"/>
            </w:tcMar>
            <w:vAlign w:val="center"/>
          </w:tcPr>
          <w:p w14:paraId="237156D7" w14:textId="77777777" w:rsidR="00E96623" w:rsidRDefault="00000000">
            <w:r>
              <w:rPr>
                <w:sz w:val="14"/>
              </w:rPr>
              <w:t>10%</w:t>
            </w:r>
          </w:p>
        </w:tc>
        <w:tc>
          <w:tcPr>
            <w:tcW w:w="605" w:type="dxa"/>
            <w:shd w:val="clear" w:color="auto" w:fill="F2F4F7"/>
            <w:tcMar>
              <w:top w:w="80" w:type="dxa"/>
              <w:left w:w="80" w:type="dxa"/>
              <w:bottom w:w="80" w:type="dxa"/>
              <w:right w:w="80" w:type="dxa"/>
            </w:tcMar>
            <w:vAlign w:val="center"/>
          </w:tcPr>
          <w:p w14:paraId="4E1D4202" w14:textId="77777777" w:rsidR="00E96623" w:rsidRDefault="00000000">
            <w:r>
              <w:rPr>
                <w:sz w:val="14"/>
              </w:rPr>
              <w:t>10%</w:t>
            </w:r>
          </w:p>
        </w:tc>
        <w:tc>
          <w:tcPr>
            <w:tcW w:w="605" w:type="dxa"/>
            <w:shd w:val="clear" w:color="auto" w:fill="F2F4F7"/>
            <w:tcMar>
              <w:top w:w="80" w:type="dxa"/>
              <w:left w:w="80" w:type="dxa"/>
              <w:bottom w:w="80" w:type="dxa"/>
              <w:right w:w="80" w:type="dxa"/>
            </w:tcMar>
            <w:vAlign w:val="center"/>
          </w:tcPr>
          <w:p w14:paraId="537A20A4" w14:textId="77777777" w:rsidR="00E96623" w:rsidRDefault="00000000">
            <w:r>
              <w:rPr>
                <w:sz w:val="14"/>
              </w:rPr>
              <w:t>10%</w:t>
            </w:r>
          </w:p>
        </w:tc>
        <w:tc>
          <w:tcPr>
            <w:tcW w:w="605" w:type="dxa"/>
            <w:shd w:val="clear" w:color="auto" w:fill="F2F4F7"/>
            <w:tcMar>
              <w:top w:w="80" w:type="dxa"/>
              <w:left w:w="80" w:type="dxa"/>
              <w:bottom w:w="80" w:type="dxa"/>
              <w:right w:w="80" w:type="dxa"/>
            </w:tcMar>
            <w:vAlign w:val="center"/>
          </w:tcPr>
          <w:p w14:paraId="0F430C39" w14:textId="77777777" w:rsidR="00E96623" w:rsidRDefault="00000000">
            <w:r>
              <w:rPr>
                <w:sz w:val="14"/>
              </w:rPr>
              <w:t>15%</w:t>
            </w:r>
          </w:p>
        </w:tc>
        <w:tc>
          <w:tcPr>
            <w:tcW w:w="605" w:type="dxa"/>
            <w:shd w:val="clear" w:color="auto" w:fill="F2F4F7"/>
            <w:tcMar>
              <w:top w:w="80" w:type="dxa"/>
              <w:left w:w="80" w:type="dxa"/>
              <w:bottom w:w="80" w:type="dxa"/>
              <w:right w:w="80" w:type="dxa"/>
            </w:tcMar>
            <w:vAlign w:val="center"/>
          </w:tcPr>
          <w:p w14:paraId="1A38959D" w14:textId="77777777" w:rsidR="00E96623" w:rsidRDefault="00000000">
            <w:r>
              <w:rPr>
                <w:sz w:val="14"/>
              </w:rPr>
              <w:t>15%</w:t>
            </w:r>
          </w:p>
        </w:tc>
        <w:tc>
          <w:tcPr>
            <w:tcW w:w="605" w:type="dxa"/>
            <w:shd w:val="clear" w:color="auto" w:fill="F2F4F7"/>
            <w:tcMar>
              <w:top w:w="80" w:type="dxa"/>
              <w:left w:w="80" w:type="dxa"/>
              <w:bottom w:w="80" w:type="dxa"/>
              <w:right w:w="80" w:type="dxa"/>
            </w:tcMar>
            <w:vAlign w:val="center"/>
          </w:tcPr>
          <w:p w14:paraId="07D076A4" w14:textId="77777777" w:rsidR="00E96623" w:rsidRDefault="00000000">
            <w:r>
              <w:rPr>
                <w:sz w:val="14"/>
              </w:rPr>
              <w:t>10%</w:t>
            </w:r>
          </w:p>
        </w:tc>
        <w:tc>
          <w:tcPr>
            <w:tcW w:w="3672" w:type="dxa"/>
            <w:shd w:val="clear" w:color="auto" w:fill="F2F4F7"/>
            <w:tcMar>
              <w:top w:w="80" w:type="dxa"/>
              <w:left w:w="80" w:type="dxa"/>
              <w:bottom w:w="80" w:type="dxa"/>
              <w:right w:w="80" w:type="dxa"/>
            </w:tcMar>
            <w:vAlign w:val="center"/>
          </w:tcPr>
          <w:p w14:paraId="63641372" w14:textId="77777777" w:rsidR="00E96623" w:rsidRDefault="00000000">
            <w:r>
              <w:rPr>
                <w:sz w:val="14"/>
              </w:rPr>
              <w:t>Moderate growth and real assets with retained liquidity.</w:t>
            </w:r>
          </w:p>
        </w:tc>
      </w:tr>
      <w:tr w:rsidR="00E96623" w14:paraId="6CCA9FBD" w14:textId="77777777">
        <w:trPr>
          <w:jc w:val="center"/>
        </w:trPr>
        <w:tc>
          <w:tcPr>
            <w:tcW w:w="2088" w:type="dxa"/>
            <w:shd w:val="clear" w:color="auto" w:fill="FFFFFF"/>
            <w:tcMar>
              <w:top w:w="80" w:type="dxa"/>
              <w:left w:w="80" w:type="dxa"/>
              <w:bottom w:w="80" w:type="dxa"/>
              <w:right w:w="80" w:type="dxa"/>
            </w:tcMar>
            <w:vAlign w:val="center"/>
          </w:tcPr>
          <w:p w14:paraId="7F9FC68E" w14:textId="77777777" w:rsidR="00E96623" w:rsidRDefault="00000000">
            <w:r>
              <w:rPr>
                <w:sz w:val="14"/>
              </w:rPr>
              <w:t>Falling inflation / Tightening</w:t>
            </w:r>
          </w:p>
        </w:tc>
        <w:tc>
          <w:tcPr>
            <w:tcW w:w="605" w:type="dxa"/>
            <w:shd w:val="clear" w:color="auto" w:fill="FFFFFF"/>
            <w:tcMar>
              <w:top w:w="80" w:type="dxa"/>
              <w:left w:w="80" w:type="dxa"/>
              <w:bottom w:w="80" w:type="dxa"/>
              <w:right w:w="80" w:type="dxa"/>
            </w:tcMar>
            <w:vAlign w:val="center"/>
          </w:tcPr>
          <w:p w14:paraId="2F91453A" w14:textId="77777777" w:rsidR="00E96623" w:rsidRDefault="00000000">
            <w:r>
              <w:rPr>
                <w:sz w:val="14"/>
              </w:rPr>
              <w:t>25%</w:t>
            </w:r>
          </w:p>
        </w:tc>
        <w:tc>
          <w:tcPr>
            <w:tcW w:w="605" w:type="dxa"/>
            <w:shd w:val="clear" w:color="auto" w:fill="FFFFFF"/>
            <w:tcMar>
              <w:top w:w="80" w:type="dxa"/>
              <w:left w:w="80" w:type="dxa"/>
              <w:bottom w:w="80" w:type="dxa"/>
              <w:right w:w="80" w:type="dxa"/>
            </w:tcMar>
            <w:vAlign w:val="center"/>
          </w:tcPr>
          <w:p w14:paraId="73197D7C" w14:textId="77777777" w:rsidR="00E96623" w:rsidRDefault="00000000">
            <w:r>
              <w:rPr>
                <w:sz w:val="14"/>
              </w:rPr>
              <w:t>10%</w:t>
            </w:r>
          </w:p>
        </w:tc>
        <w:tc>
          <w:tcPr>
            <w:tcW w:w="605" w:type="dxa"/>
            <w:shd w:val="clear" w:color="auto" w:fill="FFFFFF"/>
            <w:tcMar>
              <w:top w:w="80" w:type="dxa"/>
              <w:left w:w="80" w:type="dxa"/>
              <w:bottom w:w="80" w:type="dxa"/>
              <w:right w:w="80" w:type="dxa"/>
            </w:tcMar>
            <w:vAlign w:val="center"/>
          </w:tcPr>
          <w:p w14:paraId="33EFFFD3" w14:textId="77777777" w:rsidR="00E96623" w:rsidRDefault="00000000">
            <w:r>
              <w:rPr>
                <w:sz w:val="14"/>
              </w:rPr>
              <w:t>20%</w:t>
            </w:r>
          </w:p>
        </w:tc>
        <w:tc>
          <w:tcPr>
            <w:tcW w:w="605" w:type="dxa"/>
            <w:shd w:val="clear" w:color="auto" w:fill="FFFFFF"/>
            <w:tcMar>
              <w:top w:w="80" w:type="dxa"/>
              <w:left w:w="80" w:type="dxa"/>
              <w:bottom w:w="80" w:type="dxa"/>
              <w:right w:w="80" w:type="dxa"/>
            </w:tcMar>
            <w:vAlign w:val="center"/>
          </w:tcPr>
          <w:p w14:paraId="19360C35" w14:textId="77777777" w:rsidR="00E96623" w:rsidRDefault="00000000">
            <w:r>
              <w:rPr>
                <w:sz w:val="14"/>
              </w:rPr>
              <w:t>15%</w:t>
            </w:r>
          </w:p>
        </w:tc>
        <w:tc>
          <w:tcPr>
            <w:tcW w:w="605" w:type="dxa"/>
            <w:shd w:val="clear" w:color="auto" w:fill="FFFFFF"/>
            <w:tcMar>
              <w:top w:w="80" w:type="dxa"/>
              <w:left w:w="80" w:type="dxa"/>
              <w:bottom w:w="80" w:type="dxa"/>
              <w:right w:w="80" w:type="dxa"/>
            </w:tcMar>
            <w:vAlign w:val="center"/>
          </w:tcPr>
          <w:p w14:paraId="497F1CD4" w14:textId="77777777" w:rsidR="00E96623" w:rsidRDefault="00000000">
            <w:r>
              <w:rPr>
                <w:sz w:val="14"/>
              </w:rPr>
              <w:t>5%</w:t>
            </w:r>
          </w:p>
        </w:tc>
        <w:tc>
          <w:tcPr>
            <w:tcW w:w="605" w:type="dxa"/>
            <w:shd w:val="clear" w:color="auto" w:fill="FFFFFF"/>
            <w:tcMar>
              <w:top w:w="80" w:type="dxa"/>
              <w:left w:w="80" w:type="dxa"/>
              <w:bottom w:w="80" w:type="dxa"/>
              <w:right w:w="80" w:type="dxa"/>
            </w:tcMar>
            <w:vAlign w:val="center"/>
          </w:tcPr>
          <w:p w14:paraId="2C81C71C" w14:textId="77777777" w:rsidR="00E96623" w:rsidRDefault="00000000">
            <w:r>
              <w:rPr>
                <w:sz w:val="14"/>
              </w:rPr>
              <w:t>5%</w:t>
            </w:r>
          </w:p>
        </w:tc>
        <w:tc>
          <w:tcPr>
            <w:tcW w:w="605" w:type="dxa"/>
            <w:shd w:val="clear" w:color="auto" w:fill="FFFFFF"/>
            <w:tcMar>
              <w:top w:w="80" w:type="dxa"/>
              <w:left w:w="80" w:type="dxa"/>
              <w:bottom w:w="80" w:type="dxa"/>
              <w:right w:w="80" w:type="dxa"/>
            </w:tcMar>
            <w:vAlign w:val="center"/>
          </w:tcPr>
          <w:p w14:paraId="09C04BB3" w14:textId="77777777" w:rsidR="00E96623" w:rsidRDefault="00000000">
            <w:r>
              <w:rPr>
                <w:sz w:val="14"/>
              </w:rPr>
              <w:t>20%</w:t>
            </w:r>
          </w:p>
        </w:tc>
        <w:tc>
          <w:tcPr>
            <w:tcW w:w="3672" w:type="dxa"/>
            <w:shd w:val="clear" w:color="auto" w:fill="FFFFFF"/>
            <w:tcMar>
              <w:top w:w="80" w:type="dxa"/>
              <w:left w:w="80" w:type="dxa"/>
              <w:bottom w:w="80" w:type="dxa"/>
              <w:right w:w="80" w:type="dxa"/>
            </w:tcMar>
            <w:vAlign w:val="center"/>
          </w:tcPr>
          <w:p w14:paraId="3124D34B" w14:textId="77777777" w:rsidR="00E96623" w:rsidRDefault="00000000">
            <w:r>
              <w:rPr>
                <w:sz w:val="14"/>
              </w:rPr>
              <w:t>Quality fixed income and cash while policy remains restrictive.</w:t>
            </w:r>
          </w:p>
        </w:tc>
      </w:tr>
      <w:tr w:rsidR="00E96623" w14:paraId="196E1A0B" w14:textId="77777777">
        <w:trPr>
          <w:jc w:val="center"/>
        </w:trPr>
        <w:tc>
          <w:tcPr>
            <w:tcW w:w="2088" w:type="dxa"/>
            <w:shd w:val="clear" w:color="auto" w:fill="F2F4F7"/>
            <w:tcMar>
              <w:top w:w="80" w:type="dxa"/>
              <w:left w:w="80" w:type="dxa"/>
              <w:bottom w:w="80" w:type="dxa"/>
              <w:right w:w="80" w:type="dxa"/>
            </w:tcMar>
            <w:vAlign w:val="center"/>
          </w:tcPr>
          <w:p w14:paraId="345EF80B" w14:textId="77777777" w:rsidR="00E96623" w:rsidRDefault="00000000">
            <w:r>
              <w:rPr>
                <w:sz w:val="14"/>
              </w:rPr>
              <w:t>Falling inflation / Easing</w:t>
            </w:r>
          </w:p>
        </w:tc>
        <w:tc>
          <w:tcPr>
            <w:tcW w:w="605" w:type="dxa"/>
            <w:shd w:val="clear" w:color="auto" w:fill="F2F4F7"/>
            <w:tcMar>
              <w:top w:w="80" w:type="dxa"/>
              <w:left w:w="80" w:type="dxa"/>
              <w:bottom w:w="80" w:type="dxa"/>
              <w:right w:w="80" w:type="dxa"/>
            </w:tcMar>
            <w:vAlign w:val="center"/>
          </w:tcPr>
          <w:p w14:paraId="3A5E8481" w14:textId="77777777" w:rsidR="00E96623" w:rsidRDefault="00000000">
            <w:r>
              <w:rPr>
                <w:sz w:val="14"/>
              </w:rPr>
              <w:t>35%</w:t>
            </w:r>
          </w:p>
        </w:tc>
        <w:tc>
          <w:tcPr>
            <w:tcW w:w="605" w:type="dxa"/>
            <w:shd w:val="clear" w:color="auto" w:fill="F2F4F7"/>
            <w:tcMar>
              <w:top w:w="80" w:type="dxa"/>
              <w:left w:w="80" w:type="dxa"/>
              <w:bottom w:w="80" w:type="dxa"/>
              <w:right w:w="80" w:type="dxa"/>
            </w:tcMar>
            <w:vAlign w:val="center"/>
          </w:tcPr>
          <w:p w14:paraId="570E1FC7" w14:textId="77777777" w:rsidR="00E96623" w:rsidRDefault="00000000">
            <w:r>
              <w:rPr>
                <w:sz w:val="14"/>
              </w:rPr>
              <w:t>15%</w:t>
            </w:r>
          </w:p>
        </w:tc>
        <w:tc>
          <w:tcPr>
            <w:tcW w:w="605" w:type="dxa"/>
            <w:shd w:val="clear" w:color="auto" w:fill="F2F4F7"/>
            <w:tcMar>
              <w:top w:w="80" w:type="dxa"/>
              <w:left w:w="80" w:type="dxa"/>
              <w:bottom w:w="80" w:type="dxa"/>
              <w:right w:w="80" w:type="dxa"/>
            </w:tcMar>
            <w:vAlign w:val="center"/>
          </w:tcPr>
          <w:p w14:paraId="53E60A1B" w14:textId="77777777" w:rsidR="00E96623" w:rsidRDefault="00000000">
            <w:r>
              <w:rPr>
                <w:sz w:val="14"/>
              </w:rPr>
              <w:t>20%</w:t>
            </w:r>
          </w:p>
        </w:tc>
        <w:tc>
          <w:tcPr>
            <w:tcW w:w="605" w:type="dxa"/>
            <w:shd w:val="clear" w:color="auto" w:fill="F2F4F7"/>
            <w:tcMar>
              <w:top w:w="80" w:type="dxa"/>
              <w:left w:w="80" w:type="dxa"/>
              <w:bottom w:w="80" w:type="dxa"/>
              <w:right w:w="80" w:type="dxa"/>
            </w:tcMar>
            <w:vAlign w:val="center"/>
          </w:tcPr>
          <w:p w14:paraId="3B1E8E77" w14:textId="77777777" w:rsidR="00E96623" w:rsidRDefault="00000000">
            <w:r>
              <w:rPr>
                <w:sz w:val="14"/>
              </w:rPr>
              <w:t>10%</w:t>
            </w:r>
          </w:p>
        </w:tc>
        <w:tc>
          <w:tcPr>
            <w:tcW w:w="605" w:type="dxa"/>
            <w:shd w:val="clear" w:color="auto" w:fill="F2F4F7"/>
            <w:tcMar>
              <w:top w:w="80" w:type="dxa"/>
              <w:left w:w="80" w:type="dxa"/>
              <w:bottom w:w="80" w:type="dxa"/>
              <w:right w:w="80" w:type="dxa"/>
            </w:tcMar>
            <w:vAlign w:val="center"/>
          </w:tcPr>
          <w:p w14:paraId="1E4C5136" w14:textId="77777777" w:rsidR="00E96623" w:rsidRDefault="00000000">
            <w:r>
              <w:rPr>
                <w:sz w:val="14"/>
              </w:rPr>
              <w:t>10%</w:t>
            </w:r>
          </w:p>
        </w:tc>
        <w:tc>
          <w:tcPr>
            <w:tcW w:w="605" w:type="dxa"/>
            <w:shd w:val="clear" w:color="auto" w:fill="F2F4F7"/>
            <w:tcMar>
              <w:top w:w="80" w:type="dxa"/>
              <w:left w:w="80" w:type="dxa"/>
              <w:bottom w:w="80" w:type="dxa"/>
              <w:right w:w="80" w:type="dxa"/>
            </w:tcMar>
            <w:vAlign w:val="center"/>
          </w:tcPr>
          <w:p w14:paraId="70D44042" w14:textId="77777777" w:rsidR="00E96623" w:rsidRDefault="00000000">
            <w:r>
              <w:rPr>
                <w:sz w:val="14"/>
              </w:rPr>
              <w:t>5%</w:t>
            </w:r>
          </w:p>
        </w:tc>
        <w:tc>
          <w:tcPr>
            <w:tcW w:w="605" w:type="dxa"/>
            <w:shd w:val="clear" w:color="auto" w:fill="F2F4F7"/>
            <w:tcMar>
              <w:top w:w="80" w:type="dxa"/>
              <w:left w:w="80" w:type="dxa"/>
              <w:bottom w:w="80" w:type="dxa"/>
              <w:right w:w="80" w:type="dxa"/>
            </w:tcMar>
            <w:vAlign w:val="center"/>
          </w:tcPr>
          <w:p w14:paraId="19B2144C" w14:textId="77777777" w:rsidR="00E96623" w:rsidRDefault="00000000">
            <w:r>
              <w:rPr>
                <w:sz w:val="14"/>
              </w:rPr>
              <w:t>5%</w:t>
            </w:r>
          </w:p>
        </w:tc>
        <w:tc>
          <w:tcPr>
            <w:tcW w:w="3672" w:type="dxa"/>
            <w:shd w:val="clear" w:color="auto" w:fill="F2F4F7"/>
            <w:tcMar>
              <w:top w:w="80" w:type="dxa"/>
              <w:left w:w="80" w:type="dxa"/>
              <w:bottom w:w="80" w:type="dxa"/>
              <w:right w:w="80" w:type="dxa"/>
            </w:tcMar>
            <w:vAlign w:val="center"/>
          </w:tcPr>
          <w:p w14:paraId="5FC165E0" w14:textId="77777777" w:rsidR="00E96623" w:rsidRDefault="00000000">
            <w:r>
              <w:rPr>
                <w:sz w:val="14"/>
              </w:rPr>
              <w:t>Higher growth and duration exposure in disinflationary easing.</w:t>
            </w:r>
          </w:p>
        </w:tc>
      </w:tr>
    </w:tbl>
    <w:p w14:paraId="2FE9DF67" w14:textId="77777777" w:rsidR="00E96623" w:rsidRDefault="00E96623">
      <w:pPr>
        <w:spacing w:after="0"/>
      </w:pPr>
    </w:p>
    <w:p w14:paraId="3A2C503B" w14:textId="77777777" w:rsidR="00E96623" w:rsidRDefault="00000000">
      <w:pPr>
        <w:pStyle w:val="BodyText"/>
        <w:ind w:firstLine="360"/>
      </w:pPr>
      <w:r>
        <w:lastRenderedPageBreak/>
        <w:t>The allocation matrix was fixed before the final backtest. It is intentionally coarse and does not claim to forecast markets. Its value was judged by net performance, drawdown reduction, and the precommitted decision standard.</w:t>
      </w:r>
    </w:p>
    <w:p w14:paraId="510EAACB" w14:textId="77777777" w:rsidR="00E96623" w:rsidRDefault="00000000">
      <w:pPr>
        <w:pStyle w:val="Heading2"/>
      </w:pPr>
      <w:r>
        <w:rPr>
          <w:rFonts w:ascii="Cambria" w:hAnsi="Cambria"/>
        </w:rPr>
        <w:t>5.7 Out-of-Sample Design</w:t>
      </w:r>
    </w:p>
    <w:p w14:paraId="3ABB12E6" w14:textId="77777777" w:rsidR="00E96623" w:rsidRDefault="00000000">
      <w:pPr>
        <w:pStyle w:val="BodyText"/>
        <w:ind w:firstLine="360"/>
      </w:pPr>
      <w:r>
        <w:t>The main test uses a rolling 60-month estimation window. January 2008 through December 2012 is used only for the first set of estimates, and reported optimized performance begins in January 2013. Every quarterly rebalance uses data strictly earlier than the return month.</w:t>
      </w:r>
    </w:p>
    <w:p w14:paraId="35D0E3A3" w14:textId="77777777" w:rsidR="00E96623" w:rsidRDefault="00000000">
      <w:pPr>
        <w:pStyle w:val="BodyText"/>
        <w:ind w:firstLine="360"/>
      </w:pPr>
      <w:r>
        <w:t>Robustness tests vary the estimation window, rebalancing frequency, maximum asset weight, and transaction cost. Stress-period tests separately report the COVID shock, full-year 2020, the 2022 rate shock, and NBER recession months.</w:t>
      </w:r>
    </w:p>
    <w:p w14:paraId="29B9B524" w14:textId="77777777" w:rsidR="00E96623" w:rsidRDefault="00000000">
      <w:pPr>
        <w:pStyle w:val="Heading2"/>
      </w:pPr>
      <w:r>
        <w:rPr>
          <w:rFonts w:ascii="Cambria" w:hAnsi="Cambria"/>
        </w:rPr>
        <w:t>5.8 Performance Measures</w:t>
      </w:r>
    </w:p>
    <w:p w14:paraId="5466E026" w14:textId="77777777" w:rsidR="00E96623" w:rsidRDefault="00000000">
      <w:pPr>
        <w:keepNext/>
      </w:pPr>
      <w:r>
        <w:rPr>
          <w:b/>
          <w:color w:val="0B1F3A"/>
          <w:sz w:val="19"/>
        </w:rPr>
        <w:t>Table 7. Evaluation metrics</w:t>
      </w:r>
    </w:p>
    <w:tbl>
      <w:tblPr>
        <w:tblW w:w="0" w:type="auto"/>
        <w:jc w:val="center"/>
        <w:tblLayout w:type="fixed"/>
        <w:tblLook w:val="04A0" w:firstRow="1" w:lastRow="0" w:firstColumn="1" w:lastColumn="0" w:noHBand="0" w:noVBand="1"/>
      </w:tblPr>
      <w:tblGrid>
        <w:gridCol w:w="3331"/>
        <w:gridCol w:w="3888"/>
        <w:gridCol w:w="3600"/>
      </w:tblGrid>
      <w:tr w:rsidR="00E96623" w14:paraId="79DE1619" w14:textId="77777777">
        <w:trPr>
          <w:tblHeader/>
          <w:jc w:val="center"/>
        </w:trPr>
        <w:tc>
          <w:tcPr>
            <w:tcW w:w="3331" w:type="dxa"/>
            <w:tcBorders>
              <w:top w:val="single" w:sz="6" w:space="0" w:color="0B1F3A"/>
              <w:left w:val="single" w:sz="4" w:space="0" w:color="FFFFFF"/>
              <w:bottom w:val="single" w:sz="6" w:space="0" w:color="0B1F3A"/>
              <w:right w:val="single" w:sz="4" w:space="0" w:color="FFFFFF"/>
            </w:tcBorders>
            <w:shd w:val="clear" w:color="auto" w:fill="0B1F3A"/>
            <w:tcMar>
              <w:top w:w="90" w:type="dxa"/>
              <w:left w:w="90" w:type="dxa"/>
              <w:bottom w:w="90" w:type="dxa"/>
              <w:right w:w="90" w:type="dxa"/>
            </w:tcMar>
            <w:vAlign w:val="center"/>
          </w:tcPr>
          <w:p w14:paraId="09B1E2E1" w14:textId="77777777" w:rsidR="00E96623" w:rsidRDefault="00000000">
            <w:r>
              <w:rPr>
                <w:b/>
                <w:color w:val="FFFFFF"/>
                <w:sz w:val="17"/>
              </w:rPr>
              <w:t>Metric</w:t>
            </w:r>
          </w:p>
        </w:tc>
        <w:tc>
          <w:tcPr>
            <w:tcW w:w="3331" w:type="dxa"/>
            <w:tcBorders>
              <w:top w:val="single" w:sz="6" w:space="0" w:color="0B1F3A"/>
              <w:left w:val="single" w:sz="4" w:space="0" w:color="FFFFFF"/>
              <w:bottom w:val="single" w:sz="6" w:space="0" w:color="0B1F3A"/>
              <w:right w:val="single" w:sz="4" w:space="0" w:color="FFFFFF"/>
            </w:tcBorders>
            <w:shd w:val="clear" w:color="auto" w:fill="0B1F3A"/>
            <w:tcMar>
              <w:top w:w="90" w:type="dxa"/>
              <w:left w:w="90" w:type="dxa"/>
              <w:bottom w:w="90" w:type="dxa"/>
              <w:right w:w="90" w:type="dxa"/>
            </w:tcMar>
            <w:vAlign w:val="center"/>
          </w:tcPr>
          <w:p w14:paraId="085999C0" w14:textId="77777777" w:rsidR="00E96623" w:rsidRDefault="00000000">
            <w:r>
              <w:rPr>
                <w:b/>
                <w:color w:val="FFFFFF"/>
                <w:sz w:val="17"/>
              </w:rPr>
              <w:t>Definition</w:t>
            </w:r>
          </w:p>
        </w:tc>
        <w:tc>
          <w:tcPr>
            <w:tcW w:w="3331" w:type="dxa"/>
            <w:tcBorders>
              <w:top w:val="single" w:sz="6" w:space="0" w:color="0B1F3A"/>
              <w:left w:val="single" w:sz="4" w:space="0" w:color="FFFFFF"/>
              <w:bottom w:val="single" w:sz="6" w:space="0" w:color="0B1F3A"/>
              <w:right w:val="single" w:sz="4" w:space="0" w:color="FFFFFF"/>
            </w:tcBorders>
            <w:shd w:val="clear" w:color="auto" w:fill="0B1F3A"/>
            <w:tcMar>
              <w:top w:w="90" w:type="dxa"/>
              <w:left w:w="90" w:type="dxa"/>
              <w:bottom w:w="90" w:type="dxa"/>
              <w:right w:w="90" w:type="dxa"/>
            </w:tcMar>
            <w:vAlign w:val="center"/>
          </w:tcPr>
          <w:p w14:paraId="706BFD37" w14:textId="77777777" w:rsidR="00E96623" w:rsidRDefault="00000000">
            <w:r>
              <w:rPr>
                <w:b/>
                <w:color w:val="FFFFFF"/>
                <w:sz w:val="17"/>
              </w:rPr>
              <w:t>Client relevance</w:t>
            </w:r>
          </w:p>
        </w:tc>
      </w:tr>
      <w:tr w:rsidR="00E96623" w14:paraId="70291F2E" w14:textId="77777777">
        <w:trPr>
          <w:jc w:val="center"/>
        </w:trPr>
        <w:tc>
          <w:tcPr>
            <w:tcW w:w="208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5802A54E" w14:textId="77777777" w:rsidR="00E96623" w:rsidRDefault="00000000">
            <w:r>
              <w:rPr>
                <w:sz w:val="16"/>
              </w:rPr>
              <w:t>CAGR</w:t>
            </w:r>
          </w:p>
        </w:tc>
        <w:tc>
          <w:tcPr>
            <w:tcW w:w="388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788C94A6" w14:textId="77777777" w:rsidR="00E96623" w:rsidRDefault="00000000">
            <w:r>
              <w:rPr>
                <w:sz w:val="16"/>
              </w:rPr>
              <w:t>Geometric annualized growth rate</w:t>
            </w:r>
          </w:p>
        </w:tc>
        <w:tc>
          <w:tcPr>
            <w:tcW w:w="3600"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442F930C" w14:textId="77777777" w:rsidR="00E96623" w:rsidRDefault="00000000">
            <w:r>
              <w:rPr>
                <w:sz w:val="16"/>
              </w:rPr>
              <w:t>Long-term compounding of nominal wealth</w:t>
            </w:r>
          </w:p>
        </w:tc>
      </w:tr>
      <w:tr w:rsidR="00E96623" w14:paraId="5161369F" w14:textId="77777777">
        <w:trPr>
          <w:jc w:val="center"/>
        </w:trPr>
        <w:tc>
          <w:tcPr>
            <w:tcW w:w="208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749E1028" w14:textId="77777777" w:rsidR="00E96623" w:rsidRDefault="00000000">
            <w:r>
              <w:rPr>
                <w:sz w:val="16"/>
              </w:rPr>
              <w:t>Real CAGR</w:t>
            </w:r>
          </w:p>
        </w:tc>
        <w:tc>
          <w:tcPr>
            <w:tcW w:w="388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6EDED6D3" w14:textId="77777777" w:rsidR="00E96623" w:rsidRDefault="00000000">
            <w:r>
              <w:rPr>
                <w:sz w:val="16"/>
              </w:rPr>
              <w:t>CAGR after CPI adjustment</w:t>
            </w:r>
          </w:p>
        </w:tc>
        <w:tc>
          <w:tcPr>
            <w:tcW w:w="3600"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75E44613" w14:textId="77777777" w:rsidR="00E96623" w:rsidRDefault="00000000">
            <w:r>
              <w:rPr>
                <w:sz w:val="16"/>
              </w:rPr>
              <w:t>Purchasing-power preservation</w:t>
            </w:r>
          </w:p>
        </w:tc>
      </w:tr>
      <w:tr w:rsidR="00E96623" w14:paraId="7E4E73C3" w14:textId="77777777">
        <w:trPr>
          <w:jc w:val="center"/>
        </w:trPr>
        <w:tc>
          <w:tcPr>
            <w:tcW w:w="208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19794502" w14:textId="77777777" w:rsidR="00E96623" w:rsidRDefault="00000000">
            <w:r>
              <w:rPr>
                <w:sz w:val="16"/>
              </w:rPr>
              <w:t>Annualized volatility</w:t>
            </w:r>
          </w:p>
        </w:tc>
        <w:tc>
          <w:tcPr>
            <w:tcW w:w="388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5C592FFF" w14:textId="77777777" w:rsidR="00E96623" w:rsidRDefault="00000000">
            <w:r>
              <w:rPr>
                <w:sz w:val="16"/>
              </w:rPr>
              <w:t>Monthly standard deviation × √12</w:t>
            </w:r>
          </w:p>
        </w:tc>
        <w:tc>
          <w:tcPr>
            <w:tcW w:w="3600"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64933468" w14:textId="77777777" w:rsidR="00E96623" w:rsidRDefault="00000000">
            <w:r>
              <w:rPr>
                <w:sz w:val="16"/>
              </w:rPr>
              <w:t>Variability and planning uncertainty</w:t>
            </w:r>
          </w:p>
        </w:tc>
      </w:tr>
      <w:tr w:rsidR="00E96623" w14:paraId="771ADFB1" w14:textId="77777777">
        <w:trPr>
          <w:jc w:val="center"/>
        </w:trPr>
        <w:tc>
          <w:tcPr>
            <w:tcW w:w="208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22BBF4F4" w14:textId="77777777" w:rsidR="00E96623" w:rsidRDefault="00000000">
            <w:r>
              <w:rPr>
                <w:sz w:val="16"/>
              </w:rPr>
              <w:t>Sharpe ratio</w:t>
            </w:r>
          </w:p>
        </w:tc>
        <w:tc>
          <w:tcPr>
            <w:tcW w:w="388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1FB10AE3" w14:textId="77777777" w:rsidR="00E96623" w:rsidRDefault="00000000">
            <w:r>
              <w:rPr>
                <w:sz w:val="16"/>
              </w:rPr>
              <w:t>Annualized excess return / annualized volatility</w:t>
            </w:r>
          </w:p>
        </w:tc>
        <w:tc>
          <w:tcPr>
            <w:tcW w:w="3600"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65FB5C90" w14:textId="77777777" w:rsidR="00E96623" w:rsidRDefault="00000000">
            <w:r>
              <w:rPr>
                <w:sz w:val="16"/>
              </w:rPr>
              <w:t>Return per unit of total variability</w:t>
            </w:r>
          </w:p>
        </w:tc>
      </w:tr>
      <w:tr w:rsidR="00E96623" w14:paraId="15E45AD9" w14:textId="77777777">
        <w:trPr>
          <w:jc w:val="center"/>
        </w:trPr>
        <w:tc>
          <w:tcPr>
            <w:tcW w:w="208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5D049245" w14:textId="77777777" w:rsidR="00E96623" w:rsidRDefault="00000000">
            <w:r>
              <w:rPr>
                <w:sz w:val="16"/>
              </w:rPr>
              <w:t>Sortino ratio</w:t>
            </w:r>
          </w:p>
        </w:tc>
        <w:tc>
          <w:tcPr>
            <w:tcW w:w="388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136C3C68" w14:textId="77777777" w:rsidR="00E96623" w:rsidRDefault="00000000">
            <w:r>
              <w:rPr>
                <w:sz w:val="16"/>
              </w:rPr>
              <w:t>Annualized excess return / downside deviation</w:t>
            </w:r>
          </w:p>
        </w:tc>
        <w:tc>
          <w:tcPr>
            <w:tcW w:w="3600"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3A56255E" w14:textId="77777777" w:rsidR="00E96623" w:rsidRDefault="00000000">
            <w:r>
              <w:rPr>
                <w:sz w:val="16"/>
              </w:rPr>
              <w:t>Return relative to harmful volatility</w:t>
            </w:r>
          </w:p>
        </w:tc>
      </w:tr>
      <w:tr w:rsidR="00E96623" w14:paraId="196B2BDD" w14:textId="77777777">
        <w:trPr>
          <w:jc w:val="center"/>
        </w:trPr>
        <w:tc>
          <w:tcPr>
            <w:tcW w:w="208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747DE62F" w14:textId="77777777" w:rsidR="00E96623" w:rsidRDefault="00000000">
            <w:r>
              <w:rPr>
                <w:sz w:val="16"/>
              </w:rPr>
              <w:t>Maximum drawdown</w:t>
            </w:r>
          </w:p>
        </w:tc>
        <w:tc>
          <w:tcPr>
            <w:tcW w:w="388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1CF4917D" w14:textId="77777777" w:rsidR="00E96623" w:rsidRDefault="00000000">
            <w:r>
              <w:rPr>
                <w:sz w:val="16"/>
              </w:rPr>
              <w:t>Largest peak-to-trough decline</w:t>
            </w:r>
          </w:p>
        </w:tc>
        <w:tc>
          <w:tcPr>
            <w:tcW w:w="3600"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6D7E17FD" w14:textId="77777777" w:rsidR="00E96623" w:rsidRDefault="00000000">
            <w:r>
              <w:rPr>
                <w:sz w:val="16"/>
              </w:rPr>
              <w:t>Behavioral and capital-preservation stress</w:t>
            </w:r>
          </w:p>
        </w:tc>
      </w:tr>
      <w:tr w:rsidR="00E96623" w14:paraId="40B38381" w14:textId="77777777">
        <w:trPr>
          <w:jc w:val="center"/>
        </w:trPr>
        <w:tc>
          <w:tcPr>
            <w:tcW w:w="208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3F7E86F1" w14:textId="77777777" w:rsidR="00E96623" w:rsidRDefault="00000000">
            <w:r>
              <w:rPr>
                <w:sz w:val="16"/>
              </w:rPr>
              <w:t>Recovery time</w:t>
            </w:r>
          </w:p>
        </w:tc>
        <w:tc>
          <w:tcPr>
            <w:tcW w:w="388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740B943A" w14:textId="77777777" w:rsidR="00E96623" w:rsidRDefault="00000000">
            <w:r>
              <w:rPr>
                <w:sz w:val="16"/>
              </w:rPr>
              <w:t>Months from prior peak to a new high</w:t>
            </w:r>
          </w:p>
        </w:tc>
        <w:tc>
          <w:tcPr>
            <w:tcW w:w="3600"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7B427C9D" w14:textId="77777777" w:rsidR="00E96623" w:rsidRDefault="00000000">
            <w:r>
              <w:rPr>
                <w:sz w:val="16"/>
              </w:rPr>
              <w:t>Duration of financial and behavioral pressure</w:t>
            </w:r>
          </w:p>
        </w:tc>
      </w:tr>
      <w:tr w:rsidR="00E96623" w14:paraId="04A8B337" w14:textId="77777777">
        <w:trPr>
          <w:jc w:val="center"/>
        </w:trPr>
        <w:tc>
          <w:tcPr>
            <w:tcW w:w="208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41C8B811" w14:textId="77777777" w:rsidR="00E96623" w:rsidRDefault="00000000">
            <w:r>
              <w:rPr>
                <w:sz w:val="16"/>
              </w:rPr>
              <w:t>95% VaR</w:t>
            </w:r>
          </w:p>
        </w:tc>
        <w:tc>
          <w:tcPr>
            <w:tcW w:w="388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4C4A3399" w14:textId="77777777" w:rsidR="00E96623" w:rsidRDefault="00000000">
            <w:r>
              <w:rPr>
                <w:sz w:val="16"/>
              </w:rPr>
              <w:t>Fifth percentile monthly return expressed as loss</w:t>
            </w:r>
          </w:p>
        </w:tc>
        <w:tc>
          <w:tcPr>
            <w:tcW w:w="3600"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55AA631A" w14:textId="77777777" w:rsidR="00E96623" w:rsidRDefault="00000000">
            <w:r>
              <w:rPr>
                <w:sz w:val="16"/>
              </w:rPr>
              <w:t>Loss threshold under historical simulation</w:t>
            </w:r>
          </w:p>
        </w:tc>
      </w:tr>
      <w:tr w:rsidR="00E96623" w14:paraId="0546012C" w14:textId="77777777">
        <w:trPr>
          <w:jc w:val="center"/>
        </w:trPr>
        <w:tc>
          <w:tcPr>
            <w:tcW w:w="208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56F0057E" w14:textId="77777777" w:rsidR="00E96623" w:rsidRDefault="00000000">
            <w:r>
              <w:rPr>
                <w:sz w:val="16"/>
              </w:rPr>
              <w:t>95% CVaR</w:t>
            </w:r>
          </w:p>
        </w:tc>
        <w:tc>
          <w:tcPr>
            <w:tcW w:w="388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510F9BAC" w14:textId="77777777" w:rsidR="00E96623" w:rsidRDefault="00000000">
            <w:r>
              <w:rPr>
                <w:sz w:val="16"/>
              </w:rPr>
              <w:t>Average loss in worst 5% of months</w:t>
            </w:r>
          </w:p>
        </w:tc>
        <w:tc>
          <w:tcPr>
            <w:tcW w:w="3600"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5ED3FAB6" w14:textId="77777777" w:rsidR="00E96623" w:rsidRDefault="00000000">
            <w:r>
              <w:rPr>
                <w:sz w:val="16"/>
              </w:rPr>
              <w:t>Severity of tail outcomes</w:t>
            </w:r>
          </w:p>
        </w:tc>
      </w:tr>
      <w:tr w:rsidR="00E96623" w14:paraId="057332A1" w14:textId="77777777">
        <w:trPr>
          <w:jc w:val="center"/>
        </w:trPr>
        <w:tc>
          <w:tcPr>
            <w:tcW w:w="208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69A79B6C" w14:textId="77777777" w:rsidR="00E96623" w:rsidRDefault="00000000">
            <w:r>
              <w:rPr>
                <w:sz w:val="16"/>
              </w:rPr>
              <w:t>Turnover</w:t>
            </w:r>
          </w:p>
        </w:tc>
        <w:tc>
          <w:tcPr>
            <w:tcW w:w="388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5E025F0A" w14:textId="77777777" w:rsidR="00E96623" w:rsidRDefault="00000000">
            <w:r>
              <w:rPr>
                <w:sz w:val="16"/>
              </w:rPr>
              <w:t>Weight traded at each rebalance</w:t>
            </w:r>
          </w:p>
        </w:tc>
        <w:tc>
          <w:tcPr>
            <w:tcW w:w="3600"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1C04F68D" w14:textId="77777777" w:rsidR="00E96623" w:rsidRDefault="00000000">
            <w:r>
              <w:rPr>
                <w:sz w:val="16"/>
              </w:rPr>
              <w:t>Implementation cost and tax sensitivity</w:t>
            </w:r>
          </w:p>
        </w:tc>
      </w:tr>
      <w:tr w:rsidR="00E96623" w14:paraId="5E05E077" w14:textId="77777777">
        <w:trPr>
          <w:jc w:val="center"/>
        </w:trPr>
        <w:tc>
          <w:tcPr>
            <w:tcW w:w="208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2F69EED4" w14:textId="77777777" w:rsidR="00E96623" w:rsidRPr="009843CF" w:rsidRDefault="00000000">
            <w:pPr>
              <w:rPr>
                <w:sz w:val="18"/>
                <w:szCs w:val="18"/>
              </w:rPr>
            </w:pPr>
            <w:r w:rsidRPr="009843CF">
              <w:rPr>
                <w:sz w:val="18"/>
                <w:szCs w:val="18"/>
              </w:rPr>
              <w:t>Final wealth of $1</w:t>
            </w:r>
          </w:p>
        </w:tc>
        <w:tc>
          <w:tcPr>
            <w:tcW w:w="388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0DFC1888" w14:textId="77777777" w:rsidR="00E96623" w:rsidRPr="009843CF" w:rsidRDefault="00000000">
            <w:pPr>
              <w:rPr>
                <w:sz w:val="18"/>
                <w:szCs w:val="18"/>
              </w:rPr>
            </w:pPr>
            <w:r w:rsidRPr="009843CF">
              <w:rPr>
                <w:sz w:val="18"/>
                <w:szCs w:val="18"/>
              </w:rPr>
              <w:t>Cumulative value of one initial dollar after net returns</w:t>
            </w:r>
          </w:p>
        </w:tc>
        <w:tc>
          <w:tcPr>
            <w:tcW w:w="3600"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1B45C0E5" w14:textId="77777777" w:rsidR="00E96623" w:rsidRPr="009843CF" w:rsidRDefault="00000000">
            <w:pPr>
              <w:rPr>
                <w:sz w:val="18"/>
                <w:szCs w:val="18"/>
              </w:rPr>
            </w:pPr>
            <w:r w:rsidRPr="009843CF">
              <w:rPr>
                <w:sz w:val="18"/>
                <w:szCs w:val="18"/>
              </w:rPr>
              <w:t>Communicates the realized compounding outcome</w:t>
            </w:r>
          </w:p>
        </w:tc>
      </w:tr>
    </w:tbl>
    <w:p w14:paraId="228115D1" w14:textId="77777777" w:rsidR="00E96623" w:rsidRDefault="00E96623">
      <w:pPr>
        <w:spacing w:after="0"/>
      </w:pPr>
    </w:p>
    <w:p w14:paraId="4D2EAB92" w14:textId="77777777" w:rsidR="00E96623" w:rsidRDefault="00000000">
      <w:pPr>
        <w:pStyle w:val="Heading2"/>
      </w:pPr>
      <w:r w:rsidRPr="009843CF">
        <w:rPr>
          <w:rFonts w:ascii="Cambria" w:hAnsi="Cambria"/>
        </w:rPr>
        <w:t>5.9 Implementation Diagnostics</w:t>
      </w:r>
    </w:p>
    <w:p w14:paraId="1278E62B" w14:textId="77777777" w:rsidR="00E96623" w:rsidRDefault="00000000">
      <w:pPr>
        <w:pStyle w:val="BodyText"/>
        <w:ind w:firstLine="360"/>
      </w:pPr>
      <w:r>
        <w:t>The analysis inspects optimized weights, binding constraints, turnover, and solver diagnostics. The maximum-Sharpe model frequently reaches the 40 percent limits in SPY, IEF, or BIL and assigns near-zero weights to weaker estimated assets, illustrating the sensitivity of sample mean-variance optimization.</w:t>
      </w:r>
    </w:p>
    <w:p w14:paraId="4322C933" w14:textId="77777777" w:rsidR="00E96623" w:rsidRPr="009843CF" w:rsidRDefault="00000000">
      <w:pPr>
        <w:pStyle w:val="Heading2"/>
        <w:rPr>
          <w:rFonts w:ascii="Cambria" w:hAnsi="Cambria"/>
        </w:rPr>
      </w:pPr>
      <w:r w:rsidRPr="009843CF">
        <w:rPr>
          <w:rFonts w:ascii="Cambria" w:hAnsi="Cambria"/>
        </w:rPr>
        <w:t>5.10 Robustness Tests</w:t>
      </w:r>
    </w:p>
    <w:p w14:paraId="288D919B" w14:textId="77777777" w:rsidR="00E96623" w:rsidRDefault="00000000">
      <w:pPr>
        <w:pStyle w:val="ListBullet"/>
      </w:pPr>
      <w:r>
        <w:t>Estimation windows of 36, 60, and 84 months.</w:t>
      </w:r>
    </w:p>
    <w:p w14:paraId="5A17A63F" w14:textId="77777777" w:rsidR="00E96623" w:rsidRDefault="00000000">
      <w:pPr>
        <w:pStyle w:val="ListBullet"/>
      </w:pPr>
      <w:r>
        <w:t>Monthly, quarterly, and semiannual rebalancing.</w:t>
      </w:r>
    </w:p>
    <w:p w14:paraId="5851AEE7" w14:textId="4E4F8080" w:rsidR="00E96623" w:rsidRDefault="00000000">
      <w:pPr>
        <w:pStyle w:val="ListBullet"/>
      </w:pPr>
      <w:r>
        <w:t>Transaction costs of 0, 10, and 25 basis points per unit of one</w:t>
      </w:r>
      <w:r w:rsidR="009843CF">
        <w:t xml:space="preserve"> </w:t>
      </w:r>
      <w:r>
        <w:t>way turnover.</w:t>
      </w:r>
    </w:p>
    <w:p w14:paraId="50AFC2F6" w14:textId="77777777" w:rsidR="00E96623" w:rsidRDefault="00000000">
      <w:pPr>
        <w:pStyle w:val="ListBullet"/>
      </w:pPr>
      <w:r>
        <w:t>A stricter 30 percent maximum weight for each asset.</w:t>
      </w:r>
    </w:p>
    <w:p w14:paraId="01D7388E" w14:textId="64C7040D" w:rsidR="00E96623" w:rsidRDefault="00000000">
      <w:pPr>
        <w:pStyle w:val="ListBullet"/>
      </w:pPr>
      <w:r>
        <w:t>COVID shock, full-year 2020, 2022 rate</w:t>
      </w:r>
      <w:r w:rsidR="009843CF">
        <w:t xml:space="preserve"> </w:t>
      </w:r>
      <w:r>
        <w:t>shock, and NBER recession</w:t>
      </w:r>
      <w:r w:rsidR="009843CF">
        <w:t xml:space="preserve"> </w:t>
      </w:r>
      <w:r>
        <w:t>month tests.</w:t>
      </w:r>
    </w:p>
    <w:p w14:paraId="38A14341" w14:textId="077AE8F3" w:rsidR="00E96623" w:rsidRDefault="009843CF">
      <w:pPr>
        <w:pStyle w:val="ListBullet"/>
      </w:pPr>
      <w:r w:rsidRPr="009843CF">
        <w:lastRenderedPageBreak/>
        <w:t>Multiple feasible starting allocations were used in the robustness analysis to reduce sensitivity to numerical initialization. The primary 2013–2025 mean</w:t>
      </w:r>
      <w:r>
        <w:t xml:space="preserve"> </w:t>
      </w:r>
      <w:r w:rsidRPr="009843CF">
        <w:t>variance model retained its original optimization specification</w:t>
      </w:r>
      <w:r>
        <w:t>.</w:t>
      </w:r>
    </w:p>
    <w:p w14:paraId="1D9DD9C7" w14:textId="77777777" w:rsidR="00E96623" w:rsidRDefault="00000000">
      <w:pPr>
        <w:pStyle w:val="Heading1"/>
      </w:pPr>
      <w:r>
        <w:rPr>
          <w:b w:val="0"/>
        </w:rPr>
        <w:t>6. Empirical Results</w:t>
      </w:r>
    </w:p>
    <w:p w14:paraId="4BB86482" w14:textId="77777777" w:rsidR="00E96623" w:rsidRDefault="00000000">
      <w:pPr>
        <w:pStyle w:val="Heading2"/>
      </w:pPr>
      <w:r>
        <w:t>6.1 Main Out-of-Sample Performance</w:t>
      </w:r>
    </w:p>
    <w:p w14:paraId="7BF4B86C" w14:textId="77777777" w:rsidR="00E96623" w:rsidRDefault="00000000">
      <w:pPr>
        <w:pStyle w:val="BodyText"/>
      </w:pPr>
      <w:r>
        <w:t>The principal comparison covers 156 months from January 2013 through December 2025. All figures are net of 10 basis points per unit of one-way turnover. The traditional 60/40 portfolio produced the strongest compounding, while the optimized portfolios delivered substantially lower volatility and drawdown.</w:t>
      </w:r>
    </w:p>
    <w:p w14:paraId="76540855" w14:textId="77777777" w:rsidR="00E96623" w:rsidRDefault="00000000">
      <w:r>
        <w:t>Table 8. Net out-of-sample portfolio performance, 2013-2025</w:t>
      </w:r>
    </w:p>
    <w:tbl>
      <w:tblPr>
        <w:tblW w:w="0" w:type="auto"/>
        <w:jc w:val="center"/>
        <w:tblLook w:val="04A0" w:firstRow="1" w:lastRow="0" w:firstColumn="1" w:lastColumn="0" w:noHBand="0" w:noVBand="1"/>
      </w:tblPr>
      <w:tblGrid>
        <w:gridCol w:w="2448"/>
        <w:gridCol w:w="907"/>
        <w:gridCol w:w="1008"/>
        <w:gridCol w:w="792"/>
        <w:gridCol w:w="792"/>
        <w:gridCol w:w="792"/>
        <w:gridCol w:w="936"/>
        <w:gridCol w:w="936"/>
        <w:gridCol w:w="936"/>
      </w:tblGrid>
      <w:tr w:rsidR="00E96623" w14:paraId="354D65FE" w14:textId="77777777">
        <w:trPr>
          <w:tblHeader/>
          <w:jc w:val="center"/>
        </w:trPr>
        <w:tc>
          <w:tcPr>
            <w:tcW w:w="2448" w:type="dxa"/>
            <w:shd w:val="clear" w:color="auto" w:fill="0B1F3A"/>
            <w:tcMar>
              <w:top w:w="80" w:type="dxa"/>
              <w:left w:w="80" w:type="dxa"/>
              <w:bottom w:w="80" w:type="dxa"/>
              <w:right w:w="80" w:type="dxa"/>
            </w:tcMar>
            <w:vAlign w:val="center"/>
          </w:tcPr>
          <w:p w14:paraId="10D0A3E3" w14:textId="77777777" w:rsidR="00E96623" w:rsidRDefault="00000000">
            <w:r>
              <w:rPr>
                <w:b/>
                <w:color w:val="FFFFFF"/>
                <w:sz w:val="14"/>
              </w:rPr>
              <w:t>Portfolio</w:t>
            </w:r>
          </w:p>
        </w:tc>
        <w:tc>
          <w:tcPr>
            <w:tcW w:w="907" w:type="dxa"/>
            <w:shd w:val="clear" w:color="auto" w:fill="0B1F3A"/>
            <w:tcMar>
              <w:top w:w="80" w:type="dxa"/>
              <w:left w:w="80" w:type="dxa"/>
              <w:bottom w:w="80" w:type="dxa"/>
              <w:right w:w="80" w:type="dxa"/>
            </w:tcMar>
            <w:vAlign w:val="center"/>
          </w:tcPr>
          <w:p w14:paraId="2F2BEA72" w14:textId="77777777" w:rsidR="00E96623" w:rsidRDefault="00000000">
            <w:r>
              <w:rPr>
                <w:b/>
                <w:color w:val="FFFFFF"/>
                <w:sz w:val="14"/>
              </w:rPr>
              <w:t>CAGR</w:t>
            </w:r>
          </w:p>
        </w:tc>
        <w:tc>
          <w:tcPr>
            <w:tcW w:w="1008" w:type="dxa"/>
            <w:shd w:val="clear" w:color="auto" w:fill="0B1F3A"/>
            <w:tcMar>
              <w:top w:w="80" w:type="dxa"/>
              <w:left w:w="80" w:type="dxa"/>
              <w:bottom w:w="80" w:type="dxa"/>
              <w:right w:w="80" w:type="dxa"/>
            </w:tcMar>
            <w:vAlign w:val="center"/>
          </w:tcPr>
          <w:p w14:paraId="42CDECFB" w14:textId="77777777" w:rsidR="00E96623" w:rsidRDefault="00000000">
            <w:r>
              <w:rPr>
                <w:b/>
                <w:color w:val="FFFFFF"/>
                <w:sz w:val="14"/>
              </w:rPr>
              <w:t>Real CAGR</w:t>
            </w:r>
          </w:p>
        </w:tc>
        <w:tc>
          <w:tcPr>
            <w:tcW w:w="792" w:type="dxa"/>
            <w:shd w:val="clear" w:color="auto" w:fill="0B1F3A"/>
            <w:tcMar>
              <w:top w:w="80" w:type="dxa"/>
              <w:left w:w="80" w:type="dxa"/>
              <w:bottom w:w="80" w:type="dxa"/>
              <w:right w:w="80" w:type="dxa"/>
            </w:tcMar>
            <w:vAlign w:val="center"/>
          </w:tcPr>
          <w:p w14:paraId="710943A7" w14:textId="77777777" w:rsidR="00E96623" w:rsidRDefault="00000000">
            <w:r>
              <w:rPr>
                <w:b/>
                <w:color w:val="FFFFFF"/>
                <w:sz w:val="14"/>
              </w:rPr>
              <w:t>Vol.</w:t>
            </w:r>
          </w:p>
        </w:tc>
        <w:tc>
          <w:tcPr>
            <w:tcW w:w="792" w:type="dxa"/>
            <w:shd w:val="clear" w:color="auto" w:fill="0B1F3A"/>
            <w:tcMar>
              <w:top w:w="80" w:type="dxa"/>
              <w:left w:w="80" w:type="dxa"/>
              <w:bottom w:w="80" w:type="dxa"/>
              <w:right w:w="80" w:type="dxa"/>
            </w:tcMar>
            <w:vAlign w:val="center"/>
          </w:tcPr>
          <w:p w14:paraId="0B756225" w14:textId="77777777" w:rsidR="00E96623" w:rsidRDefault="00000000">
            <w:r>
              <w:rPr>
                <w:b/>
                <w:color w:val="FFFFFF"/>
                <w:sz w:val="14"/>
              </w:rPr>
              <w:t>Sharpe</w:t>
            </w:r>
          </w:p>
        </w:tc>
        <w:tc>
          <w:tcPr>
            <w:tcW w:w="792" w:type="dxa"/>
            <w:shd w:val="clear" w:color="auto" w:fill="0B1F3A"/>
            <w:tcMar>
              <w:top w:w="80" w:type="dxa"/>
              <w:left w:w="80" w:type="dxa"/>
              <w:bottom w:w="80" w:type="dxa"/>
              <w:right w:w="80" w:type="dxa"/>
            </w:tcMar>
            <w:vAlign w:val="center"/>
          </w:tcPr>
          <w:p w14:paraId="3142DE50" w14:textId="77777777" w:rsidR="00E96623" w:rsidRDefault="00000000">
            <w:r>
              <w:rPr>
                <w:b/>
                <w:color w:val="FFFFFF"/>
                <w:sz w:val="14"/>
              </w:rPr>
              <w:t>Sortino</w:t>
            </w:r>
          </w:p>
        </w:tc>
        <w:tc>
          <w:tcPr>
            <w:tcW w:w="936" w:type="dxa"/>
            <w:shd w:val="clear" w:color="auto" w:fill="0B1F3A"/>
            <w:tcMar>
              <w:top w:w="80" w:type="dxa"/>
              <w:left w:w="80" w:type="dxa"/>
              <w:bottom w:w="80" w:type="dxa"/>
              <w:right w:w="80" w:type="dxa"/>
            </w:tcMar>
            <w:vAlign w:val="center"/>
          </w:tcPr>
          <w:p w14:paraId="6D5777BB" w14:textId="77777777" w:rsidR="00E96623" w:rsidRDefault="00000000">
            <w:r>
              <w:rPr>
                <w:b/>
                <w:color w:val="FFFFFF"/>
                <w:sz w:val="14"/>
              </w:rPr>
              <w:t>Max DD</w:t>
            </w:r>
          </w:p>
        </w:tc>
        <w:tc>
          <w:tcPr>
            <w:tcW w:w="936" w:type="dxa"/>
            <w:shd w:val="clear" w:color="auto" w:fill="0B1F3A"/>
            <w:tcMar>
              <w:top w:w="80" w:type="dxa"/>
              <w:left w:w="80" w:type="dxa"/>
              <w:bottom w:w="80" w:type="dxa"/>
              <w:right w:w="80" w:type="dxa"/>
            </w:tcMar>
            <w:vAlign w:val="center"/>
          </w:tcPr>
          <w:p w14:paraId="4F992483" w14:textId="77777777" w:rsidR="00E96623" w:rsidRDefault="00000000">
            <w:r>
              <w:rPr>
                <w:b/>
                <w:color w:val="FFFFFF"/>
                <w:sz w:val="14"/>
              </w:rPr>
              <w:t>95% CVaR</w:t>
            </w:r>
          </w:p>
        </w:tc>
        <w:tc>
          <w:tcPr>
            <w:tcW w:w="936" w:type="dxa"/>
            <w:shd w:val="clear" w:color="auto" w:fill="0B1F3A"/>
            <w:tcMar>
              <w:top w:w="80" w:type="dxa"/>
              <w:left w:w="80" w:type="dxa"/>
              <w:bottom w:w="80" w:type="dxa"/>
              <w:right w:w="80" w:type="dxa"/>
            </w:tcMar>
            <w:vAlign w:val="center"/>
          </w:tcPr>
          <w:p w14:paraId="411A9EDD" w14:textId="77777777" w:rsidR="00E96623" w:rsidRDefault="00000000">
            <w:r>
              <w:rPr>
                <w:b/>
                <w:color w:val="FFFFFF"/>
                <w:sz w:val="14"/>
              </w:rPr>
              <w:t>Turnover</w:t>
            </w:r>
          </w:p>
        </w:tc>
      </w:tr>
      <w:tr w:rsidR="00E96623" w14:paraId="16E62175" w14:textId="77777777">
        <w:trPr>
          <w:jc w:val="center"/>
        </w:trPr>
        <w:tc>
          <w:tcPr>
            <w:tcW w:w="2448" w:type="dxa"/>
            <w:shd w:val="clear" w:color="auto" w:fill="FFFFFF"/>
            <w:tcMar>
              <w:top w:w="80" w:type="dxa"/>
              <w:left w:w="80" w:type="dxa"/>
              <w:bottom w:w="80" w:type="dxa"/>
              <w:right w:w="80" w:type="dxa"/>
            </w:tcMar>
            <w:vAlign w:val="center"/>
          </w:tcPr>
          <w:p w14:paraId="754E95B7" w14:textId="77777777" w:rsidR="00E96623" w:rsidRDefault="00000000">
            <w:r>
              <w:rPr>
                <w:b/>
                <w:sz w:val="14"/>
              </w:rPr>
              <w:t>Traditional 60/40</w:t>
            </w:r>
          </w:p>
        </w:tc>
        <w:tc>
          <w:tcPr>
            <w:tcW w:w="907" w:type="dxa"/>
            <w:shd w:val="clear" w:color="auto" w:fill="FFFFFF"/>
            <w:tcMar>
              <w:top w:w="80" w:type="dxa"/>
              <w:left w:w="80" w:type="dxa"/>
              <w:bottom w:w="80" w:type="dxa"/>
              <w:right w:w="80" w:type="dxa"/>
            </w:tcMar>
            <w:vAlign w:val="center"/>
          </w:tcPr>
          <w:p w14:paraId="62D28284" w14:textId="77777777" w:rsidR="00E96623" w:rsidRDefault="00000000">
            <w:r>
              <w:rPr>
                <w:sz w:val="14"/>
              </w:rPr>
              <w:t>9.56%</w:t>
            </w:r>
          </w:p>
        </w:tc>
        <w:tc>
          <w:tcPr>
            <w:tcW w:w="1008" w:type="dxa"/>
            <w:shd w:val="clear" w:color="auto" w:fill="FFFFFF"/>
            <w:tcMar>
              <w:top w:w="80" w:type="dxa"/>
              <w:left w:w="80" w:type="dxa"/>
              <w:bottom w:w="80" w:type="dxa"/>
              <w:right w:w="80" w:type="dxa"/>
            </w:tcMar>
            <w:vAlign w:val="center"/>
          </w:tcPr>
          <w:p w14:paraId="40E5F7AA" w14:textId="77777777" w:rsidR="00E96623" w:rsidRDefault="00000000">
            <w:r>
              <w:rPr>
                <w:sz w:val="14"/>
              </w:rPr>
              <w:t>6.70%</w:t>
            </w:r>
          </w:p>
        </w:tc>
        <w:tc>
          <w:tcPr>
            <w:tcW w:w="792" w:type="dxa"/>
            <w:shd w:val="clear" w:color="auto" w:fill="FFFFFF"/>
            <w:tcMar>
              <w:top w:w="80" w:type="dxa"/>
              <w:left w:w="80" w:type="dxa"/>
              <w:bottom w:w="80" w:type="dxa"/>
              <w:right w:w="80" w:type="dxa"/>
            </w:tcMar>
            <w:vAlign w:val="center"/>
          </w:tcPr>
          <w:p w14:paraId="515B1C4F" w14:textId="77777777" w:rsidR="00E96623" w:rsidRDefault="00000000">
            <w:r>
              <w:rPr>
                <w:sz w:val="14"/>
              </w:rPr>
              <w:t>9.08%</w:t>
            </w:r>
          </w:p>
        </w:tc>
        <w:tc>
          <w:tcPr>
            <w:tcW w:w="792" w:type="dxa"/>
            <w:shd w:val="clear" w:color="auto" w:fill="FFFFFF"/>
            <w:tcMar>
              <w:top w:w="80" w:type="dxa"/>
              <w:left w:w="80" w:type="dxa"/>
              <w:bottom w:w="80" w:type="dxa"/>
              <w:right w:w="80" w:type="dxa"/>
            </w:tcMar>
            <w:vAlign w:val="center"/>
          </w:tcPr>
          <w:p w14:paraId="2F59DD97" w14:textId="77777777" w:rsidR="00E96623" w:rsidRDefault="00000000">
            <w:r>
              <w:rPr>
                <w:sz w:val="14"/>
              </w:rPr>
              <w:t>0.885</w:t>
            </w:r>
          </w:p>
        </w:tc>
        <w:tc>
          <w:tcPr>
            <w:tcW w:w="792" w:type="dxa"/>
            <w:shd w:val="clear" w:color="auto" w:fill="FFFFFF"/>
            <w:tcMar>
              <w:top w:w="80" w:type="dxa"/>
              <w:left w:w="80" w:type="dxa"/>
              <w:bottom w:w="80" w:type="dxa"/>
              <w:right w:w="80" w:type="dxa"/>
            </w:tcMar>
            <w:vAlign w:val="center"/>
          </w:tcPr>
          <w:p w14:paraId="2596A9FF" w14:textId="77777777" w:rsidR="00E96623" w:rsidRDefault="00000000">
            <w:r>
              <w:rPr>
                <w:sz w:val="14"/>
              </w:rPr>
              <w:t>1.391</w:t>
            </w:r>
          </w:p>
        </w:tc>
        <w:tc>
          <w:tcPr>
            <w:tcW w:w="936" w:type="dxa"/>
            <w:shd w:val="clear" w:color="auto" w:fill="FFFFFF"/>
            <w:tcMar>
              <w:top w:w="80" w:type="dxa"/>
              <w:left w:w="80" w:type="dxa"/>
              <w:bottom w:w="80" w:type="dxa"/>
              <w:right w:w="80" w:type="dxa"/>
            </w:tcMar>
            <w:vAlign w:val="center"/>
          </w:tcPr>
          <w:p w14:paraId="200461B2" w14:textId="77777777" w:rsidR="00E96623" w:rsidRDefault="00000000">
            <w:r>
              <w:rPr>
                <w:sz w:val="14"/>
              </w:rPr>
              <w:t>-20.56%</w:t>
            </w:r>
          </w:p>
        </w:tc>
        <w:tc>
          <w:tcPr>
            <w:tcW w:w="936" w:type="dxa"/>
            <w:shd w:val="clear" w:color="auto" w:fill="FFFFFF"/>
            <w:tcMar>
              <w:top w:w="80" w:type="dxa"/>
              <w:left w:w="80" w:type="dxa"/>
              <w:bottom w:w="80" w:type="dxa"/>
              <w:right w:w="80" w:type="dxa"/>
            </w:tcMar>
            <w:vAlign w:val="center"/>
          </w:tcPr>
          <w:p w14:paraId="6324BD22" w14:textId="77777777" w:rsidR="00E96623" w:rsidRDefault="00000000">
            <w:r>
              <w:rPr>
                <w:sz w:val="14"/>
              </w:rPr>
              <w:t>5.21%</w:t>
            </w:r>
          </w:p>
        </w:tc>
        <w:tc>
          <w:tcPr>
            <w:tcW w:w="936" w:type="dxa"/>
            <w:shd w:val="clear" w:color="auto" w:fill="FFFFFF"/>
            <w:tcMar>
              <w:top w:w="80" w:type="dxa"/>
              <w:left w:w="80" w:type="dxa"/>
              <w:bottom w:w="80" w:type="dxa"/>
              <w:right w:w="80" w:type="dxa"/>
            </w:tcMar>
            <w:vAlign w:val="center"/>
          </w:tcPr>
          <w:p w14:paraId="1378A888" w14:textId="77777777" w:rsidR="00E96623" w:rsidRDefault="00000000">
            <w:r>
              <w:rPr>
                <w:sz w:val="14"/>
              </w:rPr>
              <w:t>6.21%</w:t>
            </w:r>
          </w:p>
        </w:tc>
      </w:tr>
      <w:tr w:rsidR="00E96623" w14:paraId="34F09F10" w14:textId="77777777">
        <w:trPr>
          <w:jc w:val="center"/>
        </w:trPr>
        <w:tc>
          <w:tcPr>
            <w:tcW w:w="2448" w:type="dxa"/>
            <w:shd w:val="clear" w:color="auto" w:fill="F2F4F7"/>
            <w:tcMar>
              <w:top w:w="80" w:type="dxa"/>
              <w:left w:w="80" w:type="dxa"/>
              <w:bottom w:w="80" w:type="dxa"/>
              <w:right w:w="80" w:type="dxa"/>
            </w:tcMar>
            <w:vAlign w:val="center"/>
          </w:tcPr>
          <w:p w14:paraId="159E33E3" w14:textId="77777777" w:rsidR="00E96623" w:rsidRDefault="00000000">
            <w:r>
              <w:rPr>
                <w:b/>
                <w:sz w:val="14"/>
              </w:rPr>
              <w:t>Strategic diversified</w:t>
            </w:r>
          </w:p>
        </w:tc>
        <w:tc>
          <w:tcPr>
            <w:tcW w:w="907" w:type="dxa"/>
            <w:shd w:val="clear" w:color="auto" w:fill="F2F4F7"/>
            <w:tcMar>
              <w:top w:w="80" w:type="dxa"/>
              <w:left w:w="80" w:type="dxa"/>
              <w:bottom w:w="80" w:type="dxa"/>
              <w:right w:w="80" w:type="dxa"/>
            </w:tcMar>
            <w:vAlign w:val="center"/>
          </w:tcPr>
          <w:p w14:paraId="71394FA6" w14:textId="77777777" w:rsidR="00E96623" w:rsidRDefault="00000000">
            <w:r>
              <w:rPr>
                <w:sz w:val="14"/>
              </w:rPr>
              <w:t>8.58%</w:t>
            </w:r>
          </w:p>
        </w:tc>
        <w:tc>
          <w:tcPr>
            <w:tcW w:w="1008" w:type="dxa"/>
            <w:shd w:val="clear" w:color="auto" w:fill="F2F4F7"/>
            <w:tcMar>
              <w:top w:w="80" w:type="dxa"/>
              <w:left w:w="80" w:type="dxa"/>
              <w:bottom w:w="80" w:type="dxa"/>
              <w:right w:w="80" w:type="dxa"/>
            </w:tcMar>
            <w:vAlign w:val="center"/>
          </w:tcPr>
          <w:p w14:paraId="3EB17862" w14:textId="77777777" w:rsidR="00E96623" w:rsidRDefault="00000000">
            <w:r>
              <w:rPr>
                <w:sz w:val="14"/>
              </w:rPr>
              <w:t>5.75%</w:t>
            </w:r>
          </w:p>
        </w:tc>
        <w:tc>
          <w:tcPr>
            <w:tcW w:w="792" w:type="dxa"/>
            <w:shd w:val="clear" w:color="auto" w:fill="F2F4F7"/>
            <w:tcMar>
              <w:top w:w="80" w:type="dxa"/>
              <w:left w:w="80" w:type="dxa"/>
              <w:bottom w:w="80" w:type="dxa"/>
              <w:right w:w="80" w:type="dxa"/>
            </w:tcMar>
            <w:vAlign w:val="center"/>
          </w:tcPr>
          <w:p w14:paraId="396422CA" w14:textId="77777777" w:rsidR="00E96623" w:rsidRDefault="00000000">
            <w:r>
              <w:rPr>
                <w:sz w:val="14"/>
              </w:rPr>
              <w:t>9.37%</w:t>
            </w:r>
          </w:p>
        </w:tc>
        <w:tc>
          <w:tcPr>
            <w:tcW w:w="792" w:type="dxa"/>
            <w:shd w:val="clear" w:color="auto" w:fill="F2F4F7"/>
            <w:tcMar>
              <w:top w:w="80" w:type="dxa"/>
              <w:left w:w="80" w:type="dxa"/>
              <w:bottom w:w="80" w:type="dxa"/>
              <w:right w:w="80" w:type="dxa"/>
            </w:tcMar>
            <w:vAlign w:val="center"/>
          </w:tcPr>
          <w:p w14:paraId="51977B65" w14:textId="77777777" w:rsidR="00E96623" w:rsidRDefault="00000000">
            <w:r>
              <w:rPr>
                <w:sz w:val="14"/>
              </w:rPr>
              <w:t>0.766</w:t>
            </w:r>
          </w:p>
        </w:tc>
        <w:tc>
          <w:tcPr>
            <w:tcW w:w="792" w:type="dxa"/>
            <w:shd w:val="clear" w:color="auto" w:fill="F2F4F7"/>
            <w:tcMar>
              <w:top w:w="80" w:type="dxa"/>
              <w:left w:w="80" w:type="dxa"/>
              <w:bottom w:w="80" w:type="dxa"/>
              <w:right w:w="80" w:type="dxa"/>
            </w:tcMar>
            <w:vAlign w:val="center"/>
          </w:tcPr>
          <w:p w14:paraId="3B65ADA1" w14:textId="77777777" w:rsidR="00E96623" w:rsidRDefault="00000000">
            <w:r>
              <w:rPr>
                <w:sz w:val="14"/>
              </w:rPr>
              <w:t>1.187</w:t>
            </w:r>
          </w:p>
        </w:tc>
        <w:tc>
          <w:tcPr>
            <w:tcW w:w="936" w:type="dxa"/>
            <w:shd w:val="clear" w:color="auto" w:fill="F2F4F7"/>
            <w:tcMar>
              <w:top w:w="80" w:type="dxa"/>
              <w:left w:w="80" w:type="dxa"/>
              <w:bottom w:w="80" w:type="dxa"/>
              <w:right w:w="80" w:type="dxa"/>
            </w:tcMar>
            <w:vAlign w:val="center"/>
          </w:tcPr>
          <w:p w14:paraId="46C2CE75" w14:textId="77777777" w:rsidR="00E96623" w:rsidRDefault="00000000">
            <w:r>
              <w:rPr>
                <w:sz w:val="14"/>
              </w:rPr>
              <w:t>-20.94%</w:t>
            </w:r>
          </w:p>
        </w:tc>
        <w:tc>
          <w:tcPr>
            <w:tcW w:w="936" w:type="dxa"/>
            <w:shd w:val="clear" w:color="auto" w:fill="F2F4F7"/>
            <w:tcMar>
              <w:top w:w="80" w:type="dxa"/>
              <w:left w:w="80" w:type="dxa"/>
              <w:bottom w:w="80" w:type="dxa"/>
              <w:right w:w="80" w:type="dxa"/>
            </w:tcMar>
            <w:vAlign w:val="center"/>
          </w:tcPr>
          <w:p w14:paraId="3A773798" w14:textId="77777777" w:rsidR="00E96623" w:rsidRDefault="00000000">
            <w:r>
              <w:rPr>
                <w:sz w:val="14"/>
              </w:rPr>
              <w:t>5.51%</w:t>
            </w:r>
          </w:p>
        </w:tc>
        <w:tc>
          <w:tcPr>
            <w:tcW w:w="936" w:type="dxa"/>
            <w:shd w:val="clear" w:color="auto" w:fill="F2F4F7"/>
            <w:tcMar>
              <w:top w:w="80" w:type="dxa"/>
              <w:left w:w="80" w:type="dxa"/>
              <w:bottom w:w="80" w:type="dxa"/>
              <w:right w:w="80" w:type="dxa"/>
            </w:tcMar>
            <w:vAlign w:val="center"/>
          </w:tcPr>
          <w:p w14:paraId="0A9C9AF0" w14:textId="77777777" w:rsidR="00E96623" w:rsidRDefault="00000000">
            <w:r>
              <w:rPr>
                <w:sz w:val="14"/>
              </w:rPr>
              <w:t>6.93%</w:t>
            </w:r>
          </w:p>
        </w:tc>
      </w:tr>
      <w:tr w:rsidR="00E96623" w14:paraId="69640AC2" w14:textId="77777777">
        <w:trPr>
          <w:jc w:val="center"/>
        </w:trPr>
        <w:tc>
          <w:tcPr>
            <w:tcW w:w="2448" w:type="dxa"/>
            <w:shd w:val="clear" w:color="auto" w:fill="FFFFFF"/>
            <w:tcMar>
              <w:top w:w="80" w:type="dxa"/>
              <w:left w:w="80" w:type="dxa"/>
              <w:bottom w:w="80" w:type="dxa"/>
              <w:right w:w="80" w:type="dxa"/>
            </w:tcMar>
            <w:vAlign w:val="center"/>
          </w:tcPr>
          <w:p w14:paraId="0E12F34B" w14:textId="77777777" w:rsidR="00E96623" w:rsidRDefault="00000000">
            <w:r>
              <w:rPr>
                <w:b/>
                <w:sz w:val="14"/>
              </w:rPr>
              <w:t>Mean-variance (Max Sharpe)</w:t>
            </w:r>
          </w:p>
        </w:tc>
        <w:tc>
          <w:tcPr>
            <w:tcW w:w="907" w:type="dxa"/>
            <w:shd w:val="clear" w:color="auto" w:fill="FFFFFF"/>
            <w:tcMar>
              <w:top w:w="80" w:type="dxa"/>
              <w:left w:w="80" w:type="dxa"/>
              <w:bottom w:w="80" w:type="dxa"/>
              <w:right w:w="80" w:type="dxa"/>
            </w:tcMar>
            <w:vAlign w:val="center"/>
          </w:tcPr>
          <w:p w14:paraId="080C4CDB" w14:textId="77777777" w:rsidR="00E96623" w:rsidRDefault="00000000">
            <w:r>
              <w:rPr>
                <w:sz w:val="14"/>
              </w:rPr>
              <w:t>6.56%</w:t>
            </w:r>
          </w:p>
        </w:tc>
        <w:tc>
          <w:tcPr>
            <w:tcW w:w="1008" w:type="dxa"/>
            <w:shd w:val="clear" w:color="auto" w:fill="FFFFFF"/>
            <w:tcMar>
              <w:top w:w="80" w:type="dxa"/>
              <w:left w:w="80" w:type="dxa"/>
              <w:bottom w:w="80" w:type="dxa"/>
              <w:right w:w="80" w:type="dxa"/>
            </w:tcMar>
            <w:vAlign w:val="center"/>
          </w:tcPr>
          <w:p w14:paraId="5AED2168" w14:textId="77777777" w:rsidR="00E96623" w:rsidRDefault="00000000">
            <w:r>
              <w:rPr>
                <w:sz w:val="14"/>
              </w:rPr>
              <w:t>3.78%</w:t>
            </w:r>
          </w:p>
        </w:tc>
        <w:tc>
          <w:tcPr>
            <w:tcW w:w="792" w:type="dxa"/>
            <w:shd w:val="clear" w:color="auto" w:fill="FFFFFF"/>
            <w:tcMar>
              <w:top w:w="80" w:type="dxa"/>
              <w:left w:w="80" w:type="dxa"/>
              <w:bottom w:w="80" w:type="dxa"/>
              <w:right w:w="80" w:type="dxa"/>
            </w:tcMar>
            <w:vAlign w:val="center"/>
          </w:tcPr>
          <w:p w14:paraId="5627874B" w14:textId="77777777" w:rsidR="00E96623" w:rsidRDefault="00000000">
            <w:r>
              <w:rPr>
                <w:sz w:val="14"/>
              </w:rPr>
              <w:t>4.94%</w:t>
            </w:r>
          </w:p>
        </w:tc>
        <w:tc>
          <w:tcPr>
            <w:tcW w:w="792" w:type="dxa"/>
            <w:shd w:val="clear" w:color="auto" w:fill="FFFFFF"/>
            <w:tcMar>
              <w:top w:w="80" w:type="dxa"/>
              <w:left w:w="80" w:type="dxa"/>
              <w:bottom w:w="80" w:type="dxa"/>
              <w:right w:w="80" w:type="dxa"/>
            </w:tcMar>
            <w:vAlign w:val="center"/>
          </w:tcPr>
          <w:p w14:paraId="457E3365" w14:textId="77777777" w:rsidR="00E96623" w:rsidRDefault="00000000">
            <w:r>
              <w:rPr>
                <w:sz w:val="14"/>
              </w:rPr>
              <w:t>1.036</w:t>
            </w:r>
          </w:p>
        </w:tc>
        <w:tc>
          <w:tcPr>
            <w:tcW w:w="792" w:type="dxa"/>
            <w:shd w:val="clear" w:color="auto" w:fill="FFFFFF"/>
            <w:tcMar>
              <w:top w:w="80" w:type="dxa"/>
              <w:left w:w="80" w:type="dxa"/>
              <w:bottom w:w="80" w:type="dxa"/>
              <w:right w:w="80" w:type="dxa"/>
            </w:tcMar>
            <w:vAlign w:val="center"/>
          </w:tcPr>
          <w:p w14:paraId="158679CB" w14:textId="77777777" w:rsidR="00E96623" w:rsidRDefault="00000000">
            <w:r>
              <w:rPr>
                <w:sz w:val="14"/>
              </w:rPr>
              <w:t>1.734</w:t>
            </w:r>
          </w:p>
        </w:tc>
        <w:tc>
          <w:tcPr>
            <w:tcW w:w="936" w:type="dxa"/>
            <w:shd w:val="clear" w:color="auto" w:fill="FFFFFF"/>
            <w:tcMar>
              <w:top w:w="80" w:type="dxa"/>
              <w:left w:w="80" w:type="dxa"/>
              <w:bottom w:w="80" w:type="dxa"/>
              <w:right w:w="80" w:type="dxa"/>
            </w:tcMar>
            <w:vAlign w:val="center"/>
          </w:tcPr>
          <w:p w14:paraId="62FB1AE3" w14:textId="77777777" w:rsidR="00E96623" w:rsidRDefault="00000000">
            <w:r>
              <w:rPr>
                <w:sz w:val="14"/>
              </w:rPr>
              <w:t>-12.16%</w:t>
            </w:r>
          </w:p>
        </w:tc>
        <w:tc>
          <w:tcPr>
            <w:tcW w:w="936" w:type="dxa"/>
            <w:shd w:val="clear" w:color="auto" w:fill="FFFFFF"/>
            <w:tcMar>
              <w:top w:w="80" w:type="dxa"/>
              <w:left w:w="80" w:type="dxa"/>
              <w:bottom w:w="80" w:type="dxa"/>
              <w:right w:w="80" w:type="dxa"/>
            </w:tcMar>
            <w:vAlign w:val="center"/>
          </w:tcPr>
          <w:p w14:paraId="564374DE" w14:textId="77777777" w:rsidR="00E96623" w:rsidRDefault="00000000">
            <w:r>
              <w:rPr>
                <w:sz w:val="14"/>
              </w:rPr>
              <w:t>2.68%</w:t>
            </w:r>
          </w:p>
        </w:tc>
        <w:tc>
          <w:tcPr>
            <w:tcW w:w="936" w:type="dxa"/>
            <w:shd w:val="clear" w:color="auto" w:fill="FFFFFF"/>
            <w:tcMar>
              <w:top w:w="80" w:type="dxa"/>
              <w:left w:w="80" w:type="dxa"/>
              <w:bottom w:w="80" w:type="dxa"/>
              <w:right w:w="80" w:type="dxa"/>
            </w:tcMar>
            <w:vAlign w:val="center"/>
          </w:tcPr>
          <w:p w14:paraId="74E752E5" w14:textId="77777777" w:rsidR="00E96623" w:rsidRDefault="00000000">
            <w:r>
              <w:rPr>
                <w:sz w:val="14"/>
              </w:rPr>
              <w:t>23.11%</w:t>
            </w:r>
          </w:p>
        </w:tc>
      </w:tr>
      <w:tr w:rsidR="00E96623" w14:paraId="50654098" w14:textId="77777777">
        <w:trPr>
          <w:jc w:val="center"/>
        </w:trPr>
        <w:tc>
          <w:tcPr>
            <w:tcW w:w="2448" w:type="dxa"/>
            <w:shd w:val="clear" w:color="auto" w:fill="F2F4F7"/>
            <w:tcMar>
              <w:top w:w="80" w:type="dxa"/>
              <w:left w:w="80" w:type="dxa"/>
              <w:bottom w:w="80" w:type="dxa"/>
              <w:right w:w="80" w:type="dxa"/>
            </w:tcMar>
            <w:vAlign w:val="center"/>
          </w:tcPr>
          <w:p w14:paraId="3DFDA026" w14:textId="77777777" w:rsidR="00E96623" w:rsidRDefault="00000000">
            <w:r>
              <w:rPr>
                <w:b/>
                <w:sz w:val="14"/>
              </w:rPr>
              <w:t>Equal risk contribution</w:t>
            </w:r>
          </w:p>
        </w:tc>
        <w:tc>
          <w:tcPr>
            <w:tcW w:w="907" w:type="dxa"/>
            <w:shd w:val="clear" w:color="auto" w:fill="F2F4F7"/>
            <w:tcMar>
              <w:top w:w="80" w:type="dxa"/>
              <w:left w:w="80" w:type="dxa"/>
              <w:bottom w:w="80" w:type="dxa"/>
              <w:right w:w="80" w:type="dxa"/>
            </w:tcMar>
            <w:vAlign w:val="center"/>
          </w:tcPr>
          <w:p w14:paraId="45F5AC51" w14:textId="77777777" w:rsidR="00E96623" w:rsidRDefault="00000000">
            <w:r>
              <w:rPr>
                <w:sz w:val="14"/>
              </w:rPr>
              <w:t>5.02%</w:t>
            </w:r>
          </w:p>
        </w:tc>
        <w:tc>
          <w:tcPr>
            <w:tcW w:w="1008" w:type="dxa"/>
            <w:shd w:val="clear" w:color="auto" w:fill="F2F4F7"/>
            <w:tcMar>
              <w:top w:w="80" w:type="dxa"/>
              <w:left w:w="80" w:type="dxa"/>
              <w:bottom w:w="80" w:type="dxa"/>
              <w:right w:w="80" w:type="dxa"/>
            </w:tcMar>
            <w:vAlign w:val="center"/>
          </w:tcPr>
          <w:p w14:paraId="7CE08972" w14:textId="77777777" w:rsidR="00E96623" w:rsidRDefault="00000000">
            <w:r>
              <w:rPr>
                <w:sz w:val="14"/>
              </w:rPr>
              <w:t>2.28%</w:t>
            </w:r>
          </w:p>
        </w:tc>
        <w:tc>
          <w:tcPr>
            <w:tcW w:w="792" w:type="dxa"/>
            <w:shd w:val="clear" w:color="auto" w:fill="F2F4F7"/>
            <w:tcMar>
              <w:top w:w="80" w:type="dxa"/>
              <w:left w:w="80" w:type="dxa"/>
              <w:bottom w:w="80" w:type="dxa"/>
              <w:right w:w="80" w:type="dxa"/>
            </w:tcMar>
            <w:vAlign w:val="center"/>
          </w:tcPr>
          <w:p w14:paraId="4D05DB71" w14:textId="77777777" w:rsidR="00E96623" w:rsidRDefault="00000000">
            <w:r>
              <w:rPr>
                <w:sz w:val="14"/>
              </w:rPr>
              <w:t>6.04%</w:t>
            </w:r>
          </w:p>
        </w:tc>
        <w:tc>
          <w:tcPr>
            <w:tcW w:w="792" w:type="dxa"/>
            <w:shd w:val="clear" w:color="auto" w:fill="F2F4F7"/>
            <w:tcMar>
              <w:top w:w="80" w:type="dxa"/>
              <w:left w:w="80" w:type="dxa"/>
              <w:bottom w:w="80" w:type="dxa"/>
              <w:right w:w="80" w:type="dxa"/>
            </w:tcMar>
            <w:vAlign w:val="center"/>
          </w:tcPr>
          <w:p w14:paraId="74C04FCB" w14:textId="77777777" w:rsidR="00E96623" w:rsidRDefault="00000000">
            <w:r>
              <w:rPr>
                <w:sz w:val="14"/>
              </w:rPr>
              <w:t>0.595</w:t>
            </w:r>
          </w:p>
        </w:tc>
        <w:tc>
          <w:tcPr>
            <w:tcW w:w="792" w:type="dxa"/>
            <w:shd w:val="clear" w:color="auto" w:fill="F2F4F7"/>
            <w:tcMar>
              <w:top w:w="80" w:type="dxa"/>
              <w:left w:w="80" w:type="dxa"/>
              <w:bottom w:w="80" w:type="dxa"/>
              <w:right w:w="80" w:type="dxa"/>
            </w:tcMar>
            <w:vAlign w:val="center"/>
          </w:tcPr>
          <w:p w14:paraId="10C22578" w14:textId="77777777" w:rsidR="00E96623" w:rsidRDefault="00000000">
            <w:r>
              <w:rPr>
                <w:sz w:val="14"/>
              </w:rPr>
              <w:t>0.954</w:t>
            </w:r>
          </w:p>
        </w:tc>
        <w:tc>
          <w:tcPr>
            <w:tcW w:w="936" w:type="dxa"/>
            <w:shd w:val="clear" w:color="auto" w:fill="F2F4F7"/>
            <w:tcMar>
              <w:top w:w="80" w:type="dxa"/>
              <w:left w:w="80" w:type="dxa"/>
              <w:bottom w:w="80" w:type="dxa"/>
              <w:right w:w="80" w:type="dxa"/>
            </w:tcMar>
            <w:vAlign w:val="center"/>
          </w:tcPr>
          <w:p w14:paraId="032436DA" w14:textId="77777777" w:rsidR="00E96623" w:rsidRDefault="00000000">
            <w:r>
              <w:rPr>
                <w:sz w:val="14"/>
              </w:rPr>
              <w:t>-15.21%</w:t>
            </w:r>
          </w:p>
        </w:tc>
        <w:tc>
          <w:tcPr>
            <w:tcW w:w="936" w:type="dxa"/>
            <w:shd w:val="clear" w:color="auto" w:fill="F2F4F7"/>
            <w:tcMar>
              <w:top w:w="80" w:type="dxa"/>
              <w:left w:w="80" w:type="dxa"/>
              <w:bottom w:w="80" w:type="dxa"/>
              <w:right w:w="80" w:type="dxa"/>
            </w:tcMar>
            <w:vAlign w:val="center"/>
          </w:tcPr>
          <w:p w14:paraId="1F58FCE6" w14:textId="77777777" w:rsidR="00E96623" w:rsidRDefault="00000000">
            <w:r>
              <w:rPr>
                <w:sz w:val="14"/>
              </w:rPr>
              <w:t>3.34%</w:t>
            </w:r>
          </w:p>
        </w:tc>
        <w:tc>
          <w:tcPr>
            <w:tcW w:w="936" w:type="dxa"/>
            <w:shd w:val="clear" w:color="auto" w:fill="F2F4F7"/>
            <w:tcMar>
              <w:top w:w="80" w:type="dxa"/>
              <w:left w:w="80" w:type="dxa"/>
              <w:bottom w:w="80" w:type="dxa"/>
              <w:right w:w="80" w:type="dxa"/>
            </w:tcMar>
            <w:vAlign w:val="center"/>
          </w:tcPr>
          <w:p w14:paraId="33EAC3C6" w14:textId="77777777" w:rsidR="00E96623" w:rsidRDefault="00000000">
            <w:r>
              <w:rPr>
                <w:sz w:val="14"/>
              </w:rPr>
              <w:t>41.76%</w:t>
            </w:r>
          </w:p>
        </w:tc>
      </w:tr>
      <w:tr w:rsidR="00E96623" w14:paraId="30D17FA4" w14:textId="77777777">
        <w:trPr>
          <w:jc w:val="center"/>
        </w:trPr>
        <w:tc>
          <w:tcPr>
            <w:tcW w:w="2448" w:type="dxa"/>
            <w:shd w:val="clear" w:color="auto" w:fill="FFFFFF"/>
            <w:tcMar>
              <w:top w:w="80" w:type="dxa"/>
              <w:left w:w="80" w:type="dxa"/>
              <w:bottom w:w="80" w:type="dxa"/>
              <w:right w:w="80" w:type="dxa"/>
            </w:tcMar>
            <w:vAlign w:val="center"/>
          </w:tcPr>
          <w:p w14:paraId="576BF3DD" w14:textId="77777777" w:rsidR="00E96623" w:rsidRDefault="00000000">
            <w:r>
              <w:rPr>
                <w:b/>
                <w:sz w:val="14"/>
              </w:rPr>
              <w:t>Minimum CVaR</w:t>
            </w:r>
          </w:p>
        </w:tc>
        <w:tc>
          <w:tcPr>
            <w:tcW w:w="907" w:type="dxa"/>
            <w:shd w:val="clear" w:color="auto" w:fill="FFFFFF"/>
            <w:tcMar>
              <w:top w:w="80" w:type="dxa"/>
              <w:left w:w="80" w:type="dxa"/>
              <w:bottom w:w="80" w:type="dxa"/>
              <w:right w:w="80" w:type="dxa"/>
            </w:tcMar>
            <w:vAlign w:val="center"/>
          </w:tcPr>
          <w:p w14:paraId="63774DA9" w14:textId="77777777" w:rsidR="00E96623" w:rsidRDefault="00000000">
            <w:r>
              <w:rPr>
                <w:sz w:val="14"/>
              </w:rPr>
              <w:t>3.99%</w:t>
            </w:r>
          </w:p>
        </w:tc>
        <w:tc>
          <w:tcPr>
            <w:tcW w:w="1008" w:type="dxa"/>
            <w:shd w:val="clear" w:color="auto" w:fill="FFFFFF"/>
            <w:tcMar>
              <w:top w:w="80" w:type="dxa"/>
              <w:left w:w="80" w:type="dxa"/>
              <w:bottom w:w="80" w:type="dxa"/>
              <w:right w:w="80" w:type="dxa"/>
            </w:tcMar>
            <w:vAlign w:val="center"/>
          </w:tcPr>
          <w:p w14:paraId="72EB2734" w14:textId="77777777" w:rsidR="00E96623" w:rsidRDefault="00000000">
            <w:r>
              <w:rPr>
                <w:sz w:val="14"/>
              </w:rPr>
              <w:t>1.28%</w:t>
            </w:r>
          </w:p>
        </w:tc>
        <w:tc>
          <w:tcPr>
            <w:tcW w:w="792" w:type="dxa"/>
            <w:shd w:val="clear" w:color="auto" w:fill="FFFFFF"/>
            <w:tcMar>
              <w:top w:w="80" w:type="dxa"/>
              <w:left w:w="80" w:type="dxa"/>
              <w:bottom w:w="80" w:type="dxa"/>
              <w:right w:w="80" w:type="dxa"/>
            </w:tcMar>
            <w:vAlign w:val="center"/>
          </w:tcPr>
          <w:p w14:paraId="424BFBCA" w14:textId="77777777" w:rsidR="00E96623" w:rsidRDefault="00000000">
            <w:r>
              <w:rPr>
                <w:sz w:val="14"/>
              </w:rPr>
              <w:t>3.96%</w:t>
            </w:r>
          </w:p>
        </w:tc>
        <w:tc>
          <w:tcPr>
            <w:tcW w:w="792" w:type="dxa"/>
            <w:shd w:val="clear" w:color="auto" w:fill="FFFFFF"/>
            <w:tcMar>
              <w:top w:w="80" w:type="dxa"/>
              <w:left w:w="80" w:type="dxa"/>
              <w:bottom w:w="80" w:type="dxa"/>
              <w:right w:w="80" w:type="dxa"/>
            </w:tcMar>
            <w:vAlign w:val="center"/>
          </w:tcPr>
          <w:p w14:paraId="78073EA2" w14:textId="77777777" w:rsidR="00E96623" w:rsidRDefault="00000000">
            <w:r>
              <w:rPr>
                <w:sz w:val="14"/>
              </w:rPr>
              <w:t>0.634</w:t>
            </w:r>
          </w:p>
        </w:tc>
        <w:tc>
          <w:tcPr>
            <w:tcW w:w="792" w:type="dxa"/>
            <w:shd w:val="clear" w:color="auto" w:fill="FFFFFF"/>
            <w:tcMar>
              <w:top w:w="80" w:type="dxa"/>
              <w:left w:w="80" w:type="dxa"/>
              <w:bottom w:w="80" w:type="dxa"/>
              <w:right w:w="80" w:type="dxa"/>
            </w:tcMar>
            <w:vAlign w:val="center"/>
          </w:tcPr>
          <w:p w14:paraId="48FACD47" w14:textId="77777777" w:rsidR="00E96623" w:rsidRDefault="00000000">
            <w:r>
              <w:rPr>
                <w:sz w:val="14"/>
              </w:rPr>
              <w:t>0.987</w:t>
            </w:r>
          </w:p>
        </w:tc>
        <w:tc>
          <w:tcPr>
            <w:tcW w:w="936" w:type="dxa"/>
            <w:shd w:val="clear" w:color="auto" w:fill="FFFFFF"/>
            <w:tcMar>
              <w:top w:w="80" w:type="dxa"/>
              <w:left w:w="80" w:type="dxa"/>
              <w:bottom w:w="80" w:type="dxa"/>
              <w:right w:w="80" w:type="dxa"/>
            </w:tcMar>
            <w:vAlign w:val="center"/>
          </w:tcPr>
          <w:p w14:paraId="58A20385" w14:textId="77777777" w:rsidR="00E96623" w:rsidRDefault="00000000">
            <w:r>
              <w:rPr>
                <w:sz w:val="14"/>
              </w:rPr>
              <w:t>-12.78%</w:t>
            </w:r>
          </w:p>
        </w:tc>
        <w:tc>
          <w:tcPr>
            <w:tcW w:w="936" w:type="dxa"/>
            <w:shd w:val="clear" w:color="auto" w:fill="FFFFFF"/>
            <w:tcMar>
              <w:top w:w="80" w:type="dxa"/>
              <w:left w:w="80" w:type="dxa"/>
              <w:bottom w:w="80" w:type="dxa"/>
              <w:right w:w="80" w:type="dxa"/>
            </w:tcMar>
            <w:vAlign w:val="center"/>
          </w:tcPr>
          <w:p w14:paraId="5A6DE047" w14:textId="77777777" w:rsidR="00E96623" w:rsidRDefault="00000000">
            <w:r>
              <w:rPr>
                <w:sz w:val="14"/>
              </w:rPr>
              <w:t>2.27%</w:t>
            </w:r>
          </w:p>
        </w:tc>
        <w:tc>
          <w:tcPr>
            <w:tcW w:w="936" w:type="dxa"/>
            <w:shd w:val="clear" w:color="auto" w:fill="FFFFFF"/>
            <w:tcMar>
              <w:top w:w="80" w:type="dxa"/>
              <w:left w:w="80" w:type="dxa"/>
              <w:bottom w:w="80" w:type="dxa"/>
              <w:right w:w="80" w:type="dxa"/>
            </w:tcMar>
            <w:vAlign w:val="center"/>
          </w:tcPr>
          <w:p w14:paraId="4441F143" w14:textId="77777777" w:rsidR="00E96623" w:rsidRDefault="00000000">
            <w:r>
              <w:rPr>
                <w:sz w:val="14"/>
              </w:rPr>
              <w:t>12.96%</w:t>
            </w:r>
          </w:p>
        </w:tc>
      </w:tr>
      <w:tr w:rsidR="00E96623" w14:paraId="6A1ED4BC" w14:textId="77777777">
        <w:trPr>
          <w:jc w:val="center"/>
        </w:trPr>
        <w:tc>
          <w:tcPr>
            <w:tcW w:w="2448" w:type="dxa"/>
            <w:shd w:val="clear" w:color="auto" w:fill="F2F4F7"/>
            <w:tcMar>
              <w:top w:w="80" w:type="dxa"/>
              <w:left w:w="80" w:type="dxa"/>
              <w:bottom w:w="80" w:type="dxa"/>
              <w:right w:w="80" w:type="dxa"/>
            </w:tcMar>
            <w:vAlign w:val="center"/>
          </w:tcPr>
          <w:p w14:paraId="701A8A6C" w14:textId="77777777" w:rsidR="00E96623" w:rsidRDefault="00000000">
            <w:r>
              <w:rPr>
                <w:b/>
                <w:sz w:val="14"/>
              </w:rPr>
              <w:t>Regime-sensitive</w:t>
            </w:r>
          </w:p>
        </w:tc>
        <w:tc>
          <w:tcPr>
            <w:tcW w:w="907" w:type="dxa"/>
            <w:shd w:val="clear" w:color="auto" w:fill="F2F4F7"/>
            <w:tcMar>
              <w:top w:w="80" w:type="dxa"/>
              <w:left w:w="80" w:type="dxa"/>
              <w:bottom w:w="80" w:type="dxa"/>
              <w:right w:w="80" w:type="dxa"/>
            </w:tcMar>
            <w:vAlign w:val="center"/>
          </w:tcPr>
          <w:p w14:paraId="453D34E4" w14:textId="77777777" w:rsidR="00E96623" w:rsidRDefault="00000000">
            <w:r>
              <w:rPr>
                <w:sz w:val="14"/>
              </w:rPr>
              <w:t>6.80%</w:t>
            </w:r>
          </w:p>
        </w:tc>
        <w:tc>
          <w:tcPr>
            <w:tcW w:w="1008" w:type="dxa"/>
            <w:shd w:val="clear" w:color="auto" w:fill="F2F4F7"/>
            <w:tcMar>
              <w:top w:w="80" w:type="dxa"/>
              <w:left w:w="80" w:type="dxa"/>
              <w:bottom w:w="80" w:type="dxa"/>
              <w:right w:w="80" w:type="dxa"/>
            </w:tcMar>
            <w:vAlign w:val="center"/>
          </w:tcPr>
          <w:p w14:paraId="5822D8C8" w14:textId="77777777" w:rsidR="00E96623" w:rsidRDefault="00000000">
            <w:r>
              <w:rPr>
                <w:sz w:val="14"/>
              </w:rPr>
              <w:t>4.02%</w:t>
            </w:r>
          </w:p>
        </w:tc>
        <w:tc>
          <w:tcPr>
            <w:tcW w:w="792" w:type="dxa"/>
            <w:shd w:val="clear" w:color="auto" w:fill="F2F4F7"/>
            <w:tcMar>
              <w:top w:w="80" w:type="dxa"/>
              <w:left w:w="80" w:type="dxa"/>
              <w:bottom w:w="80" w:type="dxa"/>
              <w:right w:w="80" w:type="dxa"/>
            </w:tcMar>
            <w:vAlign w:val="center"/>
          </w:tcPr>
          <w:p w14:paraId="4BE35536" w14:textId="77777777" w:rsidR="00E96623" w:rsidRDefault="00000000">
            <w:r>
              <w:rPr>
                <w:sz w:val="14"/>
              </w:rPr>
              <w:t>7.88%</w:t>
            </w:r>
          </w:p>
        </w:tc>
        <w:tc>
          <w:tcPr>
            <w:tcW w:w="792" w:type="dxa"/>
            <w:shd w:val="clear" w:color="auto" w:fill="F2F4F7"/>
            <w:tcMar>
              <w:top w:w="80" w:type="dxa"/>
              <w:left w:w="80" w:type="dxa"/>
              <w:bottom w:w="80" w:type="dxa"/>
              <w:right w:w="80" w:type="dxa"/>
            </w:tcMar>
            <w:vAlign w:val="center"/>
          </w:tcPr>
          <w:p w14:paraId="6B48C950" w14:textId="77777777" w:rsidR="00E96623" w:rsidRDefault="00000000">
            <w:r>
              <w:rPr>
                <w:sz w:val="14"/>
              </w:rPr>
              <w:t>0.683</w:t>
            </w:r>
          </w:p>
        </w:tc>
        <w:tc>
          <w:tcPr>
            <w:tcW w:w="792" w:type="dxa"/>
            <w:shd w:val="clear" w:color="auto" w:fill="F2F4F7"/>
            <w:tcMar>
              <w:top w:w="80" w:type="dxa"/>
              <w:left w:w="80" w:type="dxa"/>
              <w:bottom w:w="80" w:type="dxa"/>
              <w:right w:w="80" w:type="dxa"/>
            </w:tcMar>
            <w:vAlign w:val="center"/>
          </w:tcPr>
          <w:p w14:paraId="625FF3F4" w14:textId="77777777" w:rsidR="00E96623" w:rsidRDefault="00000000">
            <w:r>
              <w:rPr>
                <w:sz w:val="14"/>
              </w:rPr>
              <w:t>1.057</w:t>
            </w:r>
          </w:p>
        </w:tc>
        <w:tc>
          <w:tcPr>
            <w:tcW w:w="936" w:type="dxa"/>
            <w:shd w:val="clear" w:color="auto" w:fill="F2F4F7"/>
            <w:tcMar>
              <w:top w:w="80" w:type="dxa"/>
              <w:left w:w="80" w:type="dxa"/>
              <w:bottom w:w="80" w:type="dxa"/>
              <w:right w:w="80" w:type="dxa"/>
            </w:tcMar>
            <w:vAlign w:val="center"/>
          </w:tcPr>
          <w:p w14:paraId="161EB514" w14:textId="77777777" w:rsidR="00E96623" w:rsidRDefault="00000000">
            <w:r>
              <w:rPr>
                <w:sz w:val="14"/>
              </w:rPr>
              <w:t>-17.44%</w:t>
            </w:r>
          </w:p>
        </w:tc>
        <w:tc>
          <w:tcPr>
            <w:tcW w:w="936" w:type="dxa"/>
            <w:shd w:val="clear" w:color="auto" w:fill="F2F4F7"/>
            <w:tcMar>
              <w:top w:w="80" w:type="dxa"/>
              <w:left w:w="80" w:type="dxa"/>
              <w:bottom w:w="80" w:type="dxa"/>
              <w:right w:w="80" w:type="dxa"/>
            </w:tcMar>
            <w:vAlign w:val="center"/>
          </w:tcPr>
          <w:p w14:paraId="33158726" w14:textId="77777777" w:rsidR="00E96623" w:rsidRDefault="00000000">
            <w:r>
              <w:rPr>
                <w:sz w:val="14"/>
              </w:rPr>
              <w:t>4.68%</w:t>
            </w:r>
          </w:p>
        </w:tc>
        <w:tc>
          <w:tcPr>
            <w:tcW w:w="936" w:type="dxa"/>
            <w:shd w:val="clear" w:color="auto" w:fill="F2F4F7"/>
            <w:tcMar>
              <w:top w:w="80" w:type="dxa"/>
              <w:left w:w="80" w:type="dxa"/>
              <w:bottom w:w="80" w:type="dxa"/>
              <w:right w:w="80" w:type="dxa"/>
            </w:tcMar>
            <w:vAlign w:val="center"/>
          </w:tcPr>
          <w:p w14:paraId="5BEE9033" w14:textId="77777777" w:rsidR="00E96623" w:rsidRDefault="00000000">
            <w:r>
              <w:rPr>
                <w:sz w:val="14"/>
              </w:rPr>
              <w:t>43.02%</w:t>
            </w:r>
          </w:p>
        </w:tc>
      </w:tr>
    </w:tbl>
    <w:p w14:paraId="3BD412D4" w14:textId="77777777" w:rsidR="00E96623" w:rsidRDefault="00000000">
      <w:pPr>
        <w:jc w:val="center"/>
      </w:pPr>
      <w:r>
        <w:rPr>
          <w:noProof/>
        </w:rPr>
        <w:drawing>
          <wp:inline distT="0" distB="0" distL="0" distR="0" wp14:anchorId="0B6A72D7" wp14:editId="0DC449F9">
            <wp:extent cx="6309360" cy="3494578"/>
            <wp:effectExtent l="0" t="0" r="0" b="0"/>
            <wp:docPr id="1" name="Picture 1" descr="Line chart showing growth of one dollar for six portfolios from January 2013 through December 2025." title="Cumulative wealth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umulative_wealth.png"/>
                    <pic:cNvPicPr/>
                  </pic:nvPicPr>
                  <pic:blipFill>
                    <a:blip r:embed="rId8"/>
                    <a:stretch>
                      <a:fillRect/>
                    </a:stretch>
                  </pic:blipFill>
                  <pic:spPr>
                    <a:xfrm>
                      <a:off x="0" y="0"/>
                      <a:ext cx="6309360" cy="3494578"/>
                    </a:xfrm>
                    <a:prstGeom prst="rect">
                      <a:avLst/>
                    </a:prstGeom>
                  </pic:spPr>
                </pic:pic>
              </a:graphicData>
            </a:graphic>
          </wp:inline>
        </w:drawing>
      </w:r>
    </w:p>
    <w:p w14:paraId="51E32362" w14:textId="77777777" w:rsidR="00E96623" w:rsidRDefault="00000000">
      <w:pPr>
        <w:jc w:val="center"/>
      </w:pPr>
      <w:r>
        <w:rPr>
          <w:i/>
          <w:sz w:val="18"/>
        </w:rPr>
        <w:t>Figure 1. Growth of $1 for all six portfolios, January 2013-December 2025.</w:t>
      </w:r>
    </w:p>
    <w:p w14:paraId="11D154AD" w14:textId="77777777" w:rsidR="00E96623" w:rsidRDefault="00000000">
      <w:pPr>
        <w:pStyle w:val="BodyText"/>
      </w:pPr>
      <w:r>
        <w:t>The 60/40 portfolio ended with $3.28 for each initial dollar, compared with $2.35 for the regime-sensitive portfolio and $2.28 for mean-variance. The growth advantage of 60/40 was especially visible after 2023, while the defensive portfolios compounded more slowly throughout most of the sample.</w:t>
      </w:r>
    </w:p>
    <w:p w14:paraId="714691C9" w14:textId="77777777" w:rsidR="00905B4D" w:rsidRDefault="00905B4D">
      <w:pPr>
        <w:pStyle w:val="BodyText"/>
      </w:pPr>
    </w:p>
    <w:p w14:paraId="19725103" w14:textId="77777777" w:rsidR="00905B4D" w:rsidRDefault="00905B4D">
      <w:pPr>
        <w:pStyle w:val="BodyText"/>
      </w:pPr>
    </w:p>
    <w:p w14:paraId="31559C46" w14:textId="77777777" w:rsidR="00905B4D" w:rsidRDefault="00905B4D">
      <w:pPr>
        <w:pStyle w:val="BodyText"/>
      </w:pPr>
    </w:p>
    <w:p w14:paraId="3A6CC771" w14:textId="77777777" w:rsidR="00905B4D" w:rsidRDefault="00905B4D">
      <w:pPr>
        <w:pStyle w:val="BodyText"/>
      </w:pPr>
    </w:p>
    <w:p w14:paraId="07D305B4" w14:textId="77777777" w:rsidR="00905B4D" w:rsidRDefault="00905B4D">
      <w:pPr>
        <w:pStyle w:val="BodyText"/>
      </w:pPr>
    </w:p>
    <w:p w14:paraId="05714B7B" w14:textId="77777777" w:rsidR="00905B4D" w:rsidRDefault="00905B4D">
      <w:pPr>
        <w:pStyle w:val="BodyText"/>
      </w:pPr>
    </w:p>
    <w:p w14:paraId="26AA1DCE" w14:textId="77777777" w:rsidR="00E96623" w:rsidRDefault="00000000">
      <w:pPr>
        <w:pStyle w:val="Heading2"/>
      </w:pPr>
      <w:r>
        <w:t>6.2 Drawdown and Stress-Period Results</w:t>
      </w:r>
    </w:p>
    <w:p w14:paraId="67464113" w14:textId="77777777" w:rsidR="00E96623" w:rsidRDefault="00000000">
      <w:pPr>
        <w:pStyle w:val="BodyText"/>
      </w:pPr>
      <w:r>
        <w:t>The largest drawdowns occurred during the 2022 joint decline in stocks and bonds. Mean-variance and minimum-CVaR sharply reduced peak-to-trough losses. Minimum-CVaR, however, remained below a prior peak for longer because its return recovery was slow.</w:t>
      </w:r>
    </w:p>
    <w:p w14:paraId="0D3B5C8F" w14:textId="77777777" w:rsidR="00E96623" w:rsidRDefault="00000000">
      <w:r>
        <w:t>Table 9. Maximum drawdown episodes</w:t>
      </w:r>
    </w:p>
    <w:tbl>
      <w:tblPr>
        <w:tblW w:w="0" w:type="auto"/>
        <w:jc w:val="center"/>
        <w:tblLook w:val="04A0" w:firstRow="1" w:lastRow="0" w:firstColumn="1" w:lastColumn="0" w:noHBand="0" w:noVBand="1"/>
      </w:tblPr>
      <w:tblGrid>
        <w:gridCol w:w="2520"/>
        <w:gridCol w:w="936"/>
        <w:gridCol w:w="1152"/>
        <w:gridCol w:w="1152"/>
        <w:gridCol w:w="1152"/>
        <w:gridCol w:w="1224"/>
      </w:tblGrid>
      <w:tr w:rsidR="00E96623" w14:paraId="2DE1DBD8" w14:textId="77777777">
        <w:trPr>
          <w:tblHeader/>
          <w:jc w:val="center"/>
        </w:trPr>
        <w:tc>
          <w:tcPr>
            <w:tcW w:w="2520" w:type="dxa"/>
            <w:shd w:val="clear" w:color="auto" w:fill="0B1F3A"/>
            <w:tcMar>
              <w:top w:w="80" w:type="dxa"/>
              <w:left w:w="80" w:type="dxa"/>
              <w:bottom w:w="80" w:type="dxa"/>
              <w:right w:w="80" w:type="dxa"/>
            </w:tcMar>
            <w:vAlign w:val="center"/>
          </w:tcPr>
          <w:p w14:paraId="395A8795" w14:textId="77777777" w:rsidR="00E96623" w:rsidRDefault="00000000">
            <w:r>
              <w:rPr>
                <w:b/>
                <w:color w:val="FFFFFF"/>
                <w:sz w:val="15"/>
              </w:rPr>
              <w:t>Portfolio</w:t>
            </w:r>
          </w:p>
        </w:tc>
        <w:tc>
          <w:tcPr>
            <w:tcW w:w="936" w:type="dxa"/>
            <w:shd w:val="clear" w:color="auto" w:fill="0B1F3A"/>
            <w:tcMar>
              <w:top w:w="80" w:type="dxa"/>
              <w:left w:w="80" w:type="dxa"/>
              <w:bottom w:w="80" w:type="dxa"/>
              <w:right w:w="80" w:type="dxa"/>
            </w:tcMar>
            <w:vAlign w:val="center"/>
          </w:tcPr>
          <w:p w14:paraId="61102A5B" w14:textId="77777777" w:rsidR="00E96623" w:rsidRDefault="00000000">
            <w:r>
              <w:rPr>
                <w:b/>
                <w:color w:val="FFFFFF"/>
                <w:sz w:val="15"/>
              </w:rPr>
              <w:t>Max DD</w:t>
            </w:r>
          </w:p>
        </w:tc>
        <w:tc>
          <w:tcPr>
            <w:tcW w:w="1152" w:type="dxa"/>
            <w:shd w:val="clear" w:color="auto" w:fill="0B1F3A"/>
            <w:tcMar>
              <w:top w:w="80" w:type="dxa"/>
              <w:left w:w="80" w:type="dxa"/>
              <w:bottom w:w="80" w:type="dxa"/>
              <w:right w:w="80" w:type="dxa"/>
            </w:tcMar>
            <w:vAlign w:val="center"/>
          </w:tcPr>
          <w:p w14:paraId="4435CCFC" w14:textId="77777777" w:rsidR="00E96623" w:rsidRDefault="00000000">
            <w:r>
              <w:rPr>
                <w:b/>
                <w:color w:val="FFFFFF"/>
                <w:sz w:val="15"/>
              </w:rPr>
              <w:t>Peak</w:t>
            </w:r>
          </w:p>
        </w:tc>
        <w:tc>
          <w:tcPr>
            <w:tcW w:w="1152" w:type="dxa"/>
            <w:shd w:val="clear" w:color="auto" w:fill="0B1F3A"/>
            <w:tcMar>
              <w:top w:w="80" w:type="dxa"/>
              <w:left w:w="80" w:type="dxa"/>
              <w:bottom w:w="80" w:type="dxa"/>
              <w:right w:w="80" w:type="dxa"/>
            </w:tcMar>
            <w:vAlign w:val="center"/>
          </w:tcPr>
          <w:p w14:paraId="5F05B6E9" w14:textId="77777777" w:rsidR="00E96623" w:rsidRDefault="00000000">
            <w:r>
              <w:rPr>
                <w:b/>
                <w:color w:val="FFFFFF"/>
                <w:sz w:val="15"/>
              </w:rPr>
              <w:t>Trough</w:t>
            </w:r>
          </w:p>
        </w:tc>
        <w:tc>
          <w:tcPr>
            <w:tcW w:w="1152" w:type="dxa"/>
            <w:shd w:val="clear" w:color="auto" w:fill="0B1F3A"/>
            <w:tcMar>
              <w:top w:w="80" w:type="dxa"/>
              <w:left w:w="80" w:type="dxa"/>
              <w:bottom w:w="80" w:type="dxa"/>
              <w:right w:w="80" w:type="dxa"/>
            </w:tcMar>
            <w:vAlign w:val="center"/>
          </w:tcPr>
          <w:p w14:paraId="794700E7" w14:textId="77777777" w:rsidR="00E96623" w:rsidRDefault="00000000">
            <w:r>
              <w:rPr>
                <w:b/>
                <w:color w:val="FFFFFF"/>
                <w:sz w:val="15"/>
              </w:rPr>
              <w:t>Recovery</w:t>
            </w:r>
          </w:p>
        </w:tc>
        <w:tc>
          <w:tcPr>
            <w:tcW w:w="1224" w:type="dxa"/>
            <w:shd w:val="clear" w:color="auto" w:fill="0B1F3A"/>
            <w:tcMar>
              <w:top w:w="80" w:type="dxa"/>
              <w:left w:w="80" w:type="dxa"/>
              <w:bottom w:w="80" w:type="dxa"/>
              <w:right w:w="80" w:type="dxa"/>
            </w:tcMar>
            <w:vAlign w:val="center"/>
          </w:tcPr>
          <w:p w14:paraId="33FA8C37" w14:textId="77777777" w:rsidR="00E96623" w:rsidRDefault="00000000">
            <w:r>
              <w:rPr>
                <w:b/>
                <w:color w:val="FFFFFF"/>
                <w:sz w:val="15"/>
              </w:rPr>
              <w:t>Longest DD (mo.)</w:t>
            </w:r>
          </w:p>
        </w:tc>
      </w:tr>
      <w:tr w:rsidR="00E96623" w14:paraId="7D653E20" w14:textId="77777777">
        <w:trPr>
          <w:jc w:val="center"/>
        </w:trPr>
        <w:tc>
          <w:tcPr>
            <w:tcW w:w="2520" w:type="dxa"/>
            <w:shd w:val="clear" w:color="auto" w:fill="FFFFFF"/>
            <w:tcMar>
              <w:top w:w="80" w:type="dxa"/>
              <w:left w:w="80" w:type="dxa"/>
              <w:bottom w:w="80" w:type="dxa"/>
              <w:right w:w="80" w:type="dxa"/>
            </w:tcMar>
            <w:vAlign w:val="center"/>
          </w:tcPr>
          <w:p w14:paraId="4CBBBA58" w14:textId="77777777" w:rsidR="00E96623" w:rsidRDefault="00000000">
            <w:r>
              <w:rPr>
                <w:b/>
                <w:sz w:val="15"/>
              </w:rPr>
              <w:t>Traditional 60/40</w:t>
            </w:r>
          </w:p>
        </w:tc>
        <w:tc>
          <w:tcPr>
            <w:tcW w:w="936" w:type="dxa"/>
            <w:shd w:val="clear" w:color="auto" w:fill="FFFFFF"/>
            <w:tcMar>
              <w:top w:w="80" w:type="dxa"/>
              <w:left w:w="80" w:type="dxa"/>
              <w:bottom w:w="80" w:type="dxa"/>
              <w:right w:w="80" w:type="dxa"/>
            </w:tcMar>
            <w:vAlign w:val="center"/>
          </w:tcPr>
          <w:p w14:paraId="58E8A9BE" w14:textId="77777777" w:rsidR="00E96623" w:rsidRDefault="00000000">
            <w:r>
              <w:rPr>
                <w:sz w:val="15"/>
              </w:rPr>
              <w:t>-20.56%</w:t>
            </w:r>
          </w:p>
        </w:tc>
        <w:tc>
          <w:tcPr>
            <w:tcW w:w="1152" w:type="dxa"/>
            <w:shd w:val="clear" w:color="auto" w:fill="FFFFFF"/>
            <w:tcMar>
              <w:top w:w="80" w:type="dxa"/>
              <w:left w:w="80" w:type="dxa"/>
              <w:bottom w:w="80" w:type="dxa"/>
              <w:right w:w="80" w:type="dxa"/>
            </w:tcMar>
            <w:vAlign w:val="center"/>
          </w:tcPr>
          <w:p w14:paraId="70C4CDD0" w14:textId="77777777" w:rsidR="00E96623" w:rsidRDefault="00000000">
            <w:r>
              <w:rPr>
                <w:sz w:val="15"/>
              </w:rPr>
              <w:t>Dec. 2021</w:t>
            </w:r>
          </w:p>
        </w:tc>
        <w:tc>
          <w:tcPr>
            <w:tcW w:w="1152" w:type="dxa"/>
            <w:shd w:val="clear" w:color="auto" w:fill="FFFFFF"/>
            <w:tcMar>
              <w:top w:w="80" w:type="dxa"/>
              <w:left w:w="80" w:type="dxa"/>
              <w:bottom w:w="80" w:type="dxa"/>
              <w:right w:w="80" w:type="dxa"/>
            </w:tcMar>
            <w:vAlign w:val="center"/>
          </w:tcPr>
          <w:p w14:paraId="4918A510" w14:textId="77777777" w:rsidR="00E96623" w:rsidRDefault="00000000">
            <w:r>
              <w:rPr>
                <w:sz w:val="15"/>
              </w:rPr>
              <w:t>Sep. 2022</w:t>
            </w:r>
          </w:p>
        </w:tc>
        <w:tc>
          <w:tcPr>
            <w:tcW w:w="1152" w:type="dxa"/>
            <w:shd w:val="clear" w:color="auto" w:fill="FFFFFF"/>
            <w:tcMar>
              <w:top w:w="80" w:type="dxa"/>
              <w:left w:w="80" w:type="dxa"/>
              <w:bottom w:w="80" w:type="dxa"/>
              <w:right w:w="80" w:type="dxa"/>
            </w:tcMar>
            <w:vAlign w:val="center"/>
          </w:tcPr>
          <w:p w14:paraId="5181446F" w14:textId="77777777" w:rsidR="00E96623" w:rsidRDefault="00000000">
            <w:r>
              <w:rPr>
                <w:sz w:val="15"/>
              </w:rPr>
              <w:t>Feb. 2024</w:t>
            </w:r>
          </w:p>
        </w:tc>
        <w:tc>
          <w:tcPr>
            <w:tcW w:w="1224" w:type="dxa"/>
            <w:shd w:val="clear" w:color="auto" w:fill="FFFFFF"/>
            <w:tcMar>
              <w:top w:w="80" w:type="dxa"/>
              <w:left w:w="80" w:type="dxa"/>
              <w:bottom w:w="80" w:type="dxa"/>
              <w:right w:w="80" w:type="dxa"/>
            </w:tcMar>
            <w:vAlign w:val="center"/>
          </w:tcPr>
          <w:p w14:paraId="672B2632" w14:textId="77777777" w:rsidR="00E96623" w:rsidRDefault="00000000">
            <w:r>
              <w:rPr>
                <w:sz w:val="15"/>
              </w:rPr>
              <w:t>25</w:t>
            </w:r>
          </w:p>
        </w:tc>
      </w:tr>
      <w:tr w:rsidR="00E96623" w14:paraId="6D2E1BBA" w14:textId="77777777">
        <w:trPr>
          <w:jc w:val="center"/>
        </w:trPr>
        <w:tc>
          <w:tcPr>
            <w:tcW w:w="2520" w:type="dxa"/>
            <w:shd w:val="clear" w:color="auto" w:fill="F2F4F7"/>
            <w:tcMar>
              <w:top w:w="80" w:type="dxa"/>
              <w:left w:w="80" w:type="dxa"/>
              <w:bottom w:w="80" w:type="dxa"/>
              <w:right w:w="80" w:type="dxa"/>
            </w:tcMar>
            <w:vAlign w:val="center"/>
          </w:tcPr>
          <w:p w14:paraId="300D5C65" w14:textId="77777777" w:rsidR="00E96623" w:rsidRDefault="00000000">
            <w:r>
              <w:rPr>
                <w:b/>
                <w:sz w:val="15"/>
              </w:rPr>
              <w:t>Strategic diversified</w:t>
            </w:r>
          </w:p>
        </w:tc>
        <w:tc>
          <w:tcPr>
            <w:tcW w:w="936" w:type="dxa"/>
            <w:shd w:val="clear" w:color="auto" w:fill="F2F4F7"/>
            <w:tcMar>
              <w:top w:w="80" w:type="dxa"/>
              <w:left w:w="80" w:type="dxa"/>
              <w:bottom w:w="80" w:type="dxa"/>
              <w:right w:w="80" w:type="dxa"/>
            </w:tcMar>
            <w:vAlign w:val="center"/>
          </w:tcPr>
          <w:p w14:paraId="0B9E5175" w14:textId="77777777" w:rsidR="00E96623" w:rsidRDefault="00000000">
            <w:r>
              <w:rPr>
                <w:sz w:val="15"/>
              </w:rPr>
              <w:t>-20.94%</w:t>
            </w:r>
          </w:p>
        </w:tc>
        <w:tc>
          <w:tcPr>
            <w:tcW w:w="1152" w:type="dxa"/>
            <w:shd w:val="clear" w:color="auto" w:fill="F2F4F7"/>
            <w:tcMar>
              <w:top w:w="80" w:type="dxa"/>
              <w:left w:w="80" w:type="dxa"/>
              <w:bottom w:w="80" w:type="dxa"/>
              <w:right w:w="80" w:type="dxa"/>
            </w:tcMar>
            <w:vAlign w:val="center"/>
          </w:tcPr>
          <w:p w14:paraId="53A7A2E9" w14:textId="77777777" w:rsidR="00E96623" w:rsidRDefault="00000000">
            <w:r>
              <w:rPr>
                <w:sz w:val="15"/>
              </w:rPr>
              <w:t>Dec. 2021</w:t>
            </w:r>
          </w:p>
        </w:tc>
        <w:tc>
          <w:tcPr>
            <w:tcW w:w="1152" w:type="dxa"/>
            <w:shd w:val="clear" w:color="auto" w:fill="F2F4F7"/>
            <w:tcMar>
              <w:top w:w="80" w:type="dxa"/>
              <w:left w:w="80" w:type="dxa"/>
              <w:bottom w:w="80" w:type="dxa"/>
              <w:right w:w="80" w:type="dxa"/>
            </w:tcMar>
            <w:vAlign w:val="center"/>
          </w:tcPr>
          <w:p w14:paraId="6121A154" w14:textId="77777777" w:rsidR="00E96623" w:rsidRDefault="00000000">
            <w:r>
              <w:rPr>
                <w:sz w:val="15"/>
              </w:rPr>
              <w:t>Sep. 2022</w:t>
            </w:r>
          </w:p>
        </w:tc>
        <w:tc>
          <w:tcPr>
            <w:tcW w:w="1152" w:type="dxa"/>
            <w:shd w:val="clear" w:color="auto" w:fill="F2F4F7"/>
            <w:tcMar>
              <w:top w:w="80" w:type="dxa"/>
              <w:left w:w="80" w:type="dxa"/>
              <w:bottom w:w="80" w:type="dxa"/>
              <w:right w:w="80" w:type="dxa"/>
            </w:tcMar>
            <w:vAlign w:val="center"/>
          </w:tcPr>
          <w:p w14:paraId="623707CD" w14:textId="77777777" w:rsidR="00E96623" w:rsidRDefault="00000000">
            <w:r>
              <w:rPr>
                <w:sz w:val="15"/>
              </w:rPr>
              <w:t>Mar. 2024</w:t>
            </w:r>
          </w:p>
        </w:tc>
        <w:tc>
          <w:tcPr>
            <w:tcW w:w="1224" w:type="dxa"/>
            <w:shd w:val="clear" w:color="auto" w:fill="F2F4F7"/>
            <w:tcMar>
              <w:top w:w="80" w:type="dxa"/>
              <w:left w:w="80" w:type="dxa"/>
              <w:bottom w:w="80" w:type="dxa"/>
              <w:right w:w="80" w:type="dxa"/>
            </w:tcMar>
            <w:vAlign w:val="center"/>
          </w:tcPr>
          <w:p w14:paraId="74334013" w14:textId="77777777" w:rsidR="00E96623" w:rsidRDefault="00000000">
            <w:r>
              <w:rPr>
                <w:sz w:val="15"/>
              </w:rPr>
              <w:t>26</w:t>
            </w:r>
          </w:p>
        </w:tc>
      </w:tr>
      <w:tr w:rsidR="00E96623" w14:paraId="7144998C" w14:textId="77777777">
        <w:trPr>
          <w:jc w:val="center"/>
        </w:trPr>
        <w:tc>
          <w:tcPr>
            <w:tcW w:w="2520" w:type="dxa"/>
            <w:shd w:val="clear" w:color="auto" w:fill="FFFFFF"/>
            <w:tcMar>
              <w:top w:w="80" w:type="dxa"/>
              <w:left w:w="80" w:type="dxa"/>
              <w:bottom w:w="80" w:type="dxa"/>
              <w:right w:w="80" w:type="dxa"/>
            </w:tcMar>
            <w:vAlign w:val="center"/>
          </w:tcPr>
          <w:p w14:paraId="1CEA8E1B" w14:textId="77777777" w:rsidR="00E96623" w:rsidRDefault="00000000">
            <w:r>
              <w:rPr>
                <w:b/>
                <w:sz w:val="15"/>
              </w:rPr>
              <w:t>Mean-variance</w:t>
            </w:r>
          </w:p>
        </w:tc>
        <w:tc>
          <w:tcPr>
            <w:tcW w:w="936" w:type="dxa"/>
            <w:shd w:val="clear" w:color="auto" w:fill="FFFFFF"/>
            <w:tcMar>
              <w:top w:w="80" w:type="dxa"/>
              <w:left w:w="80" w:type="dxa"/>
              <w:bottom w:w="80" w:type="dxa"/>
              <w:right w:w="80" w:type="dxa"/>
            </w:tcMar>
            <w:vAlign w:val="center"/>
          </w:tcPr>
          <w:p w14:paraId="6D5A6C0F" w14:textId="77777777" w:rsidR="00E96623" w:rsidRDefault="00000000">
            <w:r>
              <w:rPr>
                <w:sz w:val="15"/>
              </w:rPr>
              <w:t>-12.16%</w:t>
            </w:r>
          </w:p>
        </w:tc>
        <w:tc>
          <w:tcPr>
            <w:tcW w:w="1152" w:type="dxa"/>
            <w:shd w:val="clear" w:color="auto" w:fill="FFFFFF"/>
            <w:tcMar>
              <w:top w:w="80" w:type="dxa"/>
              <w:left w:w="80" w:type="dxa"/>
              <w:bottom w:w="80" w:type="dxa"/>
              <w:right w:w="80" w:type="dxa"/>
            </w:tcMar>
            <w:vAlign w:val="center"/>
          </w:tcPr>
          <w:p w14:paraId="40F07BE0" w14:textId="77777777" w:rsidR="00E96623" w:rsidRDefault="00000000">
            <w:r>
              <w:rPr>
                <w:sz w:val="15"/>
              </w:rPr>
              <w:t>Dec. 2021</w:t>
            </w:r>
          </w:p>
        </w:tc>
        <w:tc>
          <w:tcPr>
            <w:tcW w:w="1152" w:type="dxa"/>
            <w:shd w:val="clear" w:color="auto" w:fill="FFFFFF"/>
            <w:tcMar>
              <w:top w:w="80" w:type="dxa"/>
              <w:left w:w="80" w:type="dxa"/>
              <w:bottom w:w="80" w:type="dxa"/>
              <w:right w:w="80" w:type="dxa"/>
            </w:tcMar>
            <w:vAlign w:val="center"/>
          </w:tcPr>
          <w:p w14:paraId="64CD271A" w14:textId="77777777" w:rsidR="00E96623" w:rsidRDefault="00000000">
            <w:r>
              <w:rPr>
                <w:sz w:val="15"/>
              </w:rPr>
              <w:t>Sep. 2022</w:t>
            </w:r>
          </w:p>
        </w:tc>
        <w:tc>
          <w:tcPr>
            <w:tcW w:w="1152" w:type="dxa"/>
            <w:shd w:val="clear" w:color="auto" w:fill="FFFFFF"/>
            <w:tcMar>
              <w:top w:w="80" w:type="dxa"/>
              <w:left w:w="80" w:type="dxa"/>
              <w:bottom w:w="80" w:type="dxa"/>
              <w:right w:w="80" w:type="dxa"/>
            </w:tcMar>
            <w:vAlign w:val="center"/>
          </w:tcPr>
          <w:p w14:paraId="2D61EB69" w14:textId="77777777" w:rsidR="00E96623" w:rsidRDefault="00000000">
            <w:r>
              <w:rPr>
                <w:sz w:val="15"/>
              </w:rPr>
              <w:t>Jul. 2023</w:t>
            </w:r>
          </w:p>
        </w:tc>
        <w:tc>
          <w:tcPr>
            <w:tcW w:w="1224" w:type="dxa"/>
            <w:shd w:val="clear" w:color="auto" w:fill="FFFFFF"/>
            <w:tcMar>
              <w:top w:w="80" w:type="dxa"/>
              <w:left w:w="80" w:type="dxa"/>
              <w:bottom w:w="80" w:type="dxa"/>
              <w:right w:w="80" w:type="dxa"/>
            </w:tcMar>
            <w:vAlign w:val="center"/>
          </w:tcPr>
          <w:p w14:paraId="2090E241" w14:textId="77777777" w:rsidR="00E96623" w:rsidRDefault="00000000">
            <w:r>
              <w:rPr>
                <w:sz w:val="15"/>
              </w:rPr>
              <w:t>18</w:t>
            </w:r>
          </w:p>
        </w:tc>
      </w:tr>
      <w:tr w:rsidR="00E96623" w14:paraId="6BD427B9" w14:textId="77777777">
        <w:trPr>
          <w:jc w:val="center"/>
        </w:trPr>
        <w:tc>
          <w:tcPr>
            <w:tcW w:w="2520" w:type="dxa"/>
            <w:shd w:val="clear" w:color="auto" w:fill="F2F4F7"/>
            <w:tcMar>
              <w:top w:w="80" w:type="dxa"/>
              <w:left w:w="80" w:type="dxa"/>
              <w:bottom w:w="80" w:type="dxa"/>
              <w:right w:w="80" w:type="dxa"/>
            </w:tcMar>
            <w:vAlign w:val="center"/>
          </w:tcPr>
          <w:p w14:paraId="6FC38A11" w14:textId="77777777" w:rsidR="00E96623" w:rsidRDefault="00000000">
            <w:r>
              <w:rPr>
                <w:b/>
                <w:sz w:val="15"/>
              </w:rPr>
              <w:t>Equal risk contribution</w:t>
            </w:r>
          </w:p>
        </w:tc>
        <w:tc>
          <w:tcPr>
            <w:tcW w:w="936" w:type="dxa"/>
            <w:shd w:val="clear" w:color="auto" w:fill="F2F4F7"/>
            <w:tcMar>
              <w:top w:w="80" w:type="dxa"/>
              <w:left w:w="80" w:type="dxa"/>
              <w:bottom w:w="80" w:type="dxa"/>
              <w:right w:w="80" w:type="dxa"/>
            </w:tcMar>
            <w:vAlign w:val="center"/>
          </w:tcPr>
          <w:p w14:paraId="3B9491E8" w14:textId="77777777" w:rsidR="00E96623" w:rsidRDefault="00000000">
            <w:r>
              <w:rPr>
                <w:sz w:val="15"/>
              </w:rPr>
              <w:t>-15.21%</w:t>
            </w:r>
          </w:p>
        </w:tc>
        <w:tc>
          <w:tcPr>
            <w:tcW w:w="1152" w:type="dxa"/>
            <w:shd w:val="clear" w:color="auto" w:fill="F2F4F7"/>
            <w:tcMar>
              <w:top w:w="80" w:type="dxa"/>
              <w:left w:w="80" w:type="dxa"/>
              <w:bottom w:w="80" w:type="dxa"/>
              <w:right w:w="80" w:type="dxa"/>
            </w:tcMar>
            <w:vAlign w:val="center"/>
          </w:tcPr>
          <w:p w14:paraId="4DAE4221" w14:textId="77777777" w:rsidR="00E96623" w:rsidRDefault="00000000">
            <w:r>
              <w:rPr>
                <w:sz w:val="15"/>
              </w:rPr>
              <w:t>Dec. 2021</w:t>
            </w:r>
          </w:p>
        </w:tc>
        <w:tc>
          <w:tcPr>
            <w:tcW w:w="1152" w:type="dxa"/>
            <w:shd w:val="clear" w:color="auto" w:fill="F2F4F7"/>
            <w:tcMar>
              <w:top w:w="80" w:type="dxa"/>
              <w:left w:w="80" w:type="dxa"/>
              <w:bottom w:w="80" w:type="dxa"/>
              <w:right w:w="80" w:type="dxa"/>
            </w:tcMar>
            <w:vAlign w:val="center"/>
          </w:tcPr>
          <w:p w14:paraId="312BC574" w14:textId="77777777" w:rsidR="00E96623" w:rsidRDefault="00000000">
            <w:r>
              <w:rPr>
                <w:sz w:val="15"/>
              </w:rPr>
              <w:t>Sep. 2022</w:t>
            </w:r>
          </w:p>
        </w:tc>
        <w:tc>
          <w:tcPr>
            <w:tcW w:w="1152" w:type="dxa"/>
            <w:shd w:val="clear" w:color="auto" w:fill="F2F4F7"/>
            <w:tcMar>
              <w:top w:w="80" w:type="dxa"/>
              <w:left w:w="80" w:type="dxa"/>
              <w:bottom w:w="80" w:type="dxa"/>
              <w:right w:w="80" w:type="dxa"/>
            </w:tcMar>
            <w:vAlign w:val="center"/>
          </w:tcPr>
          <w:p w14:paraId="7742C855" w14:textId="77777777" w:rsidR="00E96623" w:rsidRDefault="00000000">
            <w:r>
              <w:rPr>
                <w:sz w:val="15"/>
              </w:rPr>
              <w:t>Dec. 2023</w:t>
            </w:r>
          </w:p>
        </w:tc>
        <w:tc>
          <w:tcPr>
            <w:tcW w:w="1224" w:type="dxa"/>
            <w:shd w:val="clear" w:color="auto" w:fill="F2F4F7"/>
            <w:tcMar>
              <w:top w:w="80" w:type="dxa"/>
              <w:left w:w="80" w:type="dxa"/>
              <w:bottom w:w="80" w:type="dxa"/>
              <w:right w:w="80" w:type="dxa"/>
            </w:tcMar>
            <w:vAlign w:val="center"/>
          </w:tcPr>
          <w:p w14:paraId="580C52DF" w14:textId="77777777" w:rsidR="00E96623" w:rsidRDefault="00000000">
            <w:r>
              <w:rPr>
                <w:sz w:val="15"/>
              </w:rPr>
              <w:t>23</w:t>
            </w:r>
          </w:p>
        </w:tc>
      </w:tr>
      <w:tr w:rsidR="00E96623" w14:paraId="630B7392" w14:textId="77777777">
        <w:trPr>
          <w:jc w:val="center"/>
        </w:trPr>
        <w:tc>
          <w:tcPr>
            <w:tcW w:w="2520" w:type="dxa"/>
            <w:shd w:val="clear" w:color="auto" w:fill="FFFFFF"/>
            <w:tcMar>
              <w:top w:w="80" w:type="dxa"/>
              <w:left w:w="80" w:type="dxa"/>
              <w:bottom w:w="80" w:type="dxa"/>
              <w:right w:w="80" w:type="dxa"/>
            </w:tcMar>
            <w:vAlign w:val="center"/>
          </w:tcPr>
          <w:p w14:paraId="4504E7EE" w14:textId="77777777" w:rsidR="00E96623" w:rsidRDefault="00000000">
            <w:r>
              <w:rPr>
                <w:b/>
                <w:sz w:val="15"/>
              </w:rPr>
              <w:t>Minimum CVaR</w:t>
            </w:r>
          </w:p>
        </w:tc>
        <w:tc>
          <w:tcPr>
            <w:tcW w:w="936" w:type="dxa"/>
            <w:shd w:val="clear" w:color="auto" w:fill="FFFFFF"/>
            <w:tcMar>
              <w:top w:w="80" w:type="dxa"/>
              <w:left w:w="80" w:type="dxa"/>
              <w:bottom w:w="80" w:type="dxa"/>
              <w:right w:w="80" w:type="dxa"/>
            </w:tcMar>
            <w:vAlign w:val="center"/>
          </w:tcPr>
          <w:p w14:paraId="68427BE3" w14:textId="77777777" w:rsidR="00E96623" w:rsidRDefault="00000000">
            <w:r>
              <w:rPr>
                <w:sz w:val="15"/>
              </w:rPr>
              <w:t>-12.78%</w:t>
            </w:r>
          </w:p>
        </w:tc>
        <w:tc>
          <w:tcPr>
            <w:tcW w:w="1152" w:type="dxa"/>
            <w:shd w:val="clear" w:color="auto" w:fill="FFFFFF"/>
            <w:tcMar>
              <w:top w:w="80" w:type="dxa"/>
              <w:left w:w="80" w:type="dxa"/>
              <w:bottom w:w="80" w:type="dxa"/>
              <w:right w:w="80" w:type="dxa"/>
            </w:tcMar>
            <w:vAlign w:val="center"/>
          </w:tcPr>
          <w:p w14:paraId="599798EB" w14:textId="77777777" w:rsidR="00E96623" w:rsidRDefault="00000000">
            <w:r>
              <w:rPr>
                <w:sz w:val="15"/>
              </w:rPr>
              <w:t>Aug. 2021</w:t>
            </w:r>
          </w:p>
        </w:tc>
        <w:tc>
          <w:tcPr>
            <w:tcW w:w="1152" w:type="dxa"/>
            <w:shd w:val="clear" w:color="auto" w:fill="FFFFFF"/>
            <w:tcMar>
              <w:top w:w="80" w:type="dxa"/>
              <w:left w:w="80" w:type="dxa"/>
              <w:bottom w:w="80" w:type="dxa"/>
              <w:right w:w="80" w:type="dxa"/>
            </w:tcMar>
            <w:vAlign w:val="center"/>
          </w:tcPr>
          <w:p w14:paraId="27D246F7" w14:textId="77777777" w:rsidR="00E96623" w:rsidRDefault="00000000">
            <w:r>
              <w:rPr>
                <w:sz w:val="15"/>
              </w:rPr>
              <w:t>Oct. 2022</w:t>
            </w:r>
          </w:p>
        </w:tc>
        <w:tc>
          <w:tcPr>
            <w:tcW w:w="1152" w:type="dxa"/>
            <w:shd w:val="clear" w:color="auto" w:fill="FFFFFF"/>
            <w:tcMar>
              <w:top w:w="80" w:type="dxa"/>
              <w:left w:w="80" w:type="dxa"/>
              <w:bottom w:w="80" w:type="dxa"/>
              <w:right w:w="80" w:type="dxa"/>
            </w:tcMar>
            <w:vAlign w:val="center"/>
          </w:tcPr>
          <w:p w14:paraId="48F9322B" w14:textId="77777777" w:rsidR="00E96623" w:rsidRDefault="00000000">
            <w:r>
              <w:rPr>
                <w:sz w:val="15"/>
              </w:rPr>
              <w:t>Jul. 2024</w:t>
            </w:r>
          </w:p>
        </w:tc>
        <w:tc>
          <w:tcPr>
            <w:tcW w:w="1224" w:type="dxa"/>
            <w:shd w:val="clear" w:color="auto" w:fill="FFFFFF"/>
            <w:tcMar>
              <w:top w:w="80" w:type="dxa"/>
              <w:left w:w="80" w:type="dxa"/>
              <w:bottom w:w="80" w:type="dxa"/>
              <w:right w:w="80" w:type="dxa"/>
            </w:tcMar>
            <w:vAlign w:val="center"/>
          </w:tcPr>
          <w:p w14:paraId="1B067D8E" w14:textId="77777777" w:rsidR="00E96623" w:rsidRDefault="00000000">
            <w:r>
              <w:rPr>
                <w:sz w:val="15"/>
              </w:rPr>
              <w:t>34</w:t>
            </w:r>
          </w:p>
        </w:tc>
      </w:tr>
      <w:tr w:rsidR="00E96623" w14:paraId="477005AC" w14:textId="77777777">
        <w:trPr>
          <w:jc w:val="center"/>
        </w:trPr>
        <w:tc>
          <w:tcPr>
            <w:tcW w:w="2520" w:type="dxa"/>
            <w:shd w:val="clear" w:color="auto" w:fill="F2F4F7"/>
            <w:tcMar>
              <w:top w:w="80" w:type="dxa"/>
              <w:left w:w="80" w:type="dxa"/>
              <w:bottom w:w="80" w:type="dxa"/>
              <w:right w:w="80" w:type="dxa"/>
            </w:tcMar>
            <w:vAlign w:val="center"/>
          </w:tcPr>
          <w:p w14:paraId="495D90B7" w14:textId="77777777" w:rsidR="00E96623" w:rsidRDefault="00000000">
            <w:r>
              <w:rPr>
                <w:b/>
                <w:sz w:val="15"/>
              </w:rPr>
              <w:t>Regime-sensitive</w:t>
            </w:r>
          </w:p>
        </w:tc>
        <w:tc>
          <w:tcPr>
            <w:tcW w:w="936" w:type="dxa"/>
            <w:shd w:val="clear" w:color="auto" w:fill="F2F4F7"/>
            <w:tcMar>
              <w:top w:w="80" w:type="dxa"/>
              <w:left w:w="80" w:type="dxa"/>
              <w:bottom w:w="80" w:type="dxa"/>
              <w:right w:w="80" w:type="dxa"/>
            </w:tcMar>
            <w:vAlign w:val="center"/>
          </w:tcPr>
          <w:p w14:paraId="25858CCE" w14:textId="77777777" w:rsidR="00E96623" w:rsidRDefault="00000000">
            <w:r>
              <w:rPr>
                <w:sz w:val="15"/>
              </w:rPr>
              <w:t>-17.44%</w:t>
            </w:r>
          </w:p>
        </w:tc>
        <w:tc>
          <w:tcPr>
            <w:tcW w:w="1152" w:type="dxa"/>
            <w:shd w:val="clear" w:color="auto" w:fill="F2F4F7"/>
            <w:tcMar>
              <w:top w:w="80" w:type="dxa"/>
              <w:left w:w="80" w:type="dxa"/>
              <w:bottom w:w="80" w:type="dxa"/>
              <w:right w:w="80" w:type="dxa"/>
            </w:tcMar>
            <w:vAlign w:val="center"/>
          </w:tcPr>
          <w:p w14:paraId="0F7789E3" w14:textId="77777777" w:rsidR="00E96623" w:rsidRDefault="00000000">
            <w:r>
              <w:rPr>
                <w:sz w:val="15"/>
              </w:rPr>
              <w:t>Dec. 2021</w:t>
            </w:r>
          </w:p>
        </w:tc>
        <w:tc>
          <w:tcPr>
            <w:tcW w:w="1152" w:type="dxa"/>
            <w:shd w:val="clear" w:color="auto" w:fill="F2F4F7"/>
            <w:tcMar>
              <w:top w:w="80" w:type="dxa"/>
              <w:left w:w="80" w:type="dxa"/>
              <w:bottom w:w="80" w:type="dxa"/>
              <w:right w:w="80" w:type="dxa"/>
            </w:tcMar>
            <w:vAlign w:val="center"/>
          </w:tcPr>
          <w:p w14:paraId="77F19524" w14:textId="77777777" w:rsidR="00E96623" w:rsidRDefault="00000000">
            <w:r>
              <w:rPr>
                <w:sz w:val="15"/>
              </w:rPr>
              <w:t>Sep. 2022</w:t>
            </w:r>
          </w:p>
        </w:tc>
        <w:tc>
          <w:tcPr>
            <w:tcW w:w="1152" w:type="dxa"/>
            <w:shd w:val="clear" w:color="auto" w:fill="F2F4F7"/>
            <w:tcMar>
              <w:top w:w="80" w:type="dxa"/>
              <w:left w:w="80" w:type="dxa"/>
              <w:bottom w:w="80" w:type="dxa"/>
              <w:right w:w="80" w:type="dxa"/>
            </w:tcMar>
            <w:vAlign w:val="center"/>
          </w:tcPr>
          <w:p w14:paraId="09F37174" w14:textId="77777777" w:rsidR="00E96623" w:rsidRDefault="00000000">
            <w:r>
              <w:rPr>
                <w:sz w:val="15"/>
              </w:rPr>
              <w:t>Mar. 2024</w:t>
            </w:r>
          </w:p>
        </w:tc>
        <w:tc>
          <w:tcPr>
            <w:tcW w:w="1224" w:type="dxa"/>
            <w:shd w:val="clear" w:color="auto" w:fill="F2F4F7"/>
            <w:tcMar>
              <w:top w:w="80" w:type="dxa"/>
              <w:left w:w="80" w:type="dxa"/>
              <w:bottom w:w="80" w:type="dxa"/>
              <w:right w:w="80" w:type="dxa"/>
            </w:tcMar>
            <w:vAlign w:val="center"/>
          </w:tcPr>
          <w:p w14:paraId="5B542DDB" w14:textId="77777777" w:rsidR="00E96623" w:rsidRDefault="00000000">
            <w:r>
              <w:rPr>
                <w:sz w:val="15"/>
              </w:rPr>
              <w:t>26</w:t>
            </w:r>
          </w:p>
        </w:tc>
      </w:tr>
    </w:tbl>
    <w:p w14:paraId="2F966C88" w14:textId="77777777" w:rsidR="00E96623" w:rsidRDefault="00000000">
      <w:pPr>
        <w:jc w:val="center"/>
      </w:pPr>
      <w:r>
        <w:rPr>
          <w:noProof/>
        </w:rPr>
        <w:drawing>
          <wp:inline distT="0" distB="0" distL="0" distR="0" wp14:anchorId="3E567AD9" wp14:editId="16B3A2D0">
            <wp:extent cx="6309360" cy="3494578"/>
            <wp:effectExtent l="0" t="0" r="0" b="0"/>
            <wp:docPr id="2" name="Picture 2" descr="Line chart showing drawdowns for six portfolios from January 2013 through December 2025." title="Portfolio draw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drawdowns.png"/>
                    <pic:cNvPicPr/>
                  </pic:nvPicPr>
                  <pic:blipFill>
                    <a:blip r:embed="rId9"/>
                    <a:stretch>
                      <a:fillRect/>
                    </a:stretch>
                  </pic:blipFill>
                  <pic:spPr>
                    <a:xfrm>
                      <a:off x="0" y="0"/>
                      <a:ext cx="6309360" cy="3494578"/>
                    </a:xfrm>
                    <a:prstGeom prst="rect">
                      <a:avLst/>
                    </a:prstGeom>
                  </pic:spPr>
                </pic:pic>
              </a:graphicData>
            </a:graphic>
          </wp:inline>
        </w:drawing>
      </w:r>
    </w:p>
    <w:p w14:paraId="38CE571A" w14:textId="77777777" w:rsidR="00E96623" w:rsidRDefault="00000000">
      <w:pPr>
        <w:jc w:val="center"/>
        <w:rPr>
          <w:i/>
          <w:sz w:val="18"/>
        </w:rPr>
      </w:pPr>
      <w:r>
        <w:rPr>
          <w:i/>
          <w:sz w:val="18"/>
        </w:rPr>
        <w:t>Figure 2. Portfolio drawdowns, January 2013-December 2025.</w:t>
      </w:r>
    </w:p>
    <w:p w14:paraId="743FADE0" w14:textId="77777777" w:rsidR="00905B4D" w:rsidRDefault="00905B4D">
      <w:pPr>
        <w:jc w:val="center"/>
        <w:rPr>
          <w:i/>
          <w:sz w:val="18"/>
        </w:rPr>
      </w:pPr>
    </w:p>
    <w:p w14:paraId="3C0CF266" w14:textId="77777777" w:rsidR="00905B4D" w:rsidRDefault="00905B4D">
      <w:pPr>
        <w:jc w:val="center"/>
        <w:rPr>
          <w:i/>
          <w:sz w:val="18"/>
        </w:rPr>
      </w:pPr>
    </w:p>
    <w:p w14:paraId="62FCEDBC" w14:textId="77777777" w:rsidR="00905B4D" w:rsidRDefault="00905B4D">
      <w:pPr>
        <w:jc w:val="center"/>
        <w:rPr>
          <w:i/>
          <w:sz w:val="18"/>
        </w:rPr>
      </w:pPr>
    </w:p>
    <w:p w14:paraId="58635CC1" w14:textId="77777777" w:rsidR="00905B4D" w:rsidRDefault="00905B4D">
      <w:pPr>
        <w:jc w:val="center"/>
        <w:rPr>
          <w:i/>
          <w:sz w:val="18"/>
        </w:rPr>
      </w:pPr>
    </w:p>
    <w:p w14:paraId="4AC4CDD7" w14:textId="77777777" w:rsidR="00905B4D" w:rsidRDefault="00905B4D">
      <w:pPr>
        <w:jc w:val="center"/>
      </w:pPr>
    </w:p>
    <w:p w14:paraId="5EF0550A" w14:textId="77777777" w:rsidR="00E96623" w:rsidRDefault="00000000">
      <w:r>
        <w:t>Table 10. Cumulative returns during selected stress periods</w:t>
      </w:r>
    </w:p>
    <w:p w14:paraId="38688217" w14:textId="77777777" w:rsidR="005F65A1" w:rsidRDefault="005F65A1"/>
    <w:tbl>
      <w:tblPr>
        <w:tblW w:w="0" w:type="auto"/>
        <w:jc w:val="center"/>
        <w:tblLook w:val="04A0" w:firstRow="1" w:lastRow="0" w:firstColumn="1" w:lastColumn="0" w:noHBand="0" w:noVBand="1"/>
      </w:tblPr>
      <w:tblGrid>
        <w:gridCol w:w="2664"/>
        <w:gridCol w:w="1080"/>
        <w:gridCol w:w="1080"/>
        <w:gridCol w:w="1080"/>
        <w:gridCol w:w="936"/>
        <w:gridCol w:w="1080"/>
        <w:gridCol w:w="1080"/>
      </w:tblGrid>
      <w:tr w:rsidR="00E96623" w14:paraId="0D9CFD3A" w14:textId="77777777">
        <w:trPr>
          <w:tblHeader/>
          <w:jc w:val="center"/>
        </w:trPr>
        <w:tc>
          <w:tcPr>
            <w:tcW w:w="2664" w:type="dxa"/>
            <w:shd w:val="clear" w:color="auto" w:fill="0B1F3A"/>
            <w:tcMar>
              <w:top w:w="80" w:type="dxa"/>
              <w:left w:w="80" w:type="dxa"/>
              <w:bottom w:w="80" w:type="dxa"/>
              <w:right w:w="80" w:type="dxa"/>
            </w:tcMar>
            <w:vAlign w:val="center"/>
          </w:tcPr>
          <w:p w14:paraId="44FB3D3F" w14:textId="77777777" w:rsidR="00E96623" w:rsidRDefault="00000000">
            <w:r>
              <w:rPr>
                <w:b/>
                <w:color w:val="FFFFFF"/>
                <w:sz w:val="15"/>
              </w:rPr>
              <w:t>Stress period</w:t>
            </w:r>
          </w:p>
        </w:tc>
        <w:tc>
          <w:tcPr>
            <w:tcW w:w="1080" w:type="dxa"/>
            <w:shd w:val="clear" w:color="auto" w:fill="0B1F3A"/>
            <w:tcMar>
              <w:top w:w="80" w:type="dxa"/>
              <w:left w:w="80" w:type="dxa"/>
              <w:bottom w:w="80" w:type="dxa"/>
              <w:right w:w="80" w:type="dxa"/>
            </w:tcMar>
            <w:vAlign w:val="center"/>
          </w:tcPr>
          <w:p w14:paraId="756960D7" w14:textId="77777777" w:rsidR="00E96623" w:rsidRDefault="00000000">
            <w:r>
              <w:rPr>
                <w:b/>
                <w:color w:val="FFFFFF"/>
                <w:sz w:val="15"/>
              </w:rPr>
              <w:t>60/40</w:t>
            </w:r>
          </w:p>
        </w:tc>
        <w:tc>
          <w:tcPr>
            <w:tcW w:w="1080" w:type="dxa"/>
            <w:shd w:val="clear" w:color="auto" w:fill="0B1F3A"/>
            <w:tcMar>
              <w:top w:w="80" w:type="dxa"/>
              <w:left w:w="80" w:type="dxa"/>
              <w:bottom w:w="80" w:type="dxa"/>
              <w:right w:w="80" w:type="dxa"/>
            </w:tcMar>
            <w:vAlign w:val="center"/>
          </w:tcPr>
          <w:p w14:paraId="66B518D5" w14:textId="77777777" w:rsidR="00E96623" w:rsidRDefault="00000000">
            <w:r>
              <w:rPr>
                <w:b/>
                <w:color w:val="FFFFFF"/>
                <w:sz w:val="15"/>
              </w:rPr>
              <w:t>Strategic</w:t>
            </w:r>
          </w:p>
        </w:tc>
        <w:tc>
          <w:tcPr>
            <w:tcW w:w="1080" w:type="dxa"/>
            <w:shd w:val="clear" w:color="auto" w:fill="0B1F3A"/>
            <w:tcMar>
              <w:top w:w="80" w:type="dxa"/>
              <w:left w:w="80" w:type="dxa"/>
              <w:bottom w:w="80" w:type="dxa"/>
              <w:right w:w="80" w:type="dxa"/>
            </w:tcMar>
            <w:vAlign w:val="center"/>
          </w:tcPr>
          <w:p w14:paraId="4C867F9D" w14:textId="77777777" w:rsidR="00E96623" w:rsidRDefault="00000000">
            <w:r>
              <w:rPr>
                <w:b/>
                <w:color w:val="FFFFFF"/>
                <w:sz w:val="15"/>
              </w:rPr>
              <w:t>Mean-var.</w:t>
            </w:r>
          </w:p>
        </w:tc>
        <w:tc>
          <w:tcPr>
            <w:tcW w:w="936" w:type="dxa"/>
            <w:shd w:val="clear" w:color="auto" w:fill="0B1F3A"/>
            <w:tcMar>
              <w:top w:w="80" w:type="dxa"/>
              <w:left w:w="80" w:type="dxa"/>
              <w:bottom w:w="80" w:type="dxa"/>
              <w:right w:w="80" w:type="dxa"/>
            </w:tcMar>
            <w:vAlign w:val="center"/>
          </w:tcPr>
          <w:p w14:paraId="5EDA9AE0" w14:textId="77777777" w:rsidR="00E96623" w:rsidRDefault="00000000">
            <w:r>
              <w:rPr>
                <w:b/>
                <w:color w:val="FFFFFF"/>
                <w:sz w:val="15"/>
              </w:rPr>
              <w:t>ERC</w:t>
            </w:r>
          </w:p>
        </w:tc>
        <w:tc>
          <w:tcPr>
            <w:tcW w:w="1080" w:type="dxa"/>
            <w:shd w:val="clear" w:color="auto" w:fill="0B1F3A"/>
            <w:tcMar>
              <w:top w:w="80" w:type="dxa"/>
              <w:left w:w="80" w:type="dxa"/>
              <w:bottom w:w="80" w:type="dxa"/>
              <w:right w:w="80" w:type="dxa"/>
            </w:tcMar>
            <w:vAlign w:val="center"/>
          </w:tcPr>
          <w:p w14:paraId="03747259" w14:textId="77777777" w:rsidR="00E96623" w:rsidRDefault="00000000">
            <w:r>
              <w:rPr>
                <w:b/>
                <w:color w:val="FFFFFF"/>
                <w:sz w:val="15"/>
              </w:rPr>
              <w:t>Min-CVaR</w:t>
            </w:r>
          </w:p>
        </w:tc>
        <w:tc>
          <w:tcPr>
            <w:tcW w:w="1080" w:type="dxa"/>
            <w:shd w:val="clear" w:color="auto" w:fill="0B1F3A"/>
            <w:tcMar>
              <w:top w:w="80" w:type="dxa"/>
              <w:left w:w="80" w:type="dxa"/>
              <w:bottom w:w="80" w:type="dxa"/>
              <w:right w:w="80" w:type="dxa"/>
            </w:tcMar>
            <w:vAlign w:val="center"/>
          </w:tcPr>
          <w:p w14:paraId="2553742F" w14:textId="77777777" w:rsidR="00E96623" w:rsidRDefault="00000000">
            <w:r>
              <w:rPr>
                <w:b/>
                <w:color w:val="FFFFFF"/>
                <w:sz w:val="15"/>
              </w:rPr>
              <w:t>Regime</w:t>
            </w:r>
          </w:p>
        </w:tc>
      </w:tr>
      <w:tr w:rsidR="00E96623" w14:paraId="1410C721" w14:textId="77777777">
        <w:trPr>
          <w:jc w:val="center"/>
        </w:trPr>
        <w:tc>
          <w:tcPr>
            <w:tcW w:w="2664" w:type="dxa"/>
            <w:shd w:val="clear" w:color="auto" w:fill="FFFFFF"/>
            <w:tcMar>
              <w:top w:w="80" w:type="dxa"/>
              <w:left w:w="80" w:type="dxa"/>
              <w:bottom w:w="80" w:type="dxa"/>
              <w:right w:w="80" w:type="dxa"/>
            </w:tcMar>
            <w:vAlign w:val="center"/>
          </w:tcPr>
          <w:p w14:paraId="5AAB5EDA" w14:textId="77777777" w:rsidR="00E96623" w:rsidRDefault="00000000">
            <w:r>
              <w:rPr>
                <w:b/>
                <w:sz w:val="15"/>
              </w:rPr>
              <w:t>COVID shock (Feb.-Mar. 2020)</w:t>
            </w:r>
          </w:p>
        </w:tc>
        <w:tc>
          <w:tcPr>
            <w:tcW w:w="1080" w:type="dxa"/>
            <w:shd w:val="clear" w:color="auto" w:fill="FFFFFF"/>
            <w:tcMar>
              <w:top w:w="80" w:type="dxa"/>
              <w:left w:w="80" w:type="dxa"/>
              <w:bottom w:w="80" w:type="dxa"/>
              <w:right w:w="80" w:type="dxa"/>
            </w:tcMar>
            <w:vAlign w:val="center"/>
          </w:tcPr>
          <w:p w14:paraId="7B62C7A7" w14:textId="77777777" w:rsidR="00E96623" w:rsidRDefault="00000000">
            <w:r>
              <w:rPr>
                <w:sz w:val="15"/>
              </w:rPr>
              <w:t>-8.71%</w:t>
            </w:r>
          </w:p>
        </w:tc>
        <w:tc>
          <w:tcPr>
            <w:tcW w:w="1080" w:type="dxa"/>
            <w:shd w:val="clear" w:color="auto" w:fill="FFFFFF"/>
            <w:tcMar>
              <w:top w:w="80" w:type="dxa"/>
              <w:left w:w="80" w:type="dxa"/>
              <w:bottom w:w="80" w:type="dxa"/>
              <w:right w:w="80" w:type="dxa"/>
            </w:tcMar>
            <w:vAlign w:val="center"/>
          </w:tcPr>
          <w:p w14:paraId="1792588B" w14:textId="77777777" w:rsidR="00E96623" w:rsidRDefault="00000000">
            <w:r>
              <w:rPr>
                <w:sz w:val="15"/>
              </w:rPr>
              <w:t>-11.93%</w:t>
            </w:r>
          </w:p>
        </w:tc>
        <w:tc>
          <w:tcPr>
            <w:tcW w:w="1080" w:type="dxa"/>
            <w:shd w:val="clear" w:color="auto" w:fill="FFFFFF"/>
            <w:tcMar>
              <w:top w:w="80" w:type="dxa"/>
              <w:left w:w="80" w:type="dxa"/>
              <w:bottom w:w="80" w:type="dxa"/>
              <w:right w:w="80" w:type="dxa"/>
            </w:tcMar>
            <w:vAlign w:val="center"/>
          </w:tcPr>
          <w:p w14:paraId="645B7E2C" w14:textId="77777777" w:rsidR="00E96623" w:rsidRDefault="00000000">
            <w:r>
              <w:rPr>
                <w:sz w:val="15"/>
              </w:rPr>
              <w:t>-2.63%</w:t>
            </w:r>
          </w:p>
        </w:tc>
        <w:tc>
          <w:tcPr>
            <w:tcW w:w="936" w:type="dxa"/>
            <w:shd w:val="clear" w:color="auto" w:fill="FFFFFF"/>
            <w:tcMar>
              <w:top w:w="80" w:type="dxa"/>
              <w:left w:w="80" w:type="dxa"/>
              <w:bottom w:w="80" w:type="dxa"/>
              <w:right w:w="80" w:type="dxa"/>
            </w:tcMar>
            <w:vAlign w:val="center"/>
          </w:tcPr>
          <w:p w14:paraId="2504483C" w14:textId="77777777" w:rsidR="00E96623" w:rsidRDefault="00000000">
            <w:r>
              <w:rPr>
                <w:sz w:val="15"/>
              </w:rPr>
              <w:t>-3.79%</w:t>
            </w:r>
          </w:p>
        </w:tc>
        <w:tc>
          <w:tcPr>
            <w:tcW w:w="1080" w:type="dxa"/>
            <w:shd w:val="clear" w:color="auto" w:fill="FFFFFF"/>
            <w:tcMar>
              <w:top w:w="80" w:type="dxa"/>
              <w:left w:w="80" w:type="dxa"/>
              <w:bottom w:w="80" w:type="dxa"/>
              <w:right w:w="80" w:type="dxa"/>
            </w:tcMar>
            <w:vAlign w:val="center"/>
          </w:tcPr>
          <w:p w14:paraId="3053EF01" w14:textId="77777777" w:rsidR="00E96623" w:rsidRDefault="00000000">
            <w:r>
              <w:rPr>
                <w:sz w:val="15"/>
              </w:rPr>
              <w:t>-0.67%</w:t>
            </w:r>
          </w:p>
        </w:tc>
        <w:tc>
          <w:tcPr>
            <w:tcW w:w="1080" w:type="dxa"/>
            <w:shd w:val="clear" w:color="auto" w:fill="FFFFFF"/>
            <w:tcMar>
              <w:top w:w="80" w:type="dxa"/>
              <w:left w:w="80" w:type="dxa"/>
              <w:bottom w:w="80" w:type="dxa"/>
              <w:right w:w="80" w:type="dxa"/>
            </w:tcMar>
            <w:vAlign w:val="center"/>
          </w:tcPr>
          <w:p w14:paraId="1F04BE99" w14:textId="77777777" w:rsidR="00E96623" w:rsidRDefault="00000000">
            <w:r>
              <w:rPr>
                <w:sz w:val="15"/>
              </w:rPr>
              <w:t>-11.53%</w:t>
            </w:r>
          </w:p>
        </w:tc>
      </w:tr>
      <w:tr w:rsidR="00E96623" w14:paraId="39FFAE54" w14:textId="77777777">
        <w:trPr>
          <w:jc w:val="center"/>
        </w:trPr>
        <w:tc>
          <w:tcPr>
            <w:tcW w:w="2664" w:type="dxa"/>
            <w:shd w:val="clear" w:color="auto" w:fill="F2F4F7"/>
            <w:tcMar>
              <w:top w:w="80" w:type="dxa"/>
              <w:left w:w="80" w:type="dxa"/>
              <w:bottom w:w="80" w:type="dxa"/>
              <w:right w:w="80" w:type="dxa"/>
            </w:tcMar>
            <w:vAlign w:val="center"/>
          </w:tcPr>
          <w:p w14:paraId="62B404C5" w14:textId="77777777" w:rsidR="00E96623" w:rsidRDefault="00000000">
            <w:r>
              <w:rPr>
                <w:b/>
                <w:sz w:val="15"/>
              </w:rPr>
              <w:t>Full-year 2020</w:t>
            </w:r>
          </w:p>
        </w:tc>
        <w:tc>
          <w:tcPr>
            <w:tcW w:w="1080" w:type="dxa"/>
            <w:shd w:val="clear" w:color="auto" w:fill="F2F4F7"/>
            <w:tcMar>
              <w:top w:w="80" w:type="dxa"/>
              <w:left w:w="80" w:type="dxa"/>
              <w:bottom w:w="80" w:type="dxa"/>
              <w:right w:w="80" w:type="dxa"/>
            </w:tcMar>
            <w:vAlign w:val="center"/>
          </w:tcPr>
          <w:p w14:paraId="2F27D3DB" w14:textId="77777777" w:rsidR="00E96623" w:rsidRDefault="00000000">
            <w:r>
              <w:rPr>
                <w:sz w:val="15"/>
              </w:rPr>
              <w:t>17.08%</w:t>
            </w:r>
          </w:p>
        </w:tc>
        <w:tc>
          <w:tcPr>
            <w:tcW w:w="1080" w:type="dxa"/>
            <w:shd w:val="clear" w:color="auto" w:fill="F2F4F7"/>
            <w:tcMar>
              <w:top w:w="80" w:type="dxa"/>
              <w:left w:w="80" w:type="dxa"/>
              <w:bottom w:w="80" w:type="dxa"/>
              <w:right w:w="80" w:type="dxa"/>
            </w:tcMar>
            <w:vAlign w:val="center"/>
          </w:tcPr>
          <w:p w14:paraId="25F74DAE" w14:textId="77777777" w:rsidR="00E96623" w:rsidRDefault="00000000">
            <w:r>
              <w:rPr>
                <w:sz w:val="15"/>
              </w:rPr>
              <w:t>13.88%</w:t>
            </w:r>
          </w:p>
        </w:tc>
        <w:tc>
          <w:tcPr>
            <w:tcW w:w="1080" w:type="dxa"/>
            <w:shd w:val="clear" w:color="auto" w:fill="F2F4F7"/>
            <w:tcMar>
              <w:top w:w="80" w:type="dxa"/>
              <w:left w:w="80" w:type="dxa"/>
              <w:bottom w:w="80" w:type="dxa"/>
              <w:right w:w="80" w:type="dxa"/>
            </w:tcMar>
            <w:vAlign w:val="center"/>
          </w:tcPr>
          <w:p w14:paraId="1B6BCCE0" w14:textId="77777777" w:rsidR="00E96623" w:rsidRDefault="00000000">
            <w:r>
              <w:rPr>
                <w:sz w:val="15"/>
              </w:rPr>
              <w:t>6.39%</w:t>
            </w:r>
          </w:p>
        </w:tc>
        <w:tc>
          <w:tcPr>
            <w:tcW w:w="936" w:type="dxa"/>
            <w:shd w:val="clear" w:color="auto" w:fill="F2F4F7"/>
            <w:tcMar>
              <w:top w:w="80" w:type="dxa"/>
              <w:left w:w="80" w:type="dxa"/>
              <w:bottom w:w="80" w:type="dxa"/>
              <w:right w:w="80" w:type="dxa"/>
            </w:tcMar>
            <w:vAlign w:val="center"/>
          </w:tcPr>
          <w:p w14:paraId="119F7DDA" w14:textId="77777777" w:rsidR="00E96623" w:rsidRDefault="00000000">
            <w:r>
              <w:rPr>
                <w:sz w:val="15"/>
              </w:rPr>
              <w:t>8.18%</w:t>
            </w:r>
          </w:p>
        </w:tc>
        <w:tc>
          <w:tcPr>
            <w:tcW w:w="1080" w:type="dxa"/>
            <w:shd w:val="clear" w:color="auto" w:fill="F2F4F7"/>
            <w:tcMar>
              <w:top w:w="80" w:type="dxa"/>
              <w:left w:w="80" w:type="dxa"/>
              <w:bottom w:w="80" w:type="dxa"/>
              <w:right w:w="80" w:type="dxa"/>
            </w:tcMar>
            <w:vAlign w:val="center"/>
          </w:tcPr>
          <w:p w14:paraId="2EABCAD2" w14:textId="77777777" w:rsidR="00E96623" w:rsidRDefault="00000000">
            <w:r>
              <w:rPr>
                <w:sz w:val="15"/>
              </w:rPr>
              <w:t>8.75%</w:t>
            </w:r>
          </w:p>
        </w:tc>
        <w:tc>
          <w:tcPr>
            <w:tcW w:w="1080" w:type="dxa"/>
            <w:shd w:val="clear" w:color="auto" w:fill="F2F4F7"/>
            <w:tcMar>
              <w:top w:w="80" w:type="dxa"/>
              <w:left w:w="80" w:type="dxa"/>
              <w:bottom w:w="80" w:type="dxa"/>
              <w:right w:w="80" w:type="dxa"/>
            </w:tcMar>
            <w:vAlign w:val="center"/>
          </w:tcPr>
          <w:p w14:paraId="0F909DBA" w14:textId="77777777" w:rsidR="00E96623" w:rsidRDefault="00000000">
            <w:r>
              <w:rPr>
                <w:sz w:val="15"/>
              </w:rPr>
              <w:t>13.71%</w:t>
            </w:r>
          </w:p>
        </w:tc>
      </w:tr>
      <w:tr w:rsidR="00E96623" w14:paraId="03795EEC" w14:textId="77777777">
        <w:trPr>
          <w:jc w:val="center"/>
        </w:trPr>
        <w:tc>
          <w:tcPr>
            <w:tcW w:w="2664" w:type="dxa"/>
            <w:shd w:val="clear" w:color="auto" w:fill="FFFFFF"/>
            <w:tcMar>
              <w:top w:w="80" w:type="dxa"/>
              <w:left w:w="80" w:type="dxa"/>
              <w:bottom w:w="80" w:type="dxa"/>
              <w:right w:w="80" w:type="dxa"/>
            </w:tcMar>
            <w:vAlign w:val="center"/>
          </w:tcPr>
          <w:p w14:paraId="20CFAA7A" w14:textId="77777777" w:rsidR="00E96623" w:rsidRDefault="00000000">
            <w:r>
              <w:rPr>
                <w:b/>
                <w:sz w:val="15"/>
              </w:rPr>
              <w:t>2022 rate shock</w:t>
            </w:r>
          </w:p>
        </w:tc>
        <w:tc>
          <w:tcPr>
            <w:tcW w:w="1080" w:type="dxa"/>
            <w:shd w:val="clear" w:color="auto" w:fill="FFFFFF"/>
            <w:tcMar>
              <w:top w:w="80" w:type="dxa"/>
              <w:left w:w="80" w:type="dxa"/>
              <w:bottom w:w="80" w:type="dxa"/>
              <w:right w:w="80" w:type="dxa"/>
            </w:tcMar>
            <w:vAlign w:val="center"/>
          </w:tcPr>
          <w:p w14:paraId="59CBDB9E" w14:textId="77777777" w:rsidR="00E96623" w:rsidRDefault="00000000">
            <w:r>
              <w:rPr>
                <w:sz w:val="15"/>
              </w:rPr>
              <w:t>-16.77%</w:t>
            </w:r>
          </w:p>
        </w:tc>
        <w:tc>
          <w:tcPr>
            <w:tcW w:w="1080" w:type="dxa"/>
            <w:shd w:val="clear" w:color="auto" w:fill="FFFFFF"/>
            <w:tcMar>
              <w:top w:w="80" w:type="dxa"/>
              <w:left w:w="80" w:type="dxa"/>
              <w:bottom w:w="80" w:type="dxa"/>
              <w:right w:w="80" w:type="dxa"/>
            </w:tcMar>
            <w:vAlign w:val="center"/>
          </w:tcPr>
          <w:p w14:paraId="7CB5194E" w14:textId="77777777" w:rsidR="00E96623" w:rsidRDefault="00000000">
            <w:r>
              <w:rPr>
                <w:sz w:val="15"/>
              </w:rPr>
              <w:t>-15.32%</w:t>
            </w:r>
          </w:p>
        </w:tc>
        <w:tc>
          <w:tcPr>
            <w:tcW w:w="1080" w:type="dxa"/>
            <w:shd w:val="clear" w:color="auto" w:fill="FFFFFF"/>
            <w:tcMar>
              <w:top w:w="80" w:type="dxa"/>
              <w:left w:w="80" w:type="dxa"/>
              <w:bottom w:w="80" w:type="dxa"/>
              <w:right w:w="80" w:type="dxa"/>
            </w:tcMar>
            <w:vAlign w:val="center"/>
          </w:tcPr>
          <w:p w14:paraId="4A98CE88" w14:textId="77777777" w:rsidR="00E96623" w:rsidRDefault="00000000">
            <w:r>
              <w:rPr>
                <w:sz w:val="15"/>
              </w:rPr>
              <w:t>-7.39%</w:t>
            </w:r>
          </w:p>
        </w:tc>
        <w:tc>
          <w:tcPr>
            <w:tcW w:w="936" w:type="dxa"/>
            <w:shd w:val="clear" w:color="auto" w:fill="FFFFFF"/>
            <w:tcMar>
              <w:top w:w="80" w:type="dxa"/>
              <w:left w:w="80" w:type="dxa"/>
              <w:bottom w:w="80" w:type="dxa"/>
              <w:right w:w="80" w:type="dxa"/>
            </w:tcMar>
            <w:vAlign w:val="center"/>
          </w:tcPr>
          <w:p w14:paraId="6338015C" w14:textId="77777777" w:rsidR="00E96623" w:rsidRDefault="00000000">
            <w:r>
              <w:rPr>
                <w:sz w:val="15"/>
              </w:rPr>
              <w:t>-10.82%</w:t>
            </w:r>
          </w:p>
        </w:tc>
        <w:tc>
          <w:tcPr>
            <w:tcW w:w="1080" w:type="dxa"/>
            <w:shd w:val="clear" w:color="auto" w:fill="FFFFFF"/>
            <w:tcMar>
              <w:top w:w="80" w:type="dxa"/>
              <w:left w:w="80" w:type="dxa"/>
              <w:bottom w:w="80" w:type="dxa"/>
              <w:right w:w="80" w:type="dxa"/>
            </w:tcMar>
            <w:vAlign w:val="center"/>
          </w:tcPr>
          <w:p w14:paraId="76990AF9" w14:textId="77777777" w:rsidR="00E96623" w:rsidRDefault="00000000">
            <w:r>
              <w:rPr>
                <w:sz w:val="15"/>
              </w:rPr>
              <w:t>-8.99%</w:t>
            </w:r>
          </w:p>
        </w:tc>
        <w:tc>
          <w:tcPr>
            <w:tcW w:w="1080" w:type="dxa"/>
            <w:shd w:val="clear" w:color="auto" w:fill="FFFFFF"/>
            <w:tcMar>
              <w:top w:w="80" w:type="dxa"/>
              <w:left w:w="80" w:type="dxa"/>
              <w:bottom w:w="80" w:type="dxa"/>
              <w:right w:w="80" w:type="dxa"/>
            </w:tcMar>
            <w:vAlign w:val="center"/>
          </w:tcPr>
          <w:p w14:paraId="6846E984" w14:textId="77777777" w:rsidR="00E96623" w:rsidRDefault="00000000">
            <w:r>
              <w:rPr>
                <w:sz w:val="15"/>
              </w:rPr>
              <w:t>-12.97%</w:t>
            </w:r>
          </w:p>
        </w:tc>
      </w:tr>
      <w:tr w:rsidR="00E96623" w14:paraId="47779CFE" w14:textId="77777777">
        <w:trPr>
          <w:jc w:val="center"/>
        </w:trPr>
        <w:tc>
          <w:tcPr>
            <w:tcW w:w="2664" w:type="dxa"/>
            <w:shd w:val="clear" w:color="auto" w:fill="F2F4F7"/>
            <w:tcMar>
              <w:top w:w="80" w:type="dxa"/>
              <w:left w:w="80" w:type="dxa"/>
              <w:bottom w:w="80" w:type="dxa"/>
              <w:right w:w="80" w:type="dxa"/>
            </w:tcMar>
            <w:vAlign w:val="center"/>
          </w:tcPr>
          <w:p w14:paraId="623B41C6" w14:textId="77777777" w:rsidR="00E96623" w:rsidRDefault="00000000">
            <w:r>
              <w:rPr>
                <w:b/>
                <w:sz w:val="15"/>
              </w:rPr>
              <w:t>NBER recession months</w:t>
            </w:r>
          </w:p>
        </w:tc>
        <w:tc>
          <w:tcPr>
            <w:tcW w:w="1080" w:type="dxa"/>
            <w:shd w:val="clear" w:color="auto" w:fill="F2F4F7"/>
            <w:tcMar>
              <w:top w:w="80" w:type="dxa"/>
              <w:left w:w="80" w:type="dxa"/>
              <w:bottom w:w="80" w:type="dxa"/>
              <w:right w:w="80" w:type="dxa"/>
            </w:tcMar>
            <w:vAlign w:val="center"/>
          </w:tcPr>
          <w:p w14:paraId="1657320F" w14:textId="77777777" w:rsidR="00E96623" w:rsidRDefault="00000000">
            <w:r>
              <w:rPr>
                <w:sz w:val="15"/>
              </w:rPr>
              <w:t>1.87%</w:t>
            </w:r>
          </w:p>
        </w:tc>
        <w:tc>
          <w:tcPr>
            <w:tcW w:w="1080" w:type="dxa"/>
            <w:shd w:val="clear" w:color="auto" w:fill="F2F4F7"/>
            <w:tcMar>
              <w:top w:w="80" w:type="dxa"/>
              <w:left w:w="80" w:type="dxa"/>
              <w:bottom w:w="80" w:type="dxa"/>
              <w:right w:w="80" w:type="dxa"/>
            </w:tcMar>
            <w:vAlign w:val="center"/>
          </w:tcPr>
          <w:p w14:paraId="2A2816DC" w14:textId="77777777" w:rsidR="00E96623" w:rsidRDefault="00000000">
            <w:r>
              <w:rPr>
                <w:sz w:val="15"/>
              </w:rPr>
              <w:t>-1.21%</w:t>
            </w:r>
          </w:p>
        </w:tc>
        <w:tc>
          <w:tcPr>
            <w:tcW w:w="1080" w:type="dxa"/>
            <w:shd w:val="clear" w:color="auto" w:fill="F2F4F7"/>
            <w:tcMar>
              <w:top w:w="80" w:type="dxa"/>
              <w:left w:w="80" w:type="dxa"/>
              <w:bottom w:w="80" w:type="dxa"/>
              <w:right w:w="80" w:type="dxa"/>
            </w:tcMar>
            <w:vAlign w:val="center"/>
          </w:tcPr>
          <w:p w14:paraId="5F01AC3E" w14:textId="77777777" w:rsidR="00E96623" w:rsidRDefault="00000000">
            <w:r>
              <w:rPr>
                <w:sz w:val="15"/>
              </w:rPr>
              <w:t>0.82%</w:t>
            </w:r>
          </w:p>
        </w:tc>
        <w:tc>
          <w:tcPr>
            <w:tcW w:w="936" w:type="dxa"/>
            <w:shd w:val="clear" w:color="auto" w:fill="F2F4F7"/>
            <w:tcMar>
              <w:top w:w="80" w:type="dxa"/>
              <w:left w:w="80" w:type="dxa"/>
              <w:bottom w:w="80" w:type="dxa"/>
              <w:right w:w="80" w:type="dxa"/>
            </w:tcMar>
            <w:vAlign w:val="center"/>
          </w:tcPr>
          <w:p w14:paraId="5E39BAD0" w14:textId="77777777" w:rsidR="00E96623" w:rsidRDefault="00000000">
            <w:r>
              <w:rPr>
                <w:sz w:val="15"/>
              </w:rPr>
              <w:t>-0.20%</w:t>
            </w:r>
          </w:p>
        </w:tc>
        <w:tc>
          <w:tcPr>
            <w:tcW w:w="1080" w:type="dxa"/>
            <w:shd w:val="clear" w:color="auto" w:fill="F2F4F7"/>
            <w:tcMar>
              <w:top w:w="80" w:type="dxa"/>
              <w:left w:w="80" w:type="dxa"/>
              <w:bottom w:w="80" w:type="dxa"/>
              <w:right w:w="80" w:type="dxa"/>
            </w:tcMar>
            <w:vAlign w:val="center"/>
          </w:tcPr>
          <w:p w14:paraId="67C093CE" w14:textId="77777777" w:rsidR="00E96623" w:rsidRDefault="00000000">
            <w:r>
              <w:rPr>
                <w:sz w:val="15"/>
              </w:rPr>
              <w:t>2.08%</w:t>
            </w:r>
          </w:p>
        </w:tc>
        <w:tc>
          <w:tcPr>
            <w:tcW w:w="1080" w:type="dxa"/>
            <w:shd w:val="clear" w:color="auto" w:fill="F2F4F7"/>
            <w:tcMar>
              <w:top w:w="80" w:type="dxa"/>
              <w:left w:w="80" w:type="dxa"/>
              <w:bottom w:w="80" w:type="dxa"/>
              <w:right w:w="80" w:type="dxa"/>
            </w:tcMar>
            <w:vAlign w:val="center"/>
          </w:tcPr>
          <w:p w14:paraId="61F3224C" w14:textId="77777777" w:rsidR="00E96623" w:rsidRDefault="00000000">
            <w:r>
              <w:rPr>
                <w:sz w:val="15"/>
              </w:rPr>
              <w:t>-1.18%</w:t>
            </w:r>
          </w:p>
        </w:tc>
      </w:tr>
    </w:tbl>
    <w:p w14:paraId="47D2060E" w14:textId="77777777" w:rsidR="005F65A1" w:rsidRDefault="005F65A1">
      <w:pPr>
        <w:pStyle w:val="BodyText"/>
      </w:pPr>
    </w:p>
    <w:p w14:paraId="52CE9EE1" w14:textId="1C536EE5" w:rsidR="00E96623" w:rsidRDefault="00000000">
      <w:pPr>
        <w:pStyle w:val="BodyText"/>
      </w:pPr>
      <w:r>
        <w:t>Minimum-CVaR was the most protective portfolio during the two-month COVID shock and generated the best cumulative return during the NBER recession months. Mean-variance also limited losses effectively in 2020 and 2022. The regime-sensitive portfolio did not protect well during the abrupt COVID shock because the lagged macro classification could not anticipate the event.</w:t>
      </w:r>
    </w:p>
    <w:p w14:paraId="5BB1F913" w14:textId="77777777" w:rsidR="00E96623" w:rsidRDefault="00000000">
      <w:pPr>
        <w:pStyle w:val="Heading2"/>
      </w:pPr>
      <w:r>
        <w:t>6.3 Performance by Inflation and Policy Regime</w:t>
      </w:r>
    </w:p>
    <w:p w14:paraId="55AD37DA" w14:textId="77777777" w:rsidR="00E96623" w:rsidRDefault="00000000">
      <w:pPr>
        <w:pStyle w:val="BodyText"/>
      </w:pPr>
      <w:r>
        <w:t>The sample contained 62 rising-inflation/tightening months, 21 rising-inflation/easing months, 45 falling-inflation/tightening months, and 28 falling-inflation/easing months. The table reports annualized returns within each state; these conditional rates should not be interpreted as independent long-horizon forecasts.</w:t>
      </w:r>
    </w:p>
    <w:p w14:paraId="714479E3" w14:textId="77777777" w:rsidR="00E96623" w:rsidRDefault="00000000">
      <w:r>
        <w:t>Table 11. Annualized return by macroeconomic regime</w:t>
      </w:r>
    </w:p>
    <w:p w14:paraId="49E966F2" w14:textId="77777777" w:rsidR="005F65A1" w:rsidRDefault="005F65A1"/>
    <w:tbl>
      <w:tblPr>
        <w:tblW w:w="0" w:type="auto"/>
        <w:jc w:val="center"/>
        <w:tblLook w:val="04A0" w:firstRow="1" w:lastRow="0" w:firstColumn="1" w:lastColumn="0" w:noHBand="0" w:noVBand="1"/>
      </w:tblPr>
      <w:tblGrid>
        <w:gridCol w:w="2592"/>
        <w:gridCol w:w="792"/>
        <w:gridCol w:w="979"/>
        <w:gridCol w:w="979"/>
        <w:gridCol w:w="1037"/>
        <w:gridCol w:w="792"/>
        <w:gridCol w:w="1037"/>
        <w:gridCol w:w="979"/>
      </w:tblGrid>
      <w:tr w:rsidR="00E96623" w14:paraId="3CA820FB" w14:textId="77777777">
        <w:trPr>
          <w:tblHeader/>
          <w:jc w:val="center"/>
        </w:trPr>
        <w:tc>
          <w:tcPr>
            <w:tcW w:w="2592" w:type="dxa"/>
            <w:shd w:val="clear" w:color="auto" w:fill="0B1F3A"/>
            <w:tcMar>
              <w:top w:w="80" w:type="dxa"/>
              <w:left w:w="80" w:type="dxa"/>
              <w:bottom w:w="80" w:type="dxa"/>
              <w:right w:w="80" w:type="dxa"/>
            </w:tcMar>
            <w:vAlign w:val="center"/>
          </w:tcPr>
          <w:p w14:paraId="6B04F58B" w14:textId="77777777" w:rsidR="00E96623" w:rsidRDefault="00000000">
            <w:r>
              <w:rPr>
                <w:b/>
                <w:color w:val="FFFFFF"/>
                <w:sz w:val="14"/>
              </w:rPr>
              <w:t>Regime</w:t>
            </w:r>
          </w:p>
        </w:tc>
        <w:tc>
          <w:tcPr>
            <w:tcW w:w="792" w:type="dxa"/>
            <w:shd w:val="clear" w:color="auto" w:fill="0B1F3A"/>
            <w:tcMar>
              <w:top w:w="80" w:type="dxa"/>
              <w:left w:w="80" w:type="dxa"/>
              <w:bottom w:w="80" w:type="dxa"/>
              <w:right w:w="80" w:type="dxa"/>
            </w:tcMar>
            <w:vAlign w:val="center"/>
          </w:tcPr>
          <w:p w14:paraId="384CCDE8" w14:textId="77777777" w:rsidR="00E96623" w:rsidRDefault="00000000">
            <w:r>
              <w:rPr>
                <w:b/>
                <w:color w:val="FFFFFF"/>
                <w:sz w:val="14"/>
              </w:rPr>
              <w:t>Months</w:t>
            </w:r>
          </w:p>
        </w:tc>
        <w:tc>
          <w:tcPr>
            <w:tcW w:w="979" w:type="dxa"/>
            <w:shd w:val="clear" w:color="auto" w:fill="0B1F3A"/>
            <w:tcMar>
              <w:top w:w="80" w:type="dxa"/>
              <w:left w:w="80" w:type="dxa"/>
              <w:bottom w:w="80" w:type="dxa"/>
              <w:right w:w="80" w:type="dxa"/>
            </w:tcMar>
            <w:vAlign w:val="center"/>
          </w:tcPr>
          <w:p w14:paraId="75841339" w14:textId="77777777" w:rsidR="00E96623" w:rsidRDefault="00000000">
            <w:r>
              <w:rPr>
                <w:b/>
                <w:color w:val="FFFFFF"/>
                <w:sz w:val="14"/>
              </w:rPr>
              <w:t>60/40</w:t>
            </w:r>
          </w:p>
        </w:tc>
        <w:tc>
          <w:tcPr>
            <w:tcW w:w="979" w:type="dxa"/>
            <w:shd w:val="clear" w:color="auto" w:fill="0B1F3A"/>
            <w:tcMar>
              <w:top w:w="80" w:type="dxa"/>
              <w:left w:w="80" w:type="dxa"/>
              <w:bottom w:w="80" w:type="dxa"/>
              <w:right w:w="80" w:type="dxa"/>
            </w:tcMar>
            <w:vAlign w:val="center"/>
          </w:tcPr>
          <w:p w14:paraId="66E258A8" w14:textId="77777777" w:rsidR="00E96623" w:rsidRDefault="00000000">
            <w:r>
              <w:rPr>
                <w:b/>
                <w:color w:val="FFFFFF"/>
                <w:sz w:val="14"/>
              </w:rPr>
              <w:t>Strategic</w:t>
            </w:r>
          </w:p>
        </w:tc>
        <w:tc>
          <w:tcPr>
            <w:tcW w:w="1037" w:type="dxa"/>
            <w:shd w:val="clear" w:color="auto" w:fill="0B1F3A"/>
            <w:tcMar>
              <w:top w:w="80" w:type="dxa"/>
              <w:left w:w="80" w:type="dxa"/>
              <w:bottom w:w="80" w:type="dxa"/>
              <w:right w:w="80" w:type="dxa"/>
            </w:tcMar>
            <w:vAlign w:val="center"/>
          </w:tcPr>
          <w:p w14:paraId="1470150D" w14:textId="77777777" w:rsidR="00E96623" w:rsidRDefault="00000000">
            <w:r>
              <w:rPr>
                <w:b/>
                <w:color w:val="FFFFFF"/>
                <w:sz w:val="14"/>
              </w:rPr>
              <w:t>Mean-var.</w:t>
            </w:r>
          </w:p>
        </w:tc>
        <w:tc>
          <w:tcPr>
            <w:tcW w:w="792" w:type="dxa"/>
            <w:shd w:val="clear" w:color="auto" w:fill="0B1F3A"/>
            <w:tcMar>
              <w:top w:w="80" w:type="dxa"/>
              <w:left w:w="80" w:type="dxa"/>
              <w:bottom w:w="80" w:type="dxa"/>
              <w:right w:w="80" w:type="dxa"/>
            </w:tcMar>
            <w:vAlign w:val="center"/>
          </w:tcPr>
          <w:p w14:paraId="2AE45C68" w14:textId="77777777" w:rsidR="00E96623" w:rsidRDefault="00000000">
            <w:r>
              <w:rPr>
                <w:b/>
                <w:color w:val="FFFFFF"/>
                <w:sz w:val="14"/>
              </w:rPr>
              <w:t>ERC</w:t>
            </w:r>
          </w:p>
        </w:tc>
        <w:tc>
          <w:tcPr>
            <w:tcW w:w="1037" w:type="dxa"/>
            <w:shd w:val="clear" w:color="auto" w:fill="0B1F3A"/>
            <w:tcMar>
              <w:top w:w="80" w:type="dxa"/>
              <w:left w:w="80" w:type="dxa"/>
              <w:bottom w:w="80" w:type="dxa"/>
              <w:right w:w="80" w:type="dxa"/>
            </w:tcMar>
            <w:vAlign w:val="center"/>
          </w:tcPr>
          <w:p w14:paraId="15B9BC9A" w14:textId="77777777" w:rsidR="00E96623" w:rsidRDefault="00000000">
            <w:r>
              <w:rPr>
                <w:b/>
                <w:color w:val="FFFFFF"/>
                <w:sz w:val="14"/>
              </w:rPr>
              <w:t>Min-CVaR</w:t>
            </w:r>
          </w:p>
        </w:tc>
        <w:tc>
          <w:tcPr>
            <w:tcW w:w="979" w:type="dxa"/>
            <w:shd w:val="clear" w:color="auto" w:fill="0B1F3A"/>
            <w:tcMar>
              <w:top w:w="80" w:type="dxa"/>
              <w:left w:w="80" w:type="dxa"/>
              <w:bottom w:w="80" w:type="dxa"/>
              <w:right w:w="80" w:type="dxa"/>
            </w:tcMar>
            <w:vAlign w:val="center"/>
          </w:tcPr>
          <w:p w14:paraId="118529FA" w14:textId="77777777" w:rsidR="00E96623" w:rsidRDefault="00000000">
            <w:r>
              <w:rPr>
                <w:b/>
                <w:color w:val="FFFFFF"/>
                <w:sz w:val="14"/>
              </w:rPr>
              <w:t>Regime</w:t>
            </w:r>
          </w:p>
        </w:tc>
      </w:tr>
      <w:tr w:rsidR="00E96623" w14:paraId="31276CFC" w14:textId="77777777">
        <w:trPr>
          <w:jc w:val="center"/>
        </w:trPr>
        <w:tc>
          <w:tcPr>
            <w:tcW w:w="2592" w:type="dxa"/>
            <w:shd w:val="clear" w:color="auto" w:fill="FFFFFF"/>
            <w:tcMar>
              <w:top w:w="80" w:type="dxa"/>
              <w:left w:w="80" w:type="dxa"/>
              <w:bottom w:w="80" w:type="dxa"/>
              <w:right w:w="80" w:type="dxa"/>
            </w:tcMar>
            <w:vAlign w:val="center"/>
          </w:tcPr>
          <w:p w14:paraId="190609C3" w14:textId="77777777" w:rsidR="00E96623" w:rsidRDefault="00000000">
            <w:r>
              <w:rPr>
                <w:b/>
                <w:sz w:val="14"/>
              </w:rPr>
              <w:t>Rising inflation / Tightening</w:t>
            </w:r>
          </w:p>
        </w:tc>
        <w:tc>
          <w:tcPr>
            <w:tcW w:w="792" w:type="dxa"/>
            <w:shd w:val="clear" w:color="auto" w:fill="FFFFFF"/>
            <w:tcMar>
              <w:top w:w="80" w:type="dxa"/>
              <w:left w:w="80" w:type="dxa"/>
              <w:bottom w:w="80" w:type="dxa"/>
              <w:right w:w="80" w:type="dxa"/>
            </w:tcMar>
            <w:vAlign w:val="center"/>
          </w:tcPr>
          <w:p w14:paraId="17B149BF" w14:textId="77777777" w:rsidR="00E96623" w:rsidRDefault="00000000">
            <w:r>
              <w:rPr>
                <w:sz w:val="14"/>
              </w:rPr>
              <w:t>62</w:t>
            </w:r>
          </w:p>
        </w:tc>
        <w:tc>
          <w:tcPr>
            <w:tcW w:w="979" w:type="dxa"/>
            <w:shd w:val="clear" w:color="auto" w:fill="FFFFFF"/>
            <w:tcMar>
              <w:top w:w="80" w:type="dxa"/>
              <w:left w:w="80" w:type="dxa"/>
              <w:bottom w:w="80" w:type="dxa"/>
              <w:right w:w="80" w:type="dxa"/>
            </w:tcMar>
            <w:vAlign w:val="center"/>
          </w:tcPr>
          <w:p w14:paraId="0766D7F1" w14:textId="77777777" w:rsidR="00E96623" w:rsidRDefault="00000000">
            <w:r>
              <w:rPr>
                <w:sz w:val="14"/>
              </w:rPr>
              <w:t>5.60%</w:t>
            </w:r>
          </w:p>
        </w:tc>
        <w:tc>
          <w:tcPr>
            <w:tcW w:w="979" w:type="dxa"/>
            <w:shd w:val="clear" w:color="auto" w:fill="FFFFFF"/>
            <w:tcMar>
              <w:top w:w="80" w:type="dxa"/>
              <w:left w:w="80" w:type="dxa"/>
              <w:bottom w:w="80" w:type="dxa"/>
              <w:right w:w="80" w:type="dxa"/>
            </w:tcMar>
            <w:vAlign w:val="center"/>
          </w:tcPr>
          <w:p w14:paraId="0F76EAD5" w14:textId="77777777" w:rsidR="00E96623" w:rsidRDefault="00000000">
            <w:r>
              <w:rPr>
                <w:sz w:val="14"/>
              </w:rPr>
              <w:t>3.50%</w:t>
            </w:r>
          </w:p>
        </w:tc>
        <w:tc>
          <w:tcPr>
            <w:tcW w:w="1037" w:type="dxa"/>
            <w:shd w:val="clear" w:color="auto" w:fill="FFFFFF"/>
            <w:tcMar>
              <w:top w:w="80" w:type="dxa"/>
              <w:left w:w="80" w:type="dxa"/>
              <w:bottom w:w="80" w:type="dxa"/>
              <w:right w:w="80" w:type="dxa"/>
            </w:tcMar>
            <w:vAlign w:val="center"/>
          </w:tcPr>
          <w:p w14:paraId="601B9C48" w14:textId="77777777" w:rsidR="00E96623" w:rsidRDefault="00000000">
            <w:r>
              <w:rPr>
                <w:sz w:val="14"/>
              </w:rPr>
              <w:t>2.09%</w:t>
            </w:r>
          </w:p>
        </w:tc>
        <w:tc>
          <w:tcPr>
            <w:tcW w:w="792" w:type="dxa"/>
            <w:shd w:val="clear" w:color="auto" w:fill="FFFFFF"/>
            <w:tcMar>
              <w:top w:w="80" w:type="dxa"/>
              <w:left w:w="80" w:type="dxa"/>
              <w:bottom w:w="80" w:type="dxa"/>
              <w:right w:w="80" w:type="dxa"/>
            </w:tcMar>
            <w:vAlign w:val="center"/>
          </w:tcPr>
          <w:p w14:paraId="1E476B1F" w14:textId="77777777" w:rsidR="00E96623" w:rsidRDefault="00000000">
            <w:r>
              <w:rPr>
                <w:sz w:val="14"/>
              </w:rPr>
              <w:t>1.09%</w:t>
            </w:r>
          </w:p>
        </w:tc>
        <w:tc>
          <w:tcPr>
            <w:tcW w:w="1037" w:type="dxa"/>
            <w:shd w:val="clear" w:color="auto" w:fill="FFFFFF"/>
            <w:tcMar>
              <w:top w:w="80" w:type="dxa"/>
              <w:left w:w="80" w:type="dxa"/>
              <w:bottom w:w="80" w:type="dxa"/>
              <w:right w:w="80" w:type="dxa"/>
            </w:tcMar>
            <w:vAlign w:val="center"/>
          </w:tcPr>
          <w:p w14:paraId="34E54C7E" w14:textId="77777777" w:rsidR="00E96623" w:rsidRDefault="00000000">
            <w:r>
              <w:rPr>
                <w:sz w:val="14"/>
              </w:rPr>
              <w:t>0.46%</w:t>
            </w:r>
          </w:p>
        </w:tc>
        <w:tc>
          <w:tcPr>
            <w:tcW w:w="979" w:type="dxa"/>
            <w:shd w:val="clear" w:color="auto" w:fill="FFFFFF"/>
            <w:tcMar>
              <w:top w:w="80" w:type="dxa"/>
              <w:left w:w="80" w:type="dxa"/>
              <w:bottom w:w="80" w:type="dxa"/>
              <w:right w:w="80" w:type="dxa"/>
            </w:tcMar>
            <w:vAlign w:val="center"/>
          </w:tcPr>
          <w:p w14:paraId="5BB45B82" w14:textId="77777777" w:rsidR="00E96623" w:rsidRDefault="00000000">
            <w:r>
              <w:rPr>
                <w:sz w:val="14"/>
              </w:rPr>
              <w:t>1.34%</w:t>
            </w:r>
          </w:p>
        </w:tc>
      </w:tr>
      <w:tr w:rsidR="00E96623" w14:paraId="5F6B558D" w14:textId="77777777">
        <w:trPr>
          <w:jc w:val="center"/>
        </w:trPr>
        <w:tc>
          <w:tcPr>
            <w:tcW w:w="2592" w:type="dxa"/>
            <w:shd w:val="clear" w:color="auto" w:fill="F2F4F7"/>
            <w:tcMar>
              <w:top w:w="80" w:type="dxa"/>
              <w:left w:w="80" w:type="dxa"/>
              <w:bottom w:w="80" w:type="dxa"/>
              <w:right w:w="80" w:type="dxa"/>
            </w:tcMar>
            <w:vAlign w:val="center"/>
          </w:tcPr>
          <w:p w14:paraId="508CC275" w14:textId="77777777" w:rsidR="00E96623" w:rsidRDefault="00000000">
            <w:r>
              <w:rPr>
                <w:b/>
                <w:sz w:val="14"/>
              </w:rPr>
              <w:t>Rising inflation / Easing</w:t>
            </w:r>
          </w:p>
        </w:tc>
        <w:tc>
          <w:tcPr>
            <w:tcW w:w="792" w:type="dxa"/>
            <w:shd w:val="clear" w:color="auto" w:fill="F2F4F7"/>
            <w:tcMar>
              <w:top w:w="80" w:type="dxa"/>
              <w:left w:w="80" w:type="dxa"/>
              <w:bottom w:w="80" w:type="dxa"/>
              <w:right w:w="80" w:type="dxa"/>
            </w:tcMar>
            <w:vAlign w:val="center"/>
          </w:tcPr>
          <w:p w14:paraId="430CE436" w14:textId="77777777" w:rsidR="00E96623" w:rsidRDefault="00000000">
            <w:r>
              <w:rPr>
                <w:sz w:val="14"/>
              </w:rPr>
              <w:t>21</w:t>
            </w:r>
          </w:p>
        </w:tc>
        <w:tc>
          <w:tcPr>
            <w:tcW w:w="979" w:type="dxa"/>
            <w:shd w:val="clear" w:color="auto" w:fill="F2F4F7"/>
            <w:tcMar>
              <w:top w:w="80" w:type="dxa"/>
              <w:left w:w="80" w:type="dxa"/>
              <w:bottom w:w="80" w:type="dxa"/>
              <w:right w:w="80" w:type="dxa"/>
            </w:tcMar>
            <w:vAlign w:val="center"/>
          </w:tcPr>
          <w:p w14:paraId="609BC00F" w14:textId="77777777" w:rsidR="00E96623" w:rsidRDefault="00000000">
            <w:r>
              <w:rPr>
                <w:sz w:val="14"/>
              </w:rPr>
              <w:t>6.46%</w:t>
            </w:r>
          </w:p>
        </w:tc>
        <w:tc>
          <w:tcPr>
            <w:tcW w:w="979" w:type="dxa"/>
            <w:shd w:val="clear" w:color="auto" w:fill="F2F4F7"/>
            <w:tcMar>
              <w:top w:w="80" w:type="dxa"/>
              <w:left w:w="80" w:type="dxa"/>
              <w:bottom w:w="80" w:type="dxa"/>
              <w:right w:w="80" w:type="dxa"/>
            </w:tcMar>
            <w:vAlign w:val="center"/>
          </w:tcPr>
          <w:p w14:paraId="5223F47D" w14:textId="77777777" w:rsidR="00E96623" w:rsidRDefault="00000000">
            <w:r>
              <w:rPr>
                <w:sz w:val="14"/>
              </w:rPr>
              <w:t>6.69%</w:t>
            </w:r>
          </w:p>
        </w:tc>
        <w:tc>
          <w:tcPr>
            <w:tcW w:w="1037" w:type="dxa"/>
            <w:shd w:val="clear" w:color="auto" w:fill="F2F4F7"/>
            <w:tcMar>
              <w:top w:w="80" w:type="dxa"/>
              <w:left w:w="80" w:type="dxa"/>
              <w:bottom w:w="80" w:type="dxa"/>
              <w:right w:w="80" w:type="dxa"/>
            </w:tcMar>
            <w:vAlign w:val="center"/>
          </w:tcPr>
          <w:p w14:paraId="48672E9C" w14:textId="77777777" w:rsidR="00E96623" w:rsidRDefault="00000000">
            <w:r>
              <w:rPr>
                <w:sz w:val="14"/>
              </w:rPr>
              <w:t>7.50%</w:t>
            </w:r>
          </w:p>
        </w:tc>
        <w:tc>
          <w:tcPr>
            <w:tcW w:w="792" w:type="dxa"/>
            <w:shd w:val="clear" w:color="auto" w:fill="F2F4F7"/>
            <w:tcMar>
              <w:top w:w="80" w:type="dxa"/>
              <w:left w:w="80" w:type="dxa"/>
              <w:bottom w:w="80" w:type="dxa"/>
              <w:right w:w="80" w:type="dxa"/>
            </w:tcMar>
            <w:vAlign w:val="center"/>
          </w:tcPr>
          <w:p w14:paraId="3973F049" w14:textId="77777777" w:rsidR="00E96623" w:rsidRDefault="00000000">
            <w:r>
              <w:rPr>
                <w:sz w:val="14"/>
              </w:rPr>
              <w:t>5.79%</w:t>
            </w:r>
          </w:p>
        </w:tc>
        <w:tc>
          <w:tcPr>
            <w:tcW w:w="1037" w:type="dxa"/>
            <w:shd w:val="clear" w:color="auto" w:fill="F2F4F7"/>
            <w:tcMar>
              <w:top w:w="80" w:type="dxa"/>
              <w:left w:w="80" w:type="dxa"/>
              <w:bottom w:w="80" w:type="dxa"/>
              <w:right w:w="80" w:type="dxa"/>
            </w:tcMar>
            <w:vAlign w:val="center"/>
          </w:tcPr>
          <w:p w14:paraId="2FD603A7" w14:textId="77777777" w:rsidR="00E96623" w:rsidRDefault="00000000">
            <w:r>
              <w:rPr>
                <w:sz w:val="14"/>
              </w:rPr>
              <w:t>7.80%</w:t>
            </w:r>
          </w:p>
        </w:tc>
        <w:tc>
          <w:tcPr>
            <w:tcW w:w="979" w:type="dxa"/>
            <w:shd w:val="clear" w:color="auto" w:fill="F2F4F7"/>
            <w:tcMar>
              <w:top w:w="80" w:type="dxa"/>
              <w:left w:w="80" w:type="dxa"/>
              <w:bottom w:w="80" w:type="dxa"/>
              <w:right w:w="80" w:type="dxa"/>
            </w:tcMar>
            <w:vAlign w:val="center"/>
          </w:tcPr>
          <w:p w14:paraId="4056DD0F" w14:textId="77777777" w:rsidR="00E96623" w:rsidRDefault="00000000">
            <w:r>
              <w:rPr>
                <w:sz w:val="14"/>
              </w:rPr>
              <w:t>6.65%</w:t>
            </w:r>
          </w:p>
        </w:tc>
      </w:tr>
      <w:tr w:rsidR="00E96623" w14:paraId="22A17A11" w14:textId="77777777">
        <w:trPr>
          <w:jc w:val="center"/>
        </w:trPr>
        <w:tc>
          <w:tcPr>
            <w:tcW w:w="2592" w:type="dxa"/>
            <w:shd w:val="clear" w:color="auto" w:fill="FFFFFF"/>
            <w:tcMar>
              <w:top w:w="80" w:type="dxa"/>
              <w:left w:w="80" w:type="dxa"/>
              <w:bottom w:w="80" w:type="dxa"/>
              <w:right w:w="80" w:type="dxa"/>
            </w:tcMar>
            <w:vAlign w:val="center"/>
          </w:tcPr>
          <w:p w14:paraId="33BDD88B" w14:textId="77777777" w:rsidR="00E96623" w:rsidRDefault="00000000">
            <w:r>
              <w:rPr>
                <w:b/>
                <w:sz w:val="14"/>
              </w:rPr>
              <w:t>Falling inflation / Tightening</w:t>
            </w:r>
          </w:p>
        </w:tc>
        <w:tc>
          <w:tcPr>
            <w:tcW w:w="792" w:type="dxa"/>
            <w:shd w:val="clear" w:color="auto" w:fill="FFFFFF"/>
            <w:tcMar>
              <w:top w:w="80" w:type="dxa"/>
              <w:left w:w="80" w:type="dxa"/>
              <w:bottom w:w="80" w:type="dxa"/>
              <w:right w:w="80" w:type="dxa"/>
            </w:tcMar>
            <w:vAlign w:val="center"/>
          </w:tcPr>
          <w:p w14:paraId="15290991" w14:textId="77777777" w:rsidR="00E96623" w:rsidRDefault="00000000">
            <w:r>
              <w:rPr>
                <w:sz w:val="14"/>
              </w:rPr>
              <w:t>45</w:t>
            </w:r>
          </w:p>
        </w:tc>
        <w:tc>
          <w:tcPr>
            <w:tcW w:w="979" w:type="dxa"/>
            <w:shd w:val="clear" w:color="auto" w:fill="FFFFFF"/>
            <w:tcMar>
              <w:top w:w="80" w:type="dxa"/>
              <w:left w:w="80" w:type="dxa"/>
              <w:bottom w:w="80" w:type="dxa"/>
              <w:right w:w="80" w:type="dxa"/>
            </w:tcMar>
            <w:vAlign w:val="center"/>
          </w:tcPr>
          <w:p w14:paraId="6260B493" w14:textId="77777777" w:rsidR="00E96623" w:rsidRDefault="00000000">
            <w:r>
              <w:rPr>
                <w:sz w:val="14"/>
              </w:rPr>
              <w:t>11.12%</w:t>
            </w:r>
          </w:p>
        </w:tc>
        <w:tc>
          <w:tcPr>
            <w:tcW w:w="979" w:type="dxa"/>
            <w:shd w:val="clear" w:color="auto" w:fill="FFFFFF"/>
            <w:tcMar>
              <w:top w:w="80" w:type="dxa"/>
              <w:left w:w="80" w:type="dxa"/>
              <w:bottom w:w="80" w:type="dxa"/>
              <w:right w:w="80" w:type="dxa"/>
            </w:tcMar>
            <w:vAlign w:val="center"/>
          </w:tcPr>
          <w:p w14:paraId="32FC4E62" w14:textId="77777777" w:rsidR="00E96623" w:rsidRDefault="00000000">
            <w:r>
              <w:rPr>
                <w:sz w:val="14"/>
              </w:rPr>
              <w:t>11.04%</w:t>
            </w:r>
          </w:p>
        </w:tc>
        <w:tc>
          <w:tcPr>
            <w:tcW w:w="1037" w:type="dxa"/>
            <w:shd w:val="clear" w:color="auto" w:fill="FFFFFF"/>
            <w:tcMar>
              <w:top w:w="80" w:type="dxa"/>
              <w:left w:w="80" w:type="dxa"/>
              <w:bottom w:w="80" w:type="dxa"/>
              <w:right w:w="80" w:type="dxa"/>
            </w:tcMar>
            <w:vAlign w:val="center"/>
          </w:tcPr>
          <w:p w14:paraId="1457DD6C" w14:textId="77777777" w:rsidR="00E96623" w:rsidRDefault="00000000">
            <w:r>
              <w:rPr>
                <w:sz w:val="14"/>
              </w:rPr>
              <w:t>10.62%</w:t>
            </w:r>
          </w:p>
        </w:tc>
        <w:tc>
          <w:tcPr>
            <w:tcW w:w="792" w:type="dxa"/>
            <w:shd w:val="clear" w:color="auto" w:fill="FFFFFF"/>
            <w:tcMar>
              <w:top w:w="80" w:type="dxa"/>
              <w:left w:w="80" w:type="dxa"/>
              <w:bottom w:w="80" w:type="dxa"/>
              <w:right w:w="80" w:type="dxa"/>
            </w:tcMar>
            <w:vAlign w:val="center"/>
          </w:tcPr>
          <w:p w14:paraId="09D62738" w14:textId="77777777" w:rsidR="00E96623" w:rsidRDefault="00000000">
            <w:r>
              <w:rPr>
                <w:sz w:val="14"/>
              </w:rPr>
              <w:t>8.56%</w:t>
            </w:r>
          </w:p>
        </w:tc>
        <w:tc>
          <w:tcPr>
            <w:tcW w:w="1037" w:type="dxa"/>
            <w:shd w:val="clear" w:color="auto" w:fill="FFFFFF"/>
            <w:tcMar>
              <w:top w:w="80" w:type="dxa"/>
              <w:left w:w="80" w:type="dxa"/>
              <w:bottom w:w="80" w:type="dxa"/>
              <w:right w:w="80" w:type="dxa"/>
            </w:tcMar>
            <w:vAlign w:val="center"/>
          </w:tcPr>
          <w:p w14:paraId="77AB3E8C" w14:textId="77777777" w:rsidR="00E96623" w:rsidRDefault="00000000">
            <w:r>
              <w:rPr>
                <w:sz w:val="14"/>
              </w:rPr>
              <w:t>6.43%</w:t>
            </w:r>
          </w:p>
        </w:tc>
        <w:tc>
          <w:tcPr>
            <w:tcW w:w="979" w:type="dxa"/>
            <w:shd w:val="clear" w:color="auto" w:fill="FFFFFF"/>
            <w:tcMar>
              <w:top w:w="80" w:type="dxa"/>
              <w:left w:w="80" w:type="dxa"/>
              <w:bottom w:w="80" w:type="dxa"/>
              <w:right w:w="80" w:type="dxa"/>
            </w:tcMar>
            <w:vAlign w:val="center"/>
          </w:tcPr>
          <w:p w14:paraId="7F8B6B54" w14:textId="77777777" w:rsidR="00E96623" w:rsidRDefault="00000000">
            <w:r>
              <w:rPr>
                <w:sz w:val="14"/>
              </w:rPr>
              <w:t>8.95%</w:t>
            </w:r>
          </w:p>
        </w:tc>
      </w:tr>
      <w:tr w:rsidR="00E96623" w14:paraId="0B2CF7A2" w14:textId="77777777">
        <w:trPr>
          <w:jc w:val="center"/>
        </w:trPr>
        <w:tc>
          <w:tcPr>
            <w:tcW w:w="2592" w:type="dxa"/>
            <w:shd w:val="clear" w:color="auto" w:fill="F2F4F7"/>
            <w:tcMar>
              <w:top w:w="80" w:type="dxa"/>
              <w:left w:w="80" w:type="dxa"/>
              <w:bottom w:w="80" w:type="dxa"/>
              <w:right w:w="80" w:type="dxa"/>
            </w:tcMar>
            <w:vAlign w:val="center"/>
          </w:tcPr>
          <w:p w14:paraId="27D49E17" w14:textId="77777777" w:rsidR="00E96623" w:rsidRDefault="00000000">
            <w:r>
              <w:rPr>
                <w:b/>
                <w:sz w:val="14"/>
              </w:rPr>
              <w:t>Falling inflation / Easing</w:t>
            </w:r>
          </w:p>
        </w:tc>
        <w:tc>
          <w:tcPr>
            <w:tcW w:w="792" w:type="dxa"/>
            <w:shd w:val="clear" w:color="auto" w:fill="F2F4F7"/>
            <w:tcMar>
              <w:top w:w="80" w:type="dxa"/>
              <w:left w:w="80" w:type="dxa"/>
              <w:bottom w:w="80" w:type="dxa"/>
              <w:right w:w="80" w:type="dxa"/>
            </w:tcMar>
            <w:vAlign w:val="center"/>
          </w:tcPr>
          <w:p w14:paraId="22C1AFE0" w14:textId="77777777" w:rsidR="00E96623" w:rsidRDefault="00000000">
            <w:r>
              <w:rPr>
                <w:sz w:val="14"/>
              </w:rPr>
              <w:t>28</w:t>
            </w:r>
          </w:p>
        </w:tc>
        <w:tc>
          <w:tcPr>
            <w:tcW w:w="979" w:type="dxa"/>
            <w:shd w:val="clear" w:color="auto" w:fill="F2F4F7"/>
            <w:tcMar>
              <w:top w:w="80" w:type="dxa"/>
              <w:left w:w="80" w:type="dxa"/>
              <w:bottom w:w="80" w:type="dxa"/>
              <w:right w:w="80" w:type="dxa"/>
            </w:tcMar>
            <w:vAlign w:val="center"/>
          </w:tcPr>
          <w:p w14:paraId="7B84DDD7" w14:textId="77777777" w:rsidR="00E96623" w:rsidRDefault="00000000">
            <w:r>
              <w:rPr>
                <w:sz w:val="14"/>
              </w:rPr>
              <w:t>18.74%</w:t>
            </w:r>
          </w:p>
        </w:tc>
        <w:tc>
          <w:tcPr>
            <w:tcW w:w="979" w:type="dxa"/>
            <w:shd w:val="clear" w:color="auto" w:fill="F2F4F7"/>
            <w:tcMar>
              <w:top w:w="80" w:type="dxa"/>
              <w:left w:w="80" w:type="dxa"/>
              <w:bottom w:w="80" w:type="dxa"/>
              <w:right w:w="80" w:type="dxa"/>
            </w:tcMar>
            <w:vAlign w:val="center"/>
          </w:tcPr>
          <w:p w14:paraId="333F8D86" w14:textId="77777777" w:rsidR="00E96623" w:rsidRDefault="00000000">
            <w:r>
              <w:rPr>
                <w:sz w:val="14"/>
              </w:rPr>
              <w:t>18.02%</w:t>
            </w:r>
          </w:p>
        </w:tc>
        <w:tc>
          <w:tcPr>
            <w:tcW w:w="1037" w:type="dxa"/>
            <w:shd w:val="clear" w:color="auto" w:fill="F2F4F7"/>
            <w:tcMar>
              <w:top w:w="80" w:type="dxa"/>
              <w:left w:w="80" w:type="dxa"/>
              <w:bottom w:w="80" w:type="dxa"/>
              <w:right w:w="80" w:type="dxa"/>
            </w:tcMar>
            <w:vAlign w:val="center"/>
          </w:tcPr>
          <w:p w14:paraId="28251071" w14:textId="77777777" w:rsidR="00E96623" w:rsidRDefault="00000000">
            <w:r>
              <w:rPr>
                <w:sz w:val="14"/>
              </w:rPr>
              <w:t>9.64%</w:t>
            </w:r>
          </w:p>
        </w:tc>
        <w:tc>
          <w:tcPr>
            <w:tcW w:w="792" w:type="dxa"/>
            <w:shd w:val="clear" w:color="auto" w:fill="F2F4F7"/>
            <w:tcMar>
              <w:top w:w="80" w:type="dxa"/>
              <w:left w:w="80" w:type="dxa"/>
              <w:bottom w:w="80" w:type="dxa"/>
              <w:right w:w="80" w:type="dxa"/>
            </w:tcMar>
            <w:vAlign w:val="center"/>
          </w:tcPr>
          <w:p w14:paraId="30F492D2" w14:textId="77777777" w:rsidR="00E96623" w:rsidRDefault="00000000">
            <w:r>
              <w:rPr>
                <w:sz w:val="14"/>
              </w:rPr>
              <w:t>7.78%</w:t>
            </w:r>
          </w:p>
        </w:tc>
        <w:tc>
          <w:tcPr>
            <w:tcW w:w="1037" w:type="dxa"/>
            <w:shd w:val="clear" w:color="auto" w:fill="F2F4F7"/>
            <w:tcMar>
              <w:top w:w="80" w:type="dxa"/>
              <w:left w:w="80" w:type="dxa"/>
              <w:bottom w:w="80" w:type="dxa"/>
              <w:right w:w="80" w:type="dxa"/>
            </w:tcMar>
            <w:vAlign w:val="center"/>
          </w:tcPr>
          <w:p w14:paraId="31B15EFA" w14:textId="77777777" w:rsidR="00E96623" w:rsidRDefault="00000000">
            <w:r>
              <w:rPr>
                <w:sz w:val="14"/>
              </w:rPr>
              <w:t>5.28%</w:t>
            </w:r>
          </w:p>
        </w:tc>
        <w:tc>
          <w:tcPr>
            <w:tcW w:w="979" w:type="dxa"/>
            <w:shd w:val="clear" w:color="auto" w:fill="F2F4F7"/>
            <w:tcMar>
              <w:top w:w="80" w:type="dxa"/>
              <w:left w:w="80" w:type="dxa"/>
              <w:bottom w:w="80" w:type="dxa"/>
              <w:right w:w="80" w:type="dxa"/>
            </w:tcMar>
            <w:vAlign w:val="center"/>
          </w:tcPr>
          <w:p w14:paraId="7C956ABE" w14:textId="77777777" w:rsidR="00E96623" w:rsidRDefault="00000000">
            <w:r>
              <w:rPr>
                <w:sz w:val="14"/>
              </w:rPr>
              <w:t>16.30%</w:t>
            </w:r>
          </w:p>
        </w:tc>
      </w:tr>
    </w:tbl>
    <w:p w14:paraId="29E3F41E" w14:textId="77777777" w:rsidR="005F65A1" w:rsidRDefault="005F65A1">
      <w:pPr>
        <w:pStyle w:val="BodyText"/>
      </w:pPr>
    </w:p>
    <w:p w14:paraId="5724B806" w14:textId="170CA929" w:rsidR="00E96623" w:rsidRDefault="005F65A1">
      <w:pPr>
        <w:pStyle w:val="BodyText"/>
      </w:pPr>
      <w:r w:rsidRPr="005F65A1">
        <w:t>The regime</w:t>
      </w:r>
      <w:r>
        <w:t xml:space="preserve"> </w:t>
      </w:r>
      <w:r w:rsidRPr="005F65A1">
        <w:t>sensitive portfolio produced a strong 16.30 percent annualized return during falling</w:t>
      </w:r>
      <w:r>
        <w:t xml:space="preserve"> </w:t>
      </w:r>
      <w:r w:rsidRPr="005F65A1">
        <w:t xml:space="preserve">inflation/easing months, although it remained below the 60/40 portfolio’s 18.74 percent return. It slightly outperformed 60/40 during </w:t>
      </w:r>
      <w:proofErr w:type="gramStart"/>
      <w:r w:rsidRPr="005F65A1">
        <w:t>rising-inflation</w:t>
      </w:r>
      <w:proofErr w:type="gramEnd"/>
      <w:r w:rsidRPr="005F65A1">
        <w:t xml:space="preserve">/easing months, </w:t>
      </w:r>
      <w:proofErr w:type="gramStart"/>
      <w:r w:rsidRPr="005F65A1">
        <w:t>returning</w:t>
      </w:r>
      <w:proofErr w:type="gramEnd"/>
      <w:r w:rsidRPr="005F65A1">
        <w:t xml:space="preserve"> 6.65 percent compared with 6.46 percent. It underperformed 60/40 during rising-inflation/tightening and falling-inflation/tightening months</w:t>
      </w:r>
      <w:r>
        <w:t>.</w:t>
      </w:r>
    </w:p>
    <w:p w14:paraId="1CC9450A" w14:textId="77777777" w:rsidR="00905B4D" w:rsidRDefault="00905B4D">
      <w:pPr>
        <w:pStyle w:val="BodyText"/>
      </w:pPr>
    </w:p>
    <w:p w14:paraId="38B52CFB" w14:textId="77777777" w:rsidR="00905B4D" w:rsidRDefault="00905B4D">
      <w:pPr>
        <w:pStyle w:val="BodyText"/>
      </w:pPr>
    </w:p>
    <w:p w14:paraId="159A80EC" w14:textId="77777777" w:rsidR="00905B4D" w:rsidRDefault="00905B4D">
      <w:pPr>
        <w:pStyle w:val="BodyText"/>
      </w:pPr>
    </w:p>
    <w:p w14:paraId="28F0277A" w14:textId="77777777" w:rsidR="00905B4D" w:rsidRDefault="00905B4D">
      <w:pPr>
        <w:pStyle w:val="BodyText"/>
      </w:pPr>
    </w:p>
    <w:p w14:paraId="199DAB0F" w14:textId="77777777" w:rsidR="00905B4D" w:rsidRDefault="00905B4D">
      <w:pPr>
        <w:pStyle w:val="BodyText"/>
      </w:pPr>
    </w:p>
    <w:p w14:paraId="18AEEF02" w14:textId="77777777" w:rsidR="00905B4D" w:rsidRDefault="00905B4D">
      <w:pPr>
        <w:pStyle w:val="BodyText"/>
      </w:pPr>
    </w:p>
    <w:p w14:paraId="36B4A488" w14:textId="77777777" w:rsidR="00E96623" w:rsidRDefault="00000000">
      <w:pPr>
        <w:pStyle w:val="Heading2"/>
      </w:pPr>
      <w:r>
        <w:t>6.4 Transaction-Cost Sensitivity</w:t>
      </w:r>
    </w:p>
    <w:p w14:paraId="4B18D3E4" w14:textId="77777777" w:rsidR="00E96623" w:rsidRDefault="00000000">
      <w:pPr>
        <w:pStyle w:val="BodyText"/>
      </w:pPr>
      <w:r>
        <w:t>Changing the one-way turnover cost from 0 to 25 basis points produced only small changes in CAGR and did not alter the portfolio ranking. The effect was largest for ERC and the regime-sensitive strategy because they had the highest turnover.</w:t>
      </w:r>
    </w:p>
    <w:p w14:paraId="1285AD8B" w14:textId="77777777" w:rsidR="00E96623" w:rsidRDefault="00000000">
      <w:r>
        <w:t>Table 12. CAGR under alternative transaction costs</w:t>
      </w:r>
    </w:p>
    <w:tbl>
      <w:tblPr>
        <w:tblW w:w="0" w:type="auto"/>
        <w:jc w:val="center"/>
        <w:tblLook w:val="04A0" w:firstRow="1" w:lastRow="0" w:firstColumn="1" w:lastColumn="0" w:noHBand="0" w:noVBand="1"/>
      </w:tblPr>
      <w:tblGrid>
        <w:gridCol w:w="2592"/>
        <w:gridCol w:w="1037"/>
        <w:gridCol w:w="1037"/>
        <w:gridCol w:w="1037"/>
        <w:gridCol w:w="1296"/>
        <w:gridCol w:w="1296"/>
      </w:tblGrid>
      <w:tr w:rsidR="00E96623" w14:paraId="2BE8F8E6" w14:textId="77777777">
        <w:trPr>
          <w:tblHeader/>
          <w:jc w:val="center"/>
        </w:trPr>
        <w:tc>
          <w:tcPr>
            <w:tcW w:w="2592" w:type="dxa"/>
            <w:shd w:val="clear" w:color="auto" w:fill="0B1F3A"/>
            <w:tcMar>
              <w:top w:w="80" w:type="dxa"/>
              <w:left w:w="80" w:type="dxa"/>
              <w:bottom w:w="80" w:type="dxa"/>
              <w:right w:w="80" w:type="dxa"/>
            </w:tcMar>
            <w:vAlign w:val="center"/>
          </w:tcPr>
          <w:p w14:paraId="2D5F6D90" w14:textId="77777777" w:rsidR="00E96623" w:rsidRDefault="00000000">
            <w:r>
              <w:rPr>
                <w:b/>
                <w:color w:val="FFFFFF"/>
                <w:sz w:val="15"/>
              </w:rPr>
              <w:t>Portfolio</w:t>
            </w:r>
          </w:p>
        </w:tc>
        <w:tc>
          <w:tcPr>
            <w:tcW w:w="1037" w:type="dxa"/>
            <w:shd w:val="clear" w:color="auto" w:fill="0B1F3A"/>
            <w:tcMar>
              <w:top w:w="80" w:type="dxa"/>
              <w:left w:w="80" w:type="dxa"/>
              <w:bottom w:w="80" w:type="dxa"/>
              <w:right w:w="80" w:type="dxa"/>
            </w:tcMar>
            <w:vAlign w:val="center"/>
          </w:tcPr>
          <w:p w14:paraId="40FAEC67" w14:textId="77777777" w:rsidR="00E96623" w:rsidRDefault="00000000">
            <w:r>
              <w:rPr>
                <w:b/>
                <w:color w:val="FFFFFF"/>
                <w:sz w:val="15"/>
              </w:rPr>
              <w:t>0 bps</w:t>
            </w:r>
          </w:p>
        </w:tc>
        <w:tc>
          <w:tcPr>
            <w:tcW w:w="1037" w:type="dxa"/>
            <w:shd w:val="clear" w:color="auto" w:fill="0B1F3A"/>
            <w:tcMar>
              <w:top w:w="80" w:type="dxa"/>
              <w:left w:w="80" w:type="dxa"/>
              <w:bottom w:w="80" w:type="dxa"/>
              <w:right w:w="80" w:type="dxa"/>
            </w:tcMar>
            <w:vAlign w:val="center"/>
          </w:tcPr>
          <w:p w14:paraId="754C0302" w14:textId="77777777" w:rsidR="00E96623" w:rsidRDefault="00000000">
            <w:r>
              <w:rPr>
                <w:b/>
                <w:color w:val="FFFFFF"/>
                <w:sz w:val="15"/>
              </w:rPr>
              <w:t>10 bps</w:t>
            </w:r>
          </w:p>
        </w:tc>
        <w:tc>
          <w:tcPr>
            <w:tcW w:w="1037" w:type="dxa"/>
            <w:shd w:val="clear" w:color="auto" w:fill="0B1F3A"/>
            <w:tcMar>
              <w:top w:w="80" w:type="dxa"/>
              <w:left w:w="80" w:type="dxa"/>
              <w:bottom w:w="80" w:type="dxa"/>
              <w:right w:w="80" w:type="dxa"/>
            </w:tcMar>
            <w:vAlign w:val="center"/>
          </w:tcPr>
          <w:p w14:paraId="001C4A88" w14:textId="77777777" w:rsidR="00E96623" w:rsidRDefault="00000000">
            <w:r>
              <w:rPr>
                <w:b/>
                <w:color w:val="FFFFFF"/>
                <w:sz w:val="15"/>
              </w:rPr>
              <w:t>25 bps</w:t>
            </w:r>
          </w:p>
        </w:tc>
        <w:tc>
          <w:tcPr>
            <w:tcW w:w="1296" w:type="dxa"/>
            <w:shd w:val="clear" w:color="auto" w:fill="0B1F3A"/>
            <w:tcMar>
              <w:top w:w="80" w:type="dxa"/>
              <w:left w:w="80" w:type="dxa"/>
              <w:bottom w:w="80" w:type="dxa"/>
              <w:right w:w="80" w:type="dxa"/>
            </w:tcMar>
            <w:vAlign w:val="center"/>
          </w:tcPr>
          <w:p w14:paraId="5863FEF9" w14:textId="77777777" w:rsidR="00E96623" w:rsidRDefault="00000000">
            <w:r>
              <w:rPr>
                <w:b/>
                <w:color w:val="FFFFFF"/>
                <w:sz w:val="15"/>
              </w:rPr>
              <w:t>25-bps Sharpe</w:t>
            </w:r>
          </w:p>
        </w:tc>
        <w:tc>
          <w:tcPr>
            <w:tcW w:w="1296" w:type="dxa"/>
            <w:shd w:val="clear" w:color="auto" w:fill="0B1F3A"/>
            <w:tcMar>
              <w:top w:w="80" w:type="dxa"/>
              <w:left w:w="80" w:type="dxa"/>
              <w:bottom w:w="80" w:type="dxa"/>
              <w:right w:w="80" w:type="dxa"/>
            </w:tcMar>
            <w:vAlign w:val="center"/>
          </w:tcPr>
          <w:p w14:paraId="0F397FD0" w14:textId="77777777" w:rsidR="00E96623" w:rsidRDefault="00000000">
            <w:r>
              <w:rPr>
                <w:b/>
                <w:color w:val="FFFFFF"/>
                <w:sz w:val="15"/>
              </w:rPr>
              <w:t>25-bps Max DD</w:t>
            </w:r>
          </w:p>
        </w:tc>
      </w:tr>
      <w:tr w:rsidR="00E96623" w14:paraId="6A05709D" w14:textId="77777777">
        <w:trPr>
          <w:jc w:val="center"/>
        </w:trPr>
        <w:tc>
          <w:tcPr>
            <w:tcW w:w="2592" w:type="dxa"/>
            <w:shd w:val="clear" w:color="auto" w:fill="FFFFFF"/>
            <w:tcMar>
              <w:top w:w="80" w:type="dxa"/>
              <w:left w:w="80" w:type="dxa"/>
              <w:bottom w:w="80" w:type="dxa"/>
              <w:right w:w="80" w:type="dxa"/>
            </w:tcMar>
            <w:vAlign w:val="center"/>
          </w:tcPr>
          <w:p w14:paraId="23A15B16" w14:textId="77777777" w:rsidR="00E96623" w:rsidRDefault="00000000">
            <w:r>
              <w:rPr>
                <w:b/>
                <w:sz w:val="15"/>
              </w:rPr>
              <w:t>Traditional 60/40</w:t>
            </w:r>
          </w:p>
        </w:tc>
        <w:tc>
          <w:tcPr>
            <w:tcW w:w="1037" w:type="dxa"/>
            <w:shd w:val="clear" w:color="auto" w:fill="FFFFFF"/>
            <w:tcMar>
              <w:top w:w="80" w:type="dxa"/>
              <w:left w:w="80" w:type="dxa"/>
              <w:bottom w:w="80" w:type="dxa"/>
              <w:right w:w="80" w:type="dxa"/>
            </w:tcMar>
            <w:vAlign w:val="center"/>
          </w:tcPr>
          <w:p w14:paraId="00301212" w14:textId="77777777" w:rsidR="00E96623" w:rsidRDefault="00000000">
            <w:r>
              <w:rPr>
                <w:sz w:val="15"/>
              </w:rPr>
              <w:t>9.57%</w:t>
            </w:r>
          </w:p>
        </w:tc>
        <w:tc>
          <w:tcPr>
            <w:tcW w:w="1037" w:type="dxa"/>
            <w:shd w:val="clear" w:color="auto" w:fill="FFFFFF"/>
            <w:tcMar>
              <w:top w:w="80" w:type="dxa"/>
              <w:left w:w="80" w:type="dxa"/>
              <w:bottom w:w="80" w:type="dxa"/>
              <w:right w:w="80" w:type="dxa"/>
            </w:tcMar>
            <w:vAlign w:val="center"/>
          </w:tcPr>
          <w:p w14:paraId="4F31DD0F" w14:textId="77777777" w:rsidR="00E96623" w:rsidRDefault="00000000">
            <w:r>
              <w:rPr>
                <w:sz w:val="15"/>
              </w:rPr>
              <w:t>9.56%</w:t>
            </w:r>
          </w:p>
        </w:tc>
        <w:tc>
          <w:tcPr>
            <w:tcW w:w="1037" w:type="dxa"/>
            <w:shd w:val="clear" w:color="auto" w:fill="FFFFFF"/>
            <w:tcMar>
              <w:top w:w="80" w:type="dxa"/>
              <w:left w:w="80" w:type="dxa"/>
              <w:bottom w:w="80" w:type="dxa"/>
              <w:right w:w="80" w:type="dxa"/>
            </w:tcMar>
            <w:vAlign w:val="center"/>
          </w:tcPr>
          <w:p w14:paraId="46FA5BD9" w14:textId="77777777" w:rsidR="00E96623" w:rsidRDefault="00000000">
            <w:r>
              <w:rPr>
                <w:sz w:val="15"/>
              </w:rPr>
              <w:t>9.55%</w:t>
            </w:r>
          </w:p>
        </w:tc>
        <w:tc>
          <w:tcPr>
            <w:tcW w:w="1296" w:type="dxa"/>
            <w:shd w:val="clear" w:color="auto" w:fill="FFFFFF"/>
            <w:tcMar>
              <w:top w:w="80" w:type="dxa"/>
              <w:left w:w="80" w:type="dxa"/>
              <w:bottom w:w="80" w:type="dxa"/>
              <w:right w:w="80" w:type="dxa"/>
            </w:tcMar>
            <w:vAlign w:val="center"/>
          </w:tcPr>
          <w:p w14:paraId="0DA25C11" w14:textId="77777777" w:rsidR="00E96623" w:rsidRDefault="00000000">
            <w:r>
              <w:rPr>
                <w:sz w:val="15"/>
              </w:rPr>
              <w:t>0.884</w:t>
            </w:r>
          </w:p>
        </w:tc>
        <w:tc>
          <w:tcPr>
            <w:tcW w:w="1296" w:type="dxa"/>
            <w:shd w:val="clear" w:color="auto" w:fill="FFFFFF"/>
            <w:tcMar>
              <w:top w:w="80" w:type="dxa"/>
              <w:left w:w="80" w:type="dxa"/>
              <w:bottom w:w="80" w:type="dxa"/>
              <w:right w:w="80" w:type="dxa"/>
            </w:tcMar>
            <w:vAlign w:val="center"/>
          </w:tcPr>
          <w:p w14:paraId="28B2AF8D" w14:textId="77777777" w:rsidR="00E96623" w:rsidRDefault="00000000">
            <w:r>
              <w:rPr>
                <w:sz w:val="15"/>
              </w:rPr>
              <w:t>-20.56%</w:t>
            </w:r>
          </w:p>
        </w:tc>
      </w:tr>
      <w:tr w:rsidR="00E96623" w14:paraId="202B4DF1" w14:textId="77777777">
        <w:trPr>
          <w:jc w:val="center"/>
        </w:trPr>
        <w:tc>
          <w:tcPr>
            <w:tcW w:w="2592" w:type="dxa"/>
            <w:shd w:val="clear" w:color="auto" w:fill="F2F4F7"/>
            <w:tcMar>
              <w:top w:w="80" w:type="dxa"/>
              <w:left w:w="80" w:type="dxa"/>
              <w:bottom w:w="80" w:type="dxa"/>
              <w:right w:w="80" w:type="dxa"/>
            </w:tcMar>
            <w:vAlign w:val="center"/>
          </w:tcPr>
          <w:p w14:paraId="6DBE204F" w14:textId="77777777" w:rsidR="00E96623" w:rsidRDefault="00000000">
            <w:r>
              <w:rPr>
                <w:b/>
                <w:sz w:val="15"/>
              </w:rPr>
              <w:t>Strategic diversified</w:t>
            </w:r>
          </w:p>
        </w:tc>
        <w:tc>
          <w:tcPr>
            <w:tcW w:w="1037" w:type="dxa"/>
            <w:shd w:val="clear" w:color="auto" w:fill="F2F4F7"/>
            <w:tcMar>
              <w:top w:w="80" w:type="dxa"/>
              <w:left w:w="80" w:type="dxa"/>
              <w:bottom w:w="80" w:type="dxa"/>
              <w:right w:w="80" w:type="dxa"/>
            </w:tcMar>
            <w:vAlign w:val="center"/>
          </w:tcPr>
          <w:p w14:paraId="31EA5868" w14:textId="77777777" w:rsidR="00E96623" w:rsidRDefault="00000000">
            <w:r>
              <w:rPr>
                <w:sz w:val="15"/>
              </w:rPr>
              <w:t>8.59%</w:t>
            </w:r>
          </w:p>
        </w:tc>
        <w:tc>
          <w:tcPr>
            <w:tcW w:w="1037" w:type="dxa"/>
            <w:shd w:val="clear" w:color="auto" w:fill="F2F4F7"/>
            <w:tcMar>
              <w:top w:w="80" w:type="dxa"/>
              <w:left w:w="80" w:type="dxa"/>
              <w:bottom w:w="80" w:type="dxa"/>
              <w:right w:w="80" w:type="dxa"/>
            </w:tcMar>
            <w:vAlign w:val="center"/>
          </w:tcPr>
          <w:p w14:paraId="064E623B" w14:textId="77777777" w:rsidR="00E96623" w:rsidRDefault="00000000">
            <w:r>
              <w:rPr>
                <w:sz w:val="15"/>
              </w:rPr>
              <w:t>8.58%</w:t>
            </w:r>
          </w:p>
        </w:tc>
        <w:tc>
          <w:tcPr>
            <w:tcW w:w="1037" w:type="dxa"/>
            <w:shd w:val="clear" w:color="auto" w:fill="F2F4F7"/>
            <w:tcMar>
              <w:top w:w="80" w:type="dxa"/>
              <w:left w:w="80" w:type="dxa"/>
              <w:bottom w:w="80" w:type="dxa"/>
              <w:right w:w="80" w:type="dxa"/>
            </w:tcMar>
            <w:vAlign w:val="center"/>
          </w:tcPr>
          <w:p w14:paraId="081B19C0" w14:textId="77777777" w:rsidR="00E96623" w:rsidRDefault="00000000">
            <w:r>
              <w:rPr>
                <w:sz w:val="15"/>
              </w:rPr>
              <w:t>8.57%</w:t>
            </w:r>
          </w:p>
        </w:tc>
        <w:tc>
          <w:tcPr>
            <w:tcW w:w="1296" w:type="dxa"/>
            <w:shd w:val="clear" w:color="auto" w:fill="F2F4F7"/>
            <w:tcMar>
              <w:top w:w="80" w:type="dxa"/>
              <w:left w:w="80" w:type="dxa"/>
              <w:bottom w:w="80" w:type="dxa"/>
              <w:right w:w="80" w:type="dxa"/>
            </w:tcMar>
            <w:vAlign w:val="center"/>
          </w:tcPr>
          <w:p w14:paraId="12B78397" w14:textId="77777777" w:rsidR="00E96623" w:rsidRDefault="00000000">
            <w:r>
              <w:rPr>
                <w:sz w:val="15"/>
              </w:rPr>
              <w:t>0.765</w:t>
            </w:r>
          </w:p>
        </w:tc>
        <w:tc>
          <w:tcPr>
            <w:tcW w:w="1296" w:type="dxa"/>
            <w:shd w:val="clear" w:color="auto" w:fill="F2F4F7"/>
            <w:tcMar>
              <w:top w:w="80" w:type="dxa"/>
              <w:left w:w="80" w:type="dxa"/>
              <w:bottom w:w="80" w:type="dxa"/>
              <w:right w:w="80" w:type="dxa"/>
            </w:tcMar>
            <w:vAlign w:val="center"/>
          </w:tcPr>
          <w:p w14:paraId="253FEB1C" w14:textId="77777777" w:rsidR="00E96623" w:rsidRDefault="00000000">
            <w:r>
              <w:rPr>
                <w:sz w:val="15"/>
              </w:rPr>
              <w:t>-20.95%</w:t>
            </w:r>
          </w:p>
        </w:tc>
      </w:tr>
      <w:tr w:rsidR="00E96623" w14:paraId="1C498B3B" w14:textId="77777777">
        <w:trPr>
          <w:jc w:val="center"/>
        </w:trPr>
        <w:tc>
          <w:tcPr>
            <w:tcW w:w="2592" w:type="dxa"/>
            <w:shd w:val="clear" w:color="auto" w:fill="FFFFFF"/>
            <w:tcMar>
              <w:top w:w="80" w:type="dxa"/>
              <w:left w:w="80" w:type="dxa"/>
              <w:bottom w:w="80" w:type="dxa"/>
              <w:right w:w="80" w:type="dxa"/>
            </w:tcMar>
            <w:vAlign w:val="center"/>
          </w:tcPr>
          <w:p w14:paraId="3859D5F1" w14:textId="77777777" w:rsidR="00E96623" w:rsidRDefault="00000000">
            <w:r>
              <w:rPr>
                <w:b/>
                <w:sz w:val="15"/>
              </w:rPr>
              <w:t>Mean-variance</w:t>
            </w:r>
          </w:p>
        </w:tc>
        <w:tc>
          <w:tcPr>
            <w:tcW w:w="1037" w:type="dxa"/>
            <w:shd w:val="clear" w:color="auto" w:fill="FFFFFF"/>
            <w:tcMar>
              <w:top w:w="80" w:type="dxa"/>
              <w:left w:w="80" w:type="dxa"/>
              <w:bottom w:w="80" w:type="dxa"/>
              <w:right w:w="80" w:type="dxa"/>
            </w:tcMar>
            <w:vAlign w:val="center"/>
          </w:tcPr>
          <w:p w14:paraId="69714BA6" w14:textId="77777777" w:rsidR="00E96623" w:rsidRDefault="00000000">
            <w:r>
              <w:rPr>
                <w:sz w:val="15"/>
              </w:rPr>
              <w:t>6.59%</w:t>
            </w:r>
          </w:p>
        </w:tc>
        <w:tc>
          <w:tcPr>
            <w:tcW w:w="1037" w:type="dxa"/>
            <w:shd w:val="clear" w:color="auto" w:fill="FFFFFF"/>
            <w:tcMar>
              <w:top w:w="80" w:type="dxa"/>
              <w:left w:w="80" w:type="dxa"/>
              <w:bottom w:w="80" w:type="dxa"/>
              <w:right w:w="80" w:type="dxa"/>
            </w:tcMar>
            <w:vAlign w:val="center"/>
          </w:tcPr>
          <w:p w14:paraId="3A701BFC" w14:textId="77777777" w:rsidR="00E96623" w:rsidRDefault="00000000">
            <w:r>
              <w:rPr>
                <w:sz w:val="15"/>
              </w:rPr>
              <w:t>6.56%</w:t>
            </w:r>
          </w:p>
        </w:tc>
        <w:tc>
          <w:tcPr>
            <w:tcW w:w="1037" w:type="dxa"/>
            <w:shd w:val="clear" w:color="auto" w:fill="FFFFFF"/>
            <w:tcMar>
              <w:top w:w="80" w:type="dxa"/>
              <w:left w:w="80" w:type="dxa"/>
              <w:bottom w:w="80" w:type="dxa"/>
              <w:right w:w="80" w:type="dxa"/>
            </w:tcMar>
            <w:vAlign w:val="center"/>
          </w:tcPr>
          <w:p w14:paraId="79EE75F9" w14:textId="77777777" w:rsidR="00E96623" w:rsidRDefault="00000000">
            <w:r>
              <w:rPr>
                <w:sz w:val="15"/>
              </w:rPr>
              <w:t>6.53%</w:t>
            </w:r>
          </w:p>
        </w:tc>
        <w:tc>
          <w:tcPr>
            <w:tcW w:w="1296" w:type="dxa"/>
            <w:shd w:val="clear" w:color="auto" w:fill="FFFFFF"/>
            <w:tcMar>
              <w:top w:w="80" w:type="dxa"/>
              <w:left w:w="80" w:type="dxa"/>
              <w:bottom w:w="80" w:type="dxa"/>
              <w:right w:w="80" w:type="dxa"/>
            </w:tcMar>
            <w:vAlign w:val="center"/>
          </w:tcPr>
          <w:p w14:paraId="4C30D315" w14:textId="77777777" w:rsidR="00E96623" w:rsidRDefault="00000000">
            <w:r>
              <w:rPr>
                <w:sz w:val="15"/>
              </w:rPr>
              <w:t>1.029</w:t>
            </w:r>
          </w:p>
        </w:tc>
        <w:tc>
          <w:tcPr>
            <w:tcW w:w="1296" w:type="dxa"/>
            <w:shd w:val="clear" w:color="auto" w:fill="FFFFFF"/>
            <w:tcMar>
              <w:top w:w="80" w:type="dxa"/>
              <w:left w:w="80" w:type="dxa"/>
              <w:bottom w:w="80" w:type="dxa"/>
              <w:right w:w="80" w:type="dxa"/>
            </w:tcMar>
            <w:vAlign w:val="center"/>
          </w:tcPr>
          <w:p w14:paraId="081EAFC3" w14:textId="77777777" w:rsidR="00E96623" w:rsidRDefault="00000000">
            <w:r>
              <w:rPr>
                <w:sz w:val="15"/>
              </w:rPr>
              <w:t>-12.23%</w:t>
            </w:r>
          </w:p>
        </w:tc>
      </w:tr>
      <w:tr w:rsidR="00E96623" w14:paraId="1A7E04D4" w14:textId="77777777">
        <w:trPr>
          <w:jc w:val="center"/>
        </w:trPr>
        <w:tc>
          <w:tcPr>
            <w:tcW w:w="2592" w:type="dxa"/>
            <w:shd w:val="clear" w:color="auto" w:fill="F2F4F7"/>
            <w:tcMar>
              <w:top w:w="80" w:type="dxa"/>
              <w:left w:w="80" w:type="dxa"/>
              <w:bottom w:w="80" w:type="dxa"/>
              <w:right w:w="80" w:type="dxa"/>
            </w:tcMar>
            <w:vAlign w:val="center"/>
          </w:tcPr>
          <w:p w14:paraId="4C6F2389" w14:textId="77777777" w:rsidR="00E96623" w:rsidRDefault="00000000">
            <w:r>
              <w:rPr>
                <w:b/>
                <w:sz w:val="15"/>
              </w:rPr>
              <w:t>Equal risk contribution</w:t>
            </w:r>
          </w:p>
        </w:tc>
        <w:tc>
          <w:tcPr>
            <w:tcW w:w="1037" w:type="dxa"/>
            <w:shd w:val="clear" w:color="auto" w:fill="F2F4F7"/>
            <w:tcMar>
              <w:top w:w="80" w:type="dxa"/>
              <w:left w:w="80" w:type="dxa"/>
              <w:bottom w:w="80" w:type="dxa"/>
              <w:right w:w="80" w:type="dxa"/>
            </w:tcMar>
            <w:vAlign w:val="center"/>
          </w:tcPr>
          <w:p w14:paraId="5EB31516" w14:textId="77777777" w:rsidR="00E96623" w:rsidRDefault="00000000">
            <w:r>
              <w:rPr>
                <w:sz w:val="15"/>
              </w:rPr>
              <w:t>5.07%</w:t>
            </w:r>
          </w:p>
        </w:tc>
        <w:tc>
          <w:tcPr>
            <w:tcW w:w="1037" w:type="dxa"/>
            <w:shd w:val="clear" w:color="auto" w:fill="F2F4F7"/>
            <w:tcMar>
              <w:top w:w="80" w:type="dxa"/>
              <w:left w:w="80" w:type="dxa"/>
              <w:bottom w:w="80" w:type="dxa"/>
              <w:right w:w="80" w:type="dxa"/>
            </w:tcMar>
            <w:vAlign w:val="center"/>
          </w:tcPr>
          <w:p w14:paraId="173CD06D" w14:textId="77777777" w:rsidR="00E96623" w:rsidRDefault="00000000">
            <w:r>
              <w:rPr>
                <w:sz w:val="15"/>
              </w:rPr>
              <w:t>5.02%</w:t>
            </w:r>
          </w:p>
        </w:tc>
        <w:tc>
          <w:tcPr>
            <w:tcW w:w="1037" w:type="dxa"/>
            <w:shd w:val="clear" w:color="auto" w:fill="F2F4F7"/>
            <w:tcMar>
              <w:top w:w="80" w:type="dxa"/>
              <w:left w:w="80" w:type="dxa"/>
              <w:bottom w:w="80" w:type="dxa"/>
              <w:right w:w="80" w:type="dxa"/>
            </w:tcMar>
            <w:vAlign w:val="center"/>
          </w:tcPr>
          <w:p w14:paraId="13149A80" w14:textId="77777777" w:rsidR="00E96623" w:rsidRDefault="00000000">
            <w:r>
              <w:rPr>
                <w:sz w:val="15"/>
              </w:rPr>
              <w:t>4.96%</w:t>
            </w:r>
          </w:p>
        </w:tc>
        <w:tc>
          <w:tcPr>
            <w:tcW w:w="1296" w:type="dxa"/>
            <w:shd w:val="clear" w:color="auto" w:fill="F2F4F7"/>
            <w:tcMar>
              <w:top w:w="80" w:type="dxa"/>
              <w:left w:w="80" w:type="dxa"/>
              <w:bottom w:w="80" w:type="dxa"/>
              <w:right w:w="80" w:type="dxa"/>
            </w:tcMar>
            <w:vAlign w:val="center"/>
          </w:tcPr>
          <w:p w14:paraId="1877DD1F" w14:textId="77777777" w:rsidR="00E96623" w:rsidRDefault="00000000">
            <w:r>
              <w:rPr>
                <w:sz w:val="15"/>
              </w:rPr>
              <w:t>0.585</w:t>
            </w:r>
          </w:p>
        </w:tc>
        <w:tc>
          <w:tcPr>
            <w:tcW w:w="1296" w:type="dxa"/>
            <w:shd w:val="clear" w:color="auto" w:fill="F2F4F7"/>
            <w:tcMar>
              <w:top w:w="80" w:type="dxa"/>
              <w:left w:w="80" w:type="dxa"/>
              <w:bottom w:w="80" w:type="dxa"/>
              <w:right w:w="80" w:type="dxa"/>
            </w:tcMar>
            <w:vAlign w:val="center"/>
          </w:tcPr>
          <w:p w14:paraId="496A9FB7" w14:textId="77777777" w:rsidR="00E96623" w:rsidRDefault="00000000">
            <w:r>
              <w:rPr>
                <w:sz w:val="15"/>
              </w:rPr>
              <w:t>-15.27%</w:t>
            </w:r>
          </w:p>
        </w:tc>
      </w:tr>
      <w:tr w:rsidR="00E96623" w14:paraId="251E6EFD" w14:textId="77777777">
        <w:trPr>
          <w:jc w:val="center"/>
        </w:trPr>
        <w:tc>
          <w:tcPr>
            <w:tcW w:w="2592" w:type="dxa"/>
            <w:shd w:val="clear" w:color="auto" w:fill="FFFFFF"/>
            <w:tcMar>
              <w:top w:w="80" w:type="dxa"/>
              <w:left w:w="80" w:type="dxa"/>
              <w:bottom w:w="80" w:type="dxa"/>
              <w:right w:w="80" w:type="dxa"/>
            </w:tcMar>
            <w:vAlign w:val="center"/>
          </w:tcPr>
          <w:p w14:paraId="6F8BE838" w14:textId="77777777" w:rsidR="00E96623" w:rsidRDefault="00000000">
            <w:r>
              <w:rPr>
                <w:b/>
                <w:sz w:val="15"/>
              </w:rPr>
              <w:t>Minimum CVaR</w:t>
            </w:r>
          </w:p>
        </w:tc>
        <w:tc>
          <w:tcPr>
            <w:tcW w:w="1037" w:type="dxa"/>
            <w:shd w:val="clear" w:color="auto" w:fill="FFFFFF"/>
            <w:tcMar>
              <w:top w:w="80" w:type="dxa"/>
              <w:left w:w="80" w:type="dxa"/>
              <w:bottom w:w="80" w:type="dxa"/>
              <w:right w:w="80" w:type="dxa"/>
            </w:tcMar>
            <w:vAlign w:val="center"/>
          </w:tcPr>
          <w:p w14:paraId="655896D1" w14:textId="77777777" w:rsidR="00E96623" w:rsidRDefault="00000000">
            <w:r>
              <w:rPr>
                <w:sz w:val="15"/>
              </w:rPr>
              <w:t>4.00%</w:t>
            </w:r>
          </w:p>
        </w:tc>
        <w:tc>
          <w:tcPr>
            <w:tcW w:w="1037" w:type="dxa"/>
            <w:shd w:val="clear" w:color="auto" w:fill="FFFFFF"/>
            <w:tcMar>
              <w:top w:w="80" w:type="dxa"/>
              <w:left w:w="80" w:type="dxa"/>
              <w:bottom w:w="80" w:type="dxa"/>
              <w:right w:w="80" w:type="dxa"/>
            </w:tcMar>
            <w:vAlign w:val="center"/>
          </w:tcPr>
          <w:p w14:paraId="129EAE1D" w14:textId="77777777" w:rsidR="00E96623" w:rsidRDefault="00000000">
            <w:r>
              <w:rPr>
                <w:sz w:val="15"/>
              </w:rPr>
              <w:t>3.99%</w:t>
            </w:r>
          </w:p>
        </w:tc>
        <w:tc>
          <w:tcPr>
            <w:tcW w:w="1037" w:type="dxa"/>
            <w:shd w:val="clear" w:color="auto" w:fill="FFFFFF"/>
            <w:tcMar>
              <w:top w:w="80" w:type="dxa"/>
              <w:left w:w="80" w:type="dxa"/>
              <w:bottom w:w="80" w:type="dxa"/>
              <w:right w:w="80" w:type="dxa"/>
            </w:tcMar>
            <w:vAlign w:val="center"/>
          </w:tcPr>
          <w:p w14:paraId="6C8A4E5F" w14:textId="77777777" w:rsidR="00E96623" w:rsidRDefault="00000000">
            <w:r>
              <w:rPr>
                <w:sz w:val="15"/>
              </w:rPr>
              <w:t>3.97%</w:t>
            </w:r>
          </w:p>
        </w:tc>
        <w:tc>
          <w:tcPr>
            <w:tcW w:w="1296" w:type="dxa"/>
            <w:shd w:val="clear" w:color="auto" w:fill="FFFFFF"/>
            <w:tcMar>
              <w:top w:w="80" w:type="dxa"/>
              <w:left w:w="80" w:type="dxa"/>
              <w:bottom w:w="80" w:type="dxa"/>
              <w:right w:w="80" w:type="dxa"/>
            </w:tcMar>
            <w:vAlign w:val="center"/>
          </w:tcPr>
          <w:p w14:paraId="10ED896D" w14:textId="77777777" w:rsidR="00E96623" w:rsidRDefault="00000000">
            <w:r>
              <w:rPr>
                <w:sz w:val="15"/>
              </w:rPr>
              <w:t>0.629</w:t>
            </w:r>
          </w:p>
        </w:tc>
        <w:tc>
          <w:tcPr>
            <w:tcW w:w="1296" w:type="dxa"/>
            <w:shd w:val="clear" w:color="auto" w:fill="FFFFFF"/>
            <w:tcMar>
              <w:top w:w="80" w:type="dxa"/>
              <w:left w:w="80" w:type="dxa"/>
              <w:bottom w:w="80" w:type="dxa"/>
              <w:right w:w="80" w:type="dxa"/>
            </w:tcMar>
            <w:vAlign w:val="center"/>
          </w:tcPr>
          <w:p w14:paraId="03BDD845" w14:textId="77777777" w:rsidR="00E96623" w:rsidRDefault="00000000">
            <w:r>
              <w:rPr>
                <w:sz w:val="15"/>
              </w:rPr>
              <w:t>-12.85%</w:t>
            </w:r>
          </w:p>
        </w:tc>
      </w:tr>
      <w:tr w:rsidR="00E96623" w14:paraId="513E7AE1" w14:textId="77777777">
        <w:trPr>
          <w:jc w:val="center"/>
        </w:trPr>
        <w:tc>
          <w:tcPr>
            <w:tcW w:w="2592" w:type="dxa"/>
            <w:shd w:val="clear" w:color="auto" w:fill="F2F4F7"/>
            <w:tcMar>
              <w:top w:w="80" w:type="dxa"/>
              <w:left w:w="80" w:type="dxa"/>
              <w:bottom w:w="80" w:type="dxa"/>
              <w:right w:w="80" w:type="dxa"/>
            </w:tcMar>
            <w:vAlign w:val="center"/>
          </w:tcPr>
          <w:p w14:paraId="1B94A1ED" w14:textId="77777777" w:rsidR="00E96623" w:rsidRDefault="00000000">
            <w:r>
              <w:rPr>
                <w:b/>
                <w:sz w:val="15"/>
              </w:rPr>
              <w:t>Regime-sensitive</w:t>
            </w:r>
          </w:p>
        </w:tc>
        <w:tc>
          <w:tcPr>
            <w:tcW w:w="1037" w:type="dxa"/>
            <w:shd w:val="clear" w:color="auto" w:fill="F2F4F7"/>
            <w:tcMar>
              <w:top w:w="80" w:type="dxa"/>
              <w:left w:w="80" w:type="dxa"/>
              <w:bottom w:w="80" w:type="dxa"/>
              <w:right w:w="80" w:type="dxa"/>
            </w:tcMar>
            <w:vAlign w:val="center"/>
          </w:tcPr>
          <w:p w14:paraId="3014B58C" w14:textId="77777777" w:rsidR="00E96623" w:rsidRDefault="00000000">
            <w:r>
              <w:rPr>
                <w:sz w:val="15"/>
              </w:rPr>
              <w:t>6.85%</w:t>
            </w:r>
          </w:p>
        </w:tc>
        <w:tc>
          <w:tcPr>
            <w:tcW w:w="1037" w:type="dxa"/>
            <w:shd w:val="clear" w:color="auto" w:fill="F2F4F7"/>
            <w:tcMar>
              <w:top w:w="80" w:type="dxa"/>
              <w:left w:w="80" w:type="dxa"/>
              <w:bottom w:w="80" w:type="dxa"/>
              <w:right w:w="80" w:type="dxa"/>
            </w:tcMar>
            <w:vAlign w:val="center"/>
          </w:tcPr>
          <w:p w14:paraId="25859B65" w14:textId="77777777" w:rsidR="00E96623" w:rsidRDefault="00000000">
            <w:r>
              <w:rPr>
                <w:sz w:val="15"/>
              </w:rPr>
              <w:t>6.80%</w:t>
            </w:r>
          </w:p>
        </w:tc>
        <w:tc>
          <w:tcPr>
            <w:tcW w:w="1037" w:type="dxa"/>
            <w:shd w:val="clear" w:color="auto" w:fill="F2F4F7"/>
            <w:tcMar>
              <w:top w:w="80" w:type="dxa"/>
              <w:left w:w="80" w:type="dxa"/>
              <w:bottom w:w="80" w:type="dxa"/>
              <w:right w:w="80" w:type="dxa"/>
            </w:tcMar>
            <w:vAlign w:val="center"/>
          </w:tcPr>
          <w:p w14:paraId="11A73BE0" w14:textId="77777777" w:rsidR="00E96623" w:rsidRDefault="00000000">
            <w:r>
              <w:rPr>
                <w:sz w:val="15"/>
              </w:rPr>
              <w:t>6.73%</w:t>
            </w:r>
          </w:p>
        </w:tc>
        <w:tc>
          <w:tcPr>
            <w:tcW w:w="1296" w:type="dxa"/>
            <w:shd w:val="clear" w:color="auto" w:fill="F2F4F7"/>
            <w:tcMar>
              <w:top w:w="80" w:type="dxa"/>
              <w:left w:w="80" w:type="dxa"/>
              <w:bottom w:w="80" w:type="dxa"/>
              <w:right w:w="80" w:type="dxa"/>
            </w:tcMar>
            <w:vAlign w:val="center"/>
          </w:tcPr>
          <w:p w14:paraId="57B0AD1B" w14:textId="77777777" w:rsidR="00E96623" w:rsidRDefault="00000000">
            <w:r>
              <w:rPr>
                <w:sz w:val="15"/>
              </w:rPr>
              <w:t>0.676</w:t>
            </w:r>
          </w:p>
        </w:tc>
        <w:tc>
          <w:tcPr>
            <w:tcW w:w="1296" w:type="dxa"/>
            <w:shd w:val="clear" w:color="auto" w:fill="F2F4F7"/>
            <w:tcMar>
              <w:top w:w="80" w:type="dxa"/>
              <w:left w:w="80" w:type="dxa"/>
              <w:bottom w:w="80" w:type="dxa"/>
              <w:right w:w="80" w:type="dxa"/>
            </w:tcMar>
            <w:vAlign w:val="center"/>
          </w:tcPr>
          <w:p w14:paraId="2FEDCF82" w14:textId="77777777" w:rsidR="00E96623" w:rsidRDefault="00000000">
            <w:r>
              <w:rPr>
                <w:sz w:val="15"/>
              </w:rPr>
              <w:t>-17.49%</w:t>
            </w:r>
          </w:p>
        </w:tc>
      </w:tr>
    </w:tbl>
    <w:p w14:paraId="64FCDC9B" w14:textId="77777777" w:rsidR="00E96623" w:rsidRDefault="00000000">
      <w:pPr>
        <w:pStyle w:val="Heading2"/>
      </w:pPr>
      <w:r>
        <w:t>6.5 Mean-Variance Robustness</w:t>
      </w:r>
    </w:p>
    <w:p w14:paraId="53A82277" w14:textId="77777777" w:rsidR="00E96623" w:rsidRDefault="00000000">
      <w:pPr>
        <w:pStyle w:val="BodyText"/>
      </w:pPr>
      <w:r>
        <w:t>For a common January 2015-December 2025 test window, the maximum-Sharpe result remained broadly stable across alternative estimation windows, rebalancing frequencies, and a stricter asset cap. The range of maximum drawdowns was 11.41 to 13.80 percent.</w:t>
      </w:r>
    </w:p>
    <w:p w14:paraId="743F083E" w14:textId="77777777" w:rsidR="00E96623" w:rsidRDefault="00000000">
      <w:r>
        <w:t>Table 13. Mean-variance parameter robustness, 2015-2025</w:t>
      </w:r>
    </w:p>
    <w:tbl>
      <w:tblPr>
        <w:tblW w:w="0" w:type="auto"/>
        <w:jc w:val="center"/>
        <w:tblLook w:val="04A0" w:firstRow="1" w:lastRow="0" w:firstColumn="1" w:lastColumn="0" w:noHBand="0" w:noVBand="1"/>
      </w:tblPr>
      <w:tblGrid>
        <w:gridCol w:w="2664"/>
        <w:gridCol w:w="1037"/>
        <w:gridCol w:w="1037"/>
        <w:gridCol w:w="1008"/>
        <w:gridCol w:w="1123"/>
        <w:gridCol w:w="1123"/>
        <w:gridCol w:w="1152"/>
      </w:tblGrid>
      <w:tr w:rsidR="00E96623" w14:paraId="7DAF891F" w14:textId="77777777">
        <w:trPr>
          <w:tblHeader/>
          <w:jc w:val="center"/>
        </w:trPr>
        <w:tc>
          <w:tcPr>
            <w:tcW w:w="2664" w:type="dxa"/>
            <w:shd w:val="clear" w:color="auto" w:fill="0B1F3A"/>
            <w:tcMar>
              <w:top w:w="80" w:type="dxa"/>
              <w:left w:w="80" w:type="dxa"/>
              <w:bottom w:w="80" w:type="dxa"/>
              <w:right w:w="80" w:type="dxa"/>
            </w:tcMar>
            <w:vAlign w:val="center"/>
          </w:tcPr>
          <w:p w14:paraId="312C2AA2" w14:textId="77777777" w:rsidR="00E96623" w:rsidRDefault="00000000">
            <w:r>
              <w:rPr>
                <w:b/>
                <w:color w:val="FFFFFF"/>
                <w:sz w:val="15"/>
              </w:rPr>
              <w:t>Variant</w:t>
            </w:r>
          </w:p>
        </w:tc>
        <w:tc>
          <w:tcPr>
            <w:tcW w:w="1037" w:type="dxa"/>
            <w:shd w:val="clear" w:color="auto" w:fill="0B1F3A"/>
            <w:tcMar>
              <w:top w:w="80" w:type="dxa"/>
              <w:left w:w="80" w:type="dxa"/>
              <w:bottom w:w="80" w:type="dxa"/>
              <w:right w:w="80" w:type="dxa"/>
            </w:tcMar>
            <w:vAlign w:val="center"/>
          </w:tcPr>
          <w:p w14:paraId="066C694A" w14:textId="77777777" w:rsidR="00E96623" w:rsidRDefault="00000000">
            <w:r>
              <w:rPr>
                <w:b/>
                <w:color w:val="FFFFFF"/>
                <w:sz w:val="15"/>
              </w:rPr>
              <w:t>CAGR</w:t>
            </w:r>
          </w:p>
        </w:tc>
        <w:tc>
          <w:tcPr>
            <w:tcW w:w="1037" w:type="dxa"/>
            <w:shd w:val="clear" w:color="auto" w:fill="0B1F3A"/>
            <w:tcMar>
              <w:top w:w="80" w:type="dxa"/>
              <w:left w:w="80" w:type="dxa"/>
              <w:bottom w:w="80" w:type="dxa"/>
              <w:right w:w="80" w:type="dxa"/>
            </w:tcMar>
            <w:vAlign w:val="center"/>
          </w:tcPr>
          <w:p w14:paraId="080FE698" w14:textId="77777777" w:rsidR="00E96623" w:rsidRDefault="00000000">
            <w:r>
              <w:rPr>
                <w:b/>
                <w:color w:val="FFFFFF"/>
                <w:sz w:val="15"/>
              </w:rPr>
              <w:t>Vol.</w:t>
            </w:r>
          </w:p>
        </w:tc>
        <w:tc>
          <w:tcPr>
            <w:tcW w:w="1008" w:type="dxa"/>
            <w:shd w:val="clear" w:color="auto" w:fill="0B1F3A"/>
            <w:tcMar>
              <w:top w:w="80" w:type="dxa"/>
              <w:left w:w="80" w:type="dxa"/>
              <w:bottom w:w="80" w:type="dxa"/>
              <w:right w:w="80" w:type="dxa"/>
            </w:tcMar>
            <w:vAlign w:val="center"/>
          </w:tcPr>
          <w:p w14:paraId="650E1D39" w14:textId="77777777" w:rsidR="00E96623" w:rsidRDefault="00000000">
            <w:r>
              <w:rPr>
                <w:b/>
                <w:color w:val="FFFFFF"/>
                <w:sz w:val="15"/>
              </w:rPr>
              <w:t>Sharpe</w:t>
            </w:r>
          </w:p>
        </w:tc>
        <w:tc>
          <w:tcPr>
            <w:tcW w:w="1123" w:type="dxa"/>
            <w:shd w:val="clear" w:color="auto" w:fill="0B1F3A"/>
            <w:tcMar>
              <w:top w:w="80" w:type="dxa"/>
              <w:left w:w="80" w:type="dxa"/>
              <w:bottom w:w="80" w:type="dxa"/>
              <w:right w:w="80" w:type="dxa"/>
            </w:tcMar>
            <w:vAlign w:val="center"/>
          </w:tcPr>
          <w:p w14:paraId="698402E6" w14:textId="77777777" w:rsidR="00E96623" w:rsidRDefault="00000000">
            <w:r>
              <w:rPr>
                <w:b/>
                <w:color w:val="FFFFFF"/>
                <w:sz w:val="15"/>
              </w:rPr>
              <w:t>Max DD</w:t>
            </w:r>
          </w:p>
        </w:tc>
        <w:tc>
          <w:tcPr>
            <w:tcW w:w="1123" w:type="dxa"/>
            <w:shd w:val="clear" w:color="auto" w:fill="0B1F3A"/>
            <w:tcMar>
              <w:top w:w="80" w:type="dxa"/>
              <w:left w:w="80" w:type="dxa"/>
              <w:bottom w:w="80" w:type="dxa"/>
              <w:right w:w="80" w:type="dxa"/>
            </w:tcMar>
            <w:vAlign w:val="center"/>
          </w:tcPr>
          <w:p w14:paraId="087020AD" w14:textId="77777777" w:rsidR="00E96623" w:rsidRDefault="00000000">
            <w:r>
              <w:rPr>
                <w:b/>
                <w:color w:val="FFFFFF"/>
                <w:sz w:val="15"/>
              </w:rPr>
              <w:t>95% CVaR</w:t>
            </w:r>
          </w:p>
        </w:tc>
        <w:tc>
          <w:tcPr>
            <w:tcW w:w="1152" w:type="dxa"/>
            <w:shd w:val="clear" w:color="auto" w:fill="0B1F3A"/>
            <w:tcMar>
              <w:top w:w="80" w:type="dxa"/>
              <w:left w:w="80" w:type="dxa"/>
              <w:bottom w:w="80" w:type="dxa"/>
              <w:right w:w="80" w:type="dxa"/>
            </w:tcMar>
            <w:vAlign w:val="center"/>
          </w:tcPr>
          <w:p w14:paraId="50A24EA2" w14:textId="77777777" w:rsidR="00E96623" w:rsidRDefault="00000000">
            <w:r>
              <w:rPr>
                <w:b/>
                <w:color w:val="FFFFFF"/>
                <w:sz w:val="15"/>
              </w:rPr>
              <w:t>Turnover</w:t>
            </w:r>
          </w:p>
        </w:tc>
      </w:tr>
      <w:tr w:rsidR="00E96623" w14:paraId="21579429" w14:textId="77777777">
        <w:trPr>
          <w:jc w:val="center"/>
        </w:trPr>
        <w:tc>
          <w:tcPr>
            <w:tcW w:w="2664" w:type="dxa"/>
            <w:shd w:val="clear" w:color="auto" w:fill="FFFFFF"/>
            <w:tcMar>
              <w:top w:w="80" w:type="dxa"/>
              <w:left w:w="80" w:type="dxa"/>
              <w:bottom w:w="80" w:type="dxa"/>
              <w:right w:w="80" w:type="dxa"/>
            </w:tcMar>
            <w:vAlign w:val="center"/>
          </w:tcPr>
          <w:p w14:paraId="522C5628" w14:textId="77777777" w:rsidR="00E96623" w:rsidRDefault="00000000">
            <w:r>
              <w:rPr>
                <w:b/>
                <w:sz w:val="15"/>
              </w:rPr>
              <w:t>36-month lookback</w:t>
            </w:r>
          </w:p>
        </w:tc>
        <w:tc>
          <w:tcPr>
            <w:tcW w:w="1037" w:type="dxa"/>
            <w:shd w:val="clear" w:color="auto" w:fill="FFFFFF"/>
            <w:tcMar>
              <w:top w:w="80" w:type="dxa"/>
              <w:left w:w="80" w:type="dxa"/>
              <w:bottom w:w="80" w:type="dxa"/>
              <w:right w:w="80" w:type="dxa"/>
            </w:tcMar>
            <w:vAlign w:val="center"/>
          </w:tcPr>
          <w:p w14:paraId="09F22BF4" w14:textId="77777777" w:rsidR="00E96623" w:rsidRDefault="00000000">
            <w:r>
              <w:rPr>
                <w:sz w:val="15"/>
              </w:rPr>
              <w:t>6.83%</w:t>
            </w:r>
          </w:p>
        </w:tc>
        <w:tc>
          <w:tcPr>
            <w:tcW w:w="1037" w:type="dxa"/>
            <w:shd w:val="clear" w:color="auto" w:fill="FFFFFF"/>
            <w:tcMar>
              <w:top w:w="80" w:type="dxa"/>
              <w:left w:w="80" w:type="dxa"/>
              <w:bottom w:w="80" w:type="dxa"/>
              <w:right w:w="80" w:type="dxa"/>
            </w:tcMar>
            <w:vAlign w:val="center"/>
          </w:tcPr>
          <w:p w14:paraId="2A8CE6F0" w14:textId="77777777" w:rsidR="00E96623" w:rsidRDefault="00000000">
            <w:r>
              <w:rPr>
                <w:sz w:val="15"/>
              </w:rPr>
              <w:t>5.66%</w:t>
            </w:r>
          </w:p>
        </w:tc>
        <w:tc>
          <w:tcPr>
            <w:tcW w:w="1008" w:type="dxa"/>
            <w:shd w:val="clear" w:color="auto" w:fill="FFFFFF"/>
            <w:tcMar>
              <w:top w:w="80" w:type="dxa"/>
              <w:left w:w="80" w:type="dxa"/>
              <w:bottom w:w="80" w:type="dxa"/>
              <w:right w:w="80" w:type="dxa"/>
            </w:tcMar>
            <w:vAlign w:val="center"/>
          </w:tcPr>
          <w:p w14:paraId="7A8460F9" w14:textId="77777777" w:rsidR="00E96623" w:rsidRDefault="00000000">
            <w:r>
              <w:rPr>
                <w:sz w:val="15"/>
              </w:rPr>
              <w:t>0.899</w:t>
            </w:r>
          </w:p>
        </w:tc>
        <w:tc>
          <w:tcPr>
            <w:tcW w:w="1123" w:type="dxa"/>
            <w:shd w:val="clear" w:color="auto" w:fill="FFFFFF"/>
            <w:tcMar>
              <w:top w:w="80" w:type="dxa"/>
              <w:left w:w="80" w:type="dxa"/>
              <w:bottom w:w="80" w:type="dxa"/>
              <w:right w:w="80" w:type="dxa"/>
            </w:tcMar>
            <w:vAlign w:val="center"/>
          </w:tcPr>
          <w:p w14:paraId="43891DDA" w14:textId="77777777" w:rsidR="00E96623" w:rsidRDefault="00000000">
            <w:r>
              <w:rPr>
                <w:sz w:val="15"/>
              </w:rPr>
              <w:t>-12.48%</w:t>
            </w:r>
          </w:p>
        </w:tc>
        <w:tc>
          <w:tcPr>
            <w:tcW w:w="1123" w:type="dxa"/>
            <w:shd w:val="clear" w:color="auto" w:fill="FFFFFF"/>
            <w:tcMar>
              <w:top w:w="80" w:type="dxa"/>
              <w:left w:w="80" w:type="dxa"/>
              <w:bottom w:w="80" w:type="dxa"/>
              <w:right w:w="80" w:type="dxa"/>
            </w:tcMar>
            <w:vAlign w:val="center"/>
          </w:tcPr>
          <w:p w14:paraId="7E4B1586" w14:textId="77777777" w:rsidR="00E96623" w:rsidRDefault="00000000">
            <w:r>
              <w:rPr>
                <w:sz w:val="15"/>
              </w:rPr>
              <w:t>2.84%</w:t>
            </w:r>
          </w:p>
        </w:tc>
        <w:tc>
          <w:tcPr>
            <w:tcW w:w="1152" w:type="dxa"/>
            <w:shd w:val="clear" w:color="auto" w:fill="FFFFFF"/>
            <w:tcMar>
              <w:top w:w="80" w:type="dxa"/>
              <w:left w:w="80" w:type="dxa"/>
              <w:bottom w:w="80" w:type="dxa"/>
              <w:right w:w="80" w:type="dxa"/>
            </w:tcMar>
            <w:vAlign w:val="center"/>
          </w:tcPr>
          <w:p w14:paraId="2185B403" w14:textId="77777777" w:rsidR="00E96623" w:rsidRDefault="00000000">
            <w:r>
              <w:rPr>
                <w:sz w:val="15"/>
              </w:rPr>
              <w:t>38.11%</w:t>
            </w:r>
          </w:p>
        </w:tc>
      </w:tr>
      <w:tr w:rsidR="00E96623" w14:paraId="2CDF27BD" w14:textId="77777777">
        <w:trPr>
          <w:jc w:val="center"/>
        </w:trPr>
        <w:tc>
          <w:tcPr>
            <w:tcW w:w="2664" w:type="dxa"/>
            <w:shd w:val="clear" w:color="auto" w:fill="F2F4F7"/>
            <w:tcMar>
              <w:top w:w="80" w:type="dxa"/>
              <w:left w:w="80" w:type="dxa"/>
              <w:bottom w:w="80" w:type="dxa"/>
              <w:right w:w="80" w:type="dxa"/>
            </w:tcMar>
            <w:vAlign w:val="center"/>
          </w:tcPr>
          <w:p w14:paraId="37DB9DCB" w14:textId="77777777" w:rsidR="00E96623" w:rsidRDefault="00000000">
            <w:r>
              <w:rPr>
                <w:b/>
                <w:sz w:val="15"/>
              </w:rPr>
              <w:t>Main 60-month</w:t>
            </w:r>
          </w:p>
        </w:tc>
        <w:tc>
          <w:tcPr>
            <w:tcW w:w="1037" w:type="dxa"/>
            <w:shd w:val="clear" w:color="auto" w:fill="F2F4F7"/>
            <w:tcMar>
              <w:top w:w="80" w:type="dxa"/>
              <w:left w:w="80" w:type="dxa"/>
              <w:bottom w:w="80" w:type="dxa"/>
              <w:right w:w="80" w:type="dxa"/>
            </w:tcMar>
            <w:vAlign w:val="center"/>
          </w:tcPr>
          <w:p w14:paraId="7F4157B9" w14:textId="77777777" w:rsidR="00E96623" w:rsidRDefault="00000000">
            <w:r>
              <w:rPr>
                <w:sz w:val="15"/>
              </w:rPr>
              <w:t>7.30%</w:t>
            </w:r>
          </w:p>
        </w:tc>
        <w:tc>
          <w:tcPr>
            <w:tcW w:w="1037" w:type="dxa"/>
            <w:shd w:val="clear" w:color="auto" w:fill="F2F4F7"/>
            <w:tcMar>
              <w:top w:w="80" w:type="dxa"/>
              <w:left w:w="80" w:type="dxa"/>
              <w:bottom w:w="80" w:type="dxa"/>
              <w:right w:w="80" w:type="dxa"/>
            </w:tcMar>
            <w:vAlign w:val="center"/>
          </w:tcPr>
          <w:p w14:paraId="08CF5264" w14:textId="77777777" w:rsidR="00E96623" w:rsidRDefault="00000000">
            <w:r>
              <w:rPr>
                <w:sz w:val="15"/>
              </w:rPr>
              <w:t>5.19%</w:t>
            </w:r>
          </w:p>
        </w:tc>
        <w:tc>
          <w:tcPr>
            <w:tcW w:w="1008" w:type="dxa"/>
            <w:shd w:val="clear" w:color="auto" w:fill="F2F4F7"/>
            <w:tcMar>
              <w:top w:w="80" w:type="dxa"/>
              <w:left w:w="80" w:type="dxa"/>
              <w:bottom w:w="80" w:type="dxa"/>
              <w:right w:w="80" w:type="dxa"/>
            </w:tcMar>
            <w:vAlign w:val="center"/>
          </w:tcPr>
          <w:p w14:paraId="14987550" w14:textId="77777777" w:rsidR="00E96623" w:rsidRDefault="00000000">
            <w:r>
              <w:rPr>
                <w:sz w:val="15"/>
              </w:rPr>
              <w:t>1.067</w:t>
            </w:r>
          </w:p>
        </w:tc>
        <w:tc>
          <w:tcPr>
            <w:tcW w:w="1123" w:type="dxa"/>
            <w:shd w:val="clear" w:color="auto" w:fill="F2F4F7"/>
            <w:tcMar>
              <w:top w:w="80" w:type="dxa"/>
              <w:left w:w="80" w:type="dxa"/>
              <w:bottom w:w="80" w:type="dxa"/>
              <w:right w:w="80" w:type="dxa"/>
            </w:tcMar>
            <w:vAlign w:val="center"/>
          </w:tcPr>
          <w:p w14:paraId="37D92D45" w14:textId="77777777" w:rsidR="00E96623" w:rsidRDefault="00000000">
            <w:r>
              <w:rPr>
                <w:sz w:val="15"/>
              </w:rPr>
              <w:t>-12.16%</w:t>
            </w:r>
          </w:p>
        </w:tc>
        <w:tc>
          <w:tcPr>
            <w:tcW w:w="1123" w:type="dxa"/>
            <w:shd w:val="clear" w:color="auto" w:fill="F2F4F7"/>
            <w:tcMar>
              <w:top w:w="80" w:type="dxa"/>
              <w:left w:w="80" w:type="dxa"/>
              <w:bottom w:w="80" w:type="dxa"/>
              <w:right w:w="80" w:type="dxa"/>
            </w:tcMar>
            <w:vAlign w:val="center"/>
          </w:tcPr>
          <w:p w14:paraId="21AA742E" w14:textId="77777777" w:rsidR="00E96623" w:rsidRDefault="00000000">
            <w:r>
              <w:rPr>
                <w:sz w:val="15"/>
              </w:rPr>
              <w:t>2.76%</w:t>
            </w:r>
          </w:p>
        </w:tc>
        <w:tc>
          <w:tcPr>
            <w:tcW w:w="1152" w:type="dxa"/>
            <w:shd w:val="clear" w:color="auto" w:fill="F2F4F7"/>
            <w:tcMar>
              <w:top w:w="80" w:type="dxa"/>
              <w:left w:w="80" w:type="dxa"/>
              <w:bottom w:w="80" w:type="dxa"/>
              <w:right w:w="80" w:type="dxa"/>
            </w:tcMar>
            <w:vAlign w:val="center"/>
          </w:tcPr>
          <w:p w14:paraId="2337C076" w14:textId="77777777" w:rsidR="00E96623" w:rsidRDefault="00000000">
            <w:r>
              <w:rPr>
                <w:sz w:val="15"/>
              </w:rPr>
              <w:t>21.67%</w:t>
            </w:r>
          </w:p>
        </w:tc>
      </w:tr>
      <w:tr w:rsidR="00E96623" w14:paraId="5E123F36" w14:textId="77777777">
        <w:trPr>
          <w:jc w:val="center"/>
        </w:trPr>
        <w:tc>
          <w:tcPr>
            <w:tcW w:w="2664" w:type="dxa"/>
            <w:shd w:val="clear" w:color="auto" w:fill="FFFFFF"/>
            <w:tcMar>
              <w:top w:w="80" w:type="dxa"/>
              <w:left w:w="80" w:type="dxa"/>
              <w:bottom w:w="80" w:type="dxa"/>
              <w:right w:w="80" w:type="dxa"/>
            </w:tcMar>
            <w:vAlign w:val="center"/>
          </w:tcPr>
          <w:p w14:paraId="08045255" w14:textId="77777777" w:rsidR="00E96623" w:rsidRDefault="00000000">
            <w:r>
              <w:rPr>
                <w:b/>
                <w:sz w:val="15"/>
              </w:rPr>
              <w:t>84-month lookback</w:t>
            </w:r>
          </w:p>
        </w:tc>
        <w:tc>
          <w:tcPr>
            <w:tcW w:w="1037" w:type="dxa"/>
            <w:shd w:val="clear" w:color="auto" w:fill="FFFFFF"/>
            <w:tcMar>
              <w:top w:w="80" w:type="dxa"/>
              <w:left w:w="80" w:type="dxa"/>
              <w:bottom w:w="80" w:type="dxa"/>
              <w:right w:w="80" w:type="dxa"/>
            </w:tcMar>
            <w:vAlign w:val="center"/>
          </w:tcPr>
          <w:p w14:paraId="28D74419" w14:textId="77777777" w:rsidR="00E96623" w:rsidRDefault="00000000">
            <w:r>
              <w:rPr>
                <w:sz w:val="15"/>
              </w:rPr>
              <w:t>6.98%</w:t>
            </w:r>
          </w:p>
        </w:tc>
        <w:tc>
          <w:tcPr>
            <w:tcW w:w="1037" w:type="dxa"/>
            <w:shd w:val="clear" w:color="auto" w:fill="FFFFFF"/>
            <w:tcMar>
              <w:top w:w="80" w:type="dxa"/>
              <w:left w:w="80" w:type="dxa"/>
              <w:bottom w:w="80" w:type="dxa"/>
              <w:right w:w="80" w:type="dxa"/>
            </w:tcMar>
            <w:vAlign w:val="center"/>
          </w:tcPr>
          <w:p w14:paraId="655C35EB" w14:textId="77777777" w:rsidR="00E96623" w:rsidRDefault="00000000">
            <w:r>
              <w:rPr>
                <w:sz w:val="15"/>
              </w:rPr>
              <w:t>5.33%</w:t>
            </w:r>
          </w:p>
        </w:tc>
        <w:tc>
          <w:tcPr>
            <w:tcW w:w="1008" w:type="dxa"/>
            <w:shd w:val="clear" w:color="auto" w:fill="FFFFFF"/>
            <w:tcMar>
              <w:top w:w="80" w:type="dxa"/>
              <w:left w:w="80" w:type="dxa"/>
              <w:bottom w:w="80" w:type="dxa"/>
              <w:right w:w="80" w:type="dxa"/>
            </w:tcMar>
            <w:vAlign w:val="center"/>
          </w:tcPr>
          <w:p w14:paraId="1D8D531D" w14:textId="77777777" w:rsidR="00E96623" w:rsidRDefault="00000000">
            <w:r>
              <w:rPr>
                <w:sz w:val="15"/>
              </w:rPr>
              <w:t>0.981</w:t>
            </w:r>
          </w:p>
        </w:tc>
        <w:tc>
          <w:tcPr>
            <w:tcW w:w="1123" w:type="dxa"/>
            <w:shd w:val="clear" w:color="auto" w:fill="FFFFFF"/>
            <w:tcMar>
              <w:top w:w="80" w:type="dxa"/>
              <w:left w:w="80" w:type="dxa"/>
              <w:bottom w:w="80" w:type="dxa"/>
              <w:right w:w="80" w:type="dxa"/>
            </w:tcMar>
            <w:vAlign w:val="center"/>
          </w:tcPr>
          <w:p w14:paraId="51BA31BD" w14:textId="77777777" w:rsidR="00E96623" w:rsidRDefault="00000000">
            <w:r>
              <w:rPr>
                <w:sz w:val="15"/>
              </w:rPr>
              <w:t>-12.35%</w:t>
            </w:r>
          </w:p>
        </w:tc>
        <w:tc>
          <w:tcPr>
            <w:tcW w:w="1123" w:type="dxa"/>
            <w:shd w:val="clear" w:color="auto" w:fill="FFFFFF"/>
            <w:tcMar>
              <w:top w:w="80" w:type="dxa"/>
              <w:left w:w="80" w:type="dxa"/>
              <w:bottom w:w="80" w:type="dxa"/>
              <w:right w:w="80" w:type="dxa"/>
            </w:tcMar>
            <w:vAlign w:val="center"/>
          </w:tcPr>
          <w:p w14:paraId="6F12EDF5" w14:textId="77777777" w:rsidR="00E96623" w:rsidRDefault="00000000">
            <w:r>
              <w:rPr>
                <w:sz w:val="15"/>
              </w:rPr>
              <w:t>2.82%</w:t>
            </w:r>
          </w:p>
        </w:tc>
        <w:tc>
          <w:tcPr>
            <w:tcW w:w="1152" w:type="dxa"/>
            <w:shd w:val="clear" w:color="auto" w:fill="FFFFFF"/>
            <w:tcMar>
              <w:top w:w="80" w:type="dxa"/>
              <w:left w:w="80" w:type="dxa"/>
              <w:bottom w:w="80" w:type="dxa"/>
              <w:right w:w="80" w:type="dxa"/>
            </w:tcMar>
            <w:vAlign w:val="center"/>
          </w:tcPr>
          <w:p w14:paraId="443FC917" w14:textId="77777777" w:rsidR="00E96623" w:rsidRDefault="00000000">
            <w:r>
              <w:rPr>
                <w:sz w:val="15"/>
              </w:rPr>
              <w:t>17.30%</w:t>
            </w:r>
          </w:p>
        </w:tc>
      </w:tr>
      <w:tr w:rsidR="00E96623" w14:paraId="45C2D84C" w14:textId="77777777">
        <w:trPr>
          <w:jc w:val="center"/>
        </w:trPr>
        <w:tc>
          <w:tcPr>
            <w:tcW w:w="2664" w:type="dxa"/>
            <w:shd w:val="clear" w:color="auto" w:fill="F2F4F7"/>
            <w:tcMar>
              <w:top w:w="80" w:type="dxa"/>
              <w:left w:w="80" w:type="dxa"/>
              <w:bottom w:w="80" w:type="dxa"/>
              <w:right w:w="80" w:type="dxa"/>
            </w:tcMar>
            <w:vAlign w:val="center"/>
          </w:tcPr>
          <w:p w14:paraId="7D0FDBDF" w14:textId="77777777" w:rsidR="00E96623" w:rsidRDefault="00000000">
            <w:r>
              <w:rPr>
                <w:b/>
                <w:sz w:val="15"/>
              </w:rPr>
              <w:t>Monthly rebalance</w:t>
            </w:r>
          </w:p>
        </w:tc>
        <w:tc>
          <w:tcPr>
            <w:tcW w:w="1037" w:type="dxa"/>
            <w:shd w:val="clear" w:color="auto" w:fill="F2F4F7"/>
            <w:tcMar>
              <w:top w:w="80" w:type="dxa"/>
              <w:left w:w="80" w:type="dxa"/>
              <w:bottom w:w="80" w:type="dxa"/>
              <w:right w:w="80" w:type="dxa"/>
            </w:tcMar>
            <w:vAlign w:val="center"/>
          </w:tcPr>
          <w:p w14:paraId="6472F15F" w14:textId="77777777" w:rsidR="00E96623" w:rsidRDefault="00000000">
            <w:r>
              <w:rPr>
                <w:sz w:val="15"/>
              </w:rPr>
              <w:t>7.13%</w:t>
            </w:r>
          </w:p>
        </w:tc>
        <w:tc>
          <w:tcPr>
            <w:tcW w:w="1037" w:type="dxa"/>
            <w:shd w:val="clear" w:color="auto" w:fill="F2F4F7"/>
            <w:tcMar>
              <w:top w:w="80" w:type="dxa"/>
              <w:left w:w="80" w:type="dxa"/>
              <w:bottom w:w="80" w:type="dxa"/>
              <w:right w:w="80" w:type="dxa"/>
            </w:tcMar>
            <w:vAlign w:val="center"/>
          </w:tcPr>
          <w:p w14:paraId="28A2B0FD" w14:textId="77777777" w:rsidR="00E96623" w:rsidRDefault="00000000">
            <w:r>
              <w:rPr>
                <w:sz w:val="15"/>
              </w:rPr>
              <w:t>5.20%</w:t>
            </w:r>
          </w:p>
        </w:tc>
        <w:tc>
          <w:tcPr>
            <w:tcW w:w="1008" w:type="dxa"/>
            <w:shd w:val="clear" w:color="auto" w:fill="F2F4F7"/>
            <w:tcMar>
              <w:top w:w="80" w:type="dxa"/>
              <w:left w:w="80" w:type="dxa"/>
              <w:bottom w:w="80" w:type="dxa"/>
              <w:right w:w="80" w:type="dxa"/>
            </w:tcMar>
            <w:vAlign w:val="center"/>
          </w:tcPr>
          <w:p w14:paraId="046CADD5" w14:textId="77777777" w:rsidR="00E96623" w:rsidRDefault="00000000">
            <w:r>
              <w:rPr>
                <w:sz w:val="15"/>
              </w:rPr>
              <w:t>1.035</w:t>
            </w:r>
          </w:p>
        </w:tc>
        <w:tc>
          <w:tcPr>
            <w:tcW w:w="1123" w:type="dxa"/>
            <w:shd w:val="clear" w:color="auto" w:fill="F2F4F7"/>
            <w:tcMar>
              <w:top w:w="80" w:type="dxa"/>
              <w:left w:w="80" w:type="dxa"/>
              <w:bottom w:w="80" w:type="dxa"/>
              <w:right w:w="80" w:type="dxa"/>
            </w:tcMar>
            <w:vAlign w:val="center"/>
          </w:tcPr>
          <w:p w14:paraId="585588A3" w14:textId="77777777" w:rsidR="00E96623" w:rsidRDefault="00000000">
            <w:r>
              <w:rPr>
                <w:sz w:val="15"/>
              </w:rPr>
              <w:t>-13.80%</w:t>
            </w:r>
          </w:p>
        </w:tc>
        <w:tc>
          <w:tcPr>
            <w:tcW w:w="1123" w:type="dxa"/>
            <w:shd w:val="clear" w:color="auto" w:fill="F2F4F7"/>
            <w:tcMar>
              <w:top w:w="80" w:type="dxa"/>
              <w:left w:w="80" w:type="dxa"/>
              <w:bottom w:w="80" w:type="dxa"/>
              <w:right w:w="80" w:type="dxa"/>
            </w:tcMar>
            <w:vAlign w:val="center"/>
          </w:tcPr>
          <w:p w14:paraId="6467C142" w14:textId="77777777" w:rsidR="00E96623" w:rsidRDefault="00000000">
            <w:r>
              <w:rPr>
                <w:sz w:val="15"/>
              </w:rPr>
              <w:t>2.94%</w:t>
            </w:r>
          </w:p>
        </w:tc>
        <w:tc>
          <w:tcPr>
            <w:tcW w:w="1152" w:type="dxa"/>
            <w:shd w:val="clear" w:color="auto" w:fill="F2F4F7"/>
            <w:tcMar>
              <w:top w:w="80" w:type="dxa"/>
              <w:left w:w="80" w:type="dxa"/>
              <w:bottom w:w="80" w:type="dxa"/>
              <w:right w:w="80" w:type="dxa"/>
            </w:tcMar>
            <w:vAlign w:val="center"/>
          </w:tcPr>
          <w:p w14:paraId="7B6DFE54" w14:textId="77777777" w:rsidR="00E96623" w:rsidRDefault="00000000">
            <w:r>
              <w:rPr>
                <w:sz w:val="15"/>
              </w:rPr>
              <w:t>37.11%</w:t>
            </w:r>
          </w:p>
        </w:tc>
      </w:tr>
      <w:tr w:rsidR="00E96623" w14:paraId="1E61DE13" w14:textId="77777777">
        <w:trPr>
          <w:jc w:val="center"/>
        </w:trPr>
        <w:tc>
          <w:tcPr>
            <w:tcW w:w="2664" w:type="dxa"/>
            <w:shd w:val="clear" w:color="auto" w:fill="FFFFFF"/>
            <w:tcMar>
              <w:top w:w="80" w:type="dxa"/>
              <w:left w:w="80" w:type="dxa"/>
              <w:bottom w:w="80" w:type="dxa"/>
              <w:right w:w="80" w:type="dxa"/>
            </w:tcMar>
            <w:vAlign w:val="center"/>
          </w:tcPr>
          <w:p w14:paraId="5EF0B825" w14:textId="77777777" w:rsidR="00E96623" w:rsidRDefault="00000000">
            <w:r>
              <w:rPr>
                <w:b/>
                <w:sz w:val="15"/>
              </w:rPr>
              <w:t>Semiannual rebalance</w:t>
            </w:r>
          </w:p>
        </w:tc>
        <w:tc>
          <w:tcPr>
            <w:tcW w:w="1037" w:type="dxa"/>
            <w:shd w:val="clear" w:color="auto" w:fill="FFFFFF"/>
            <w:tcMar>
              <w:top w:w="80" w:type="dxa"/>
              <w:left w:w="80" w:type="dxa"/>
              <w:bottom w:w="80" w:type="dxa"/>
              <w:right w:w="80" w:type="dxa"/>
            </w:tcMar>
            <w:vAlign w:val="center"/>
          </w:tcPr>
          <w:p w14:paraId="53D549CB" w14:textId="77777777" w:rsidR="00E96623" w:rsidRDefault="00000000">
            <w:r>
              <w:rPr>
                <w:sz w:val="15"/>
              </w:rPr>
              <w:t>7.41%</w:t>
            </w:r>
          </w:p>
        </w:tc>
        <w:tc>
          <w:tcPr>
            <w:tcW w:w="1037" w:type="dxa"/>
            <w:shd w:val="clear" w:color="auto" w:fill="FFFFFF"/>
            <w:tcMar>
              <w:top w:w="80" w:type="dxa"/>
              <w:left w:w="80" w:type="dxa"/>
              <w:bottom w:w="80" w:type="dxa"/>
              <w:right w:w="80" w:type="dxa"/>
            </w:tcMar>
            <w:vAlign w:val="center"/>
          </w:tcPr>
          <w:p w14:paraId="387CCF3B" w14:textId="77777777" w:rsidR="00E96623" w:rsidRDefault="00000000">
            <w:r>
              <w:rPr>
                <w:sz w:val="15"/>
              </w:rPr>
              <w:t>5.16%</w:t>
            </w:r>
          </w:p>
        </w:tc>
        <w:tc>
          <w:tcPr>
            <w:tcW w:w="1008" w:type="dxa"/>
            <w:shd w:val="clear" w:color="auto" w:fill="FFFFFF"/>
            <w:tcMar>
              <w:top w:w="80" w:type="dxa"/>
              <w:left w:w="80" w:type="dxa"/>
              <w:bottom w:w="80" w:type="dxa"/>
              <w:right w:w="80" w:type="dxa"/>
            </w:tcMar>
            <w:vAlign w:val="center"/>
          </w:tcPr>
          <w:p w14:paraId="2726E626" w14:textId="77777777" w:rsidR="00E96623" w:rsidRDefault="00000000">
            <w:r>
              <w:rPr>
                <w:sz w:val="15"/>
              </w:rPr>
              <w:t>1.092</w:t>
            </w:r>
          </w:p>
        </w:tc>
        <w:tc>
          <w:tcPr>
            <w:tcW w:w="1123" w:type="dxa"/>
            <w:shd w:val="clear" w:color="auto" w:fill="FFFFFF"/>
            <w:tcMar>
              <w:top w:w="80" w:type="dxa"/>
              <w:left w:w="80" w:type="dxa"/>
              <w:bottom w:w="80" w:type="dxa"/>
              <w:right w:w="80" w:type="dxa"/>
            </w:tcMar>
            <w:vAlign w:val="center"/>
          </w:tcPr>
          <w:p w14:paraId="1A57FFDF" w14:textId="77777777" w:rsidR="00E96623" w:rsidRDefault="00000000">
            <w:r>
              <w:rPr>
                <w:sz w:val="15"/>
              </w:rPr>
              <w:t>-11.41%</w:t>
            </w:r>
          </w:p>
        </w:tc>
        <w:tc>
          <w:tcPr>
            <w:tcW w:w="1123" w:type="dxa"/>
            <w:shd w:val="clear" w:color="auto" w:fill="FFFFFF"/>
            <w:tcMar>
              <w:top w:w="80" w:type="dxa"/>
              <w:left w:w="80" w:type="dxa"/>
              <w:bottom w:w="80" w:type="dxa"/>
              <w:right w:w="80" w:type="dxa"/>
            </w:tcMar>
            <w:vAlign w:val="center"/>
          </w:tcPr>
          <w:p w14:paraId="3CFFCD1A" w14:textId="77777777" w:rsidR="00E96623" w:rsidRDefault="00000000">
            <w:r>
              <w:rPr>
                <w:sz w:val="15"/>
              </w:rPr>
              <w:t>2.67%</w:t>
            </w:r>
          </w:p>
        </w:tc>
        <w:tc>
          <w:tcPr>
            <w:tcW w:w="1152" w:type="dxa"/>
            <w:shd w:val="clear" w:color="auto" w:fill="FFFFFF"/>
            <w:tcMar>
              <w:top w:w="80" w:type="dxa"/>
              <w:left w:w="80" w:type="dxa"/>
              <w:bottom w:w="80" w:type="dxa"/>
              <w:right w:w="80" w:type="dxa"/>
            </w:tcMar>
            <w:vAlign w:val="center"/>
          </w:tcPr>
          <w:p w14:paraId="3C6C3609" w14:textId="77777777" w:rsidR="00E96623" w:rsidRDefault="00000000">
            <w:r>
              <w:rPr>
                <w:sz w:val="15"/>
              </w:rPr>
              <w:t>14.78%</w:t>
            </w:r>
          </w:p>
        </w:tc>
      </w:tr>
      <w:tr w:rsidR="00E96623" w14:paraId="2625E94D" w14:textId="77777777">
        <w:trPr>
          <w:jc w:val="center"/>
        </w:trPr>
        <w:tc>
          <w:tcPr>
            <w:tcW w:w="2664" w:type="dxa"/>
            <w:shd w:val="clear" w:color="auto" w:fill="F2F4F7"/>
            <w:tcMar>
              <w:top w:w="80" w:type="dxa"/>
              <w:left w:w="80" w:type="dxa"/>
              <w:bottom w:w="80" w:type="dxa"/>
              <w:right w:w="80" w:type="dxa"/>
            </w:tcMar>
            <w:vAlign w:val="center"/>
          </w:tcPr>
          <w:p w14:paraId="2B913A79" w14:textId="77777777" w:rsidR="00E96623" w:rsidRDefault="00000000">
            <w:r>
              <w:rPr>
                <w:b/>
                <w:sz w:val="15"/>
              </w:rPr>
              <w:t>30% asset cap</w:t>
            </w:r>
          </w:p>
        </w:tc>
        <w:tc>
          <w:tcPr>
            <w:tcW w:w="1037" w:type="dxa"/>
            <w:shd w:val="clear" w:color="auto" w:fill="F2F4F7"/>
            <w:tcMar>
              <w:top w:w="80" w:type="dxa"/>
              <w:left w:w="80" w:type="dxa"/>
              <w:bottom w:w="80" w:type="dxa"/>
              <w:right w:w="80" w:type="dxa"/>
            </w:tcMar>
            <w:vAlign w:val="center"/>
          </w:tcPr>
          <w:p w14:paraId="7D7CF6F1" w14:textId="77777777" w:rsidR="00E96623" w:rsidRDefault="00000000">
            <w:r>
              <w:rPr>
                <w:sz w:val="15"/>
              </w:rPr>
              <w:t>7.75%</w:t>
            </w:r>
          </w:p>
        </w:tc>
        <w:tc>
          <w:tcPr>
            <w:tcW w:w="1037" w:type="dxa"/>
            <w:shd w:val="clear" w:color="auto" w:fill="F2F4F7"/>
            <w:tcMar>
              <w:top w:w="80" w:type="dxa"/>
              <w:left w:w="80" w:type="dxa"/>
              <w:bottom w:w="80" w:type="dxa"/>
              <w:right w:w="80" w:type="dxa"/>
            </w:tcMar>
            <w:vAlign w:val="center"/>
          </w:tcPr>
          <w:p w14:paraId="3E1A643A" w14:textId="77777777" w:rsidR="00E96623" w:rsidRDefault="00000000">
            <w:r>
              <w:rPr>
                <w:sz w:val="15"/>
              </w:rPr>
              <w:t>5.69%</w:t>
            </w:r>
          </w:p>
        </w:tc>
        <w:tc>
          <w:tcPr>
            <w:tcW w:w="1008" w:type="dxa"/>
            <w:shd w:val="clear" w:color="auto" w:fill="F2F4F7"/>
            <w:tcMar>
              <w:top w:w="80" w:type="dxa"/>
              <w:left w:w="80" w:type="dxa"/>
              <w:bottom w:w="80" w:type="dxa"/>
              <w:right w:w="80" w:type="dxa"/>
            </w:tcMar>
            <w:vAlign w:val="center"/>
          </w:tcPr>
          <w:p w14:paraId="1583D579" w14:textId="77777777" w:rsidR="00E96623" w:rsidRDefault="00000000">
            <w:r>
              <w:rPr>
                <w:sz w:val="15"/>
              </w:rPr>
              <w:t>1.045</w:t>
            </w:r>
          </w:p>
        </w:tc>
        <w:tc>
          <w:tcPr>
            <w:tcW w:w="1123" w:type="dxa"/>
            <w:shd w:val="clear" w:color="auto" w:fill="F2F4F7"/>
            <w:tcMar>
              <w:top w:w="80" w:type="dxa"/>
              <w:left w:w="80" w:type="dxa"/>
              <w:bottom w:w="80" w:type="dxa"/>
              <w:right w:w="80" w:type="dxa"/>
            </w:tcMar>
            <w:vAlign w:val="center"/>
          </w:tcPr>
          <w:p w14:paraId="7DA1329C" w14:textId="77777777" w:rsidR="00E96623" w:rsidRDefault="00000000">
            <w:r>
              <w:rPr>
                <w:sz w:val="15"/>
              </w:rPr>
              <w:t>-13.02%</w:t>
            </w:r>
          </w:p>
        </w:tc>
        <w:tc>
          <w:tcPr>
            <w:tcW w:w="1123" w:type="dxa"/>
            <w:shd w:val="clear" w:color="auto" w:fill="F2F4F7"/>
            <w:tcMar>
              <w:top w:w="80" w:type="dxa"/>
              <w:left w:w="80" w:type="dxa"/>
              <w:bottom w:w="80" w:type="dxa"/>
              <w:right w:w="80" w:type="dxa"/>
            </w:tcMar>
            <w:vAlign w:val="center"/>
          </w:tcPr>
          <w:p w14:paraId="2C1F7898" w14:textId="77777777" w:rsidR="00E96623" w:rsidRDefault="00000000">
            <w:r>
              <w:rPr>
                <w:sz w:val="15"/>
              </w:rPr>
              <w:t>3.05%</w:t>
            </w:r>
          </w:p>
        </w:tc>
        <w:tc>
          <w:tcPr>
            <w:tcW w:w="1152" w:type="dxa"/>
            <w:shd w:val="clear" w:color="auto" w:fill="F2F4F7"/>
            <w:tcMar>
              <w:top w:w="80" w:type="dxa"/>
              <w:left w:w="80" w:type="dxa"/>
              <w:bottom w:w="80" w:type="dxa"/>
              <w:right w:w="80" w:type="dxa"/>
            </w:tcMar>
            <w:vAlign w:val="center"/>
          </w:tcPr>
          <w:p w14:paraId="4E6224AD" w14:textId="77777777" w:rsidR="00E96623" w:rsidRDefault="00000000">
            <w:r>
              <w:rPr>
                <w:sz w:val="15"/>
              </w:rPr>
              <w:t>17.09%</w:t>
            </w:r>
          </w:p>
        </w:tc>
      </w:tr>
    </w:tbl>
    <w:p w14:paraId="1773EA65" w14:textId="77777777" w:rsidR="00E96623" w:rsidRDefault="00000000">
      <w:pPr>
        <w:pStyle w:val="BodyText"/>
      </w:pPr>
      <w:r>
        <w:t>The robustness results do not establish that the model will perform similarly in live markets, but they reduce the concern that the main downside result arose from a single arbitrary lookback or rebalance schedule. The semiannual variant had the highest Sharpe ratio and the smallest drawdown, while the 30 percent cap produced the highest CAGR.</w:t>
      </w:r>
    </w:p>
    <w:p w14:paraId="39715755" w14:textId="77777777" w:rsidR="00905B4D" w:rsidRDefault="00905B4D">
      <w:pPr>
        <w:pStyle w:val="BodyText"/>
      </w:pPr>
    </w:p>
    <w:p w14:paraId="716020F6" w14:textId="77777777" w:rsidR="00905B4D" w:rsidRDefault="00905B4D">
      <w:pPr>
        <w:pStyle w:val="BodyText"/>
      </w:pPr>
    </w:p>
    <w:p w14:paraId="3AC60E39" w14:textId="77777777" w:rsidR="00905B4D" w:rsidRDefault="00905B4D">
      <w:pPr>
        <w:pStyle w:val="BodyText"/>
      </w:pPr>
    </w:p>
    <w:p w14:paraId="6EF4FA43" w14:textId="77777777" w:rsidR="00905B4D" w:rsidRDefault="00905B4D">
      <w:pPr>
        <w:pStyle w:val="BodyText"/>
      </w:pPr>
    </w:p>
    <w:p w14:paraId="54F3D9BD" w14:textId="77777777" w:rsidR="00E96623" w:rsidRDefault="00000000">
      <w:pPr>
        <w:pStyle w:val="Heading2"/>
      </w:pPr>
      <w:r>
        <w:t>6.6 Precommitted Decision Standard</w:t>
      </w:r>
    </w:p>
    <w:p w14:paraId="29F51894" w14:textId="77777777" w:rsidR="00E96623" w:rsidRDefault="00000000">
      <w:pPr>
        <w:pStyle w:val="BodyText"/>
      </w:pPr>
      <w:r>
        <w:t>The regime-sensitive portfolio had to satisfy all four criteria to be considered economically superior. It did not.</w:t>
      </w:r>
    </w:p>
    <w:p w14:paraId="3ABCB557" w14:textId="77777777" w:rsidR="00E96623" w:rsidRDefault="00000000">
      <w:r>
        <w:t>Table 14. Evaluation of the regime-sensitive strategy</w:t>
      </w:r>
    </w:p>
    <w:tbl>
      <w:tblPr>
        <w:tblW w:w="0" w:type="auto"/>
        <w:jc w:val="center"/>
        <w:tblLook w:val="04A0" w:firstRow="1" w:lastRow="0" w:firstColumn="1" w:lastColumn="0" w:noHBand="0" w:noVBand="1"/>
      </w:tblPr>
      <w:tblGrid>
        <w:gridCol w:w="2934"/>
        <w:gridCol w:w="5429"/>
        <w:gridCol w:w="1791"/>
      </w:tblGrid>
      <w:tr w:rsidR="00E96623" w14:paraId="4250D7B0" w14:textId="77777777">
        <w:trPr>
          <w:tblHeader/>
          <w:jc w:val="center"/>
        </w:trPr>
        <w:tc>
          <w:tcPr>
            <w:tcW w:w="2952" w:type="dxa"/>
            <w:shd w:val="clear" w:color="auto" w:fill="0B1F3A"/>
            <w:tcMar>
              <w:top w:w="80" w:type="dxa"/>
              <w:left w:w="80" w:type="dxa"/>
              <w:bottom w:w="80" w:type="dxa"/>
              <w:right w:w="80" w:type="dxa"/>
            </w:tcMar>
            <w:vAlign w:val="center"/>
          </w:tcPr>
          <w:p w14:paraId="7485A0B2" w14:textId="77777777" w:rsidR="00E96623" w:rsidRDefault="00000000">
            <w:r>
              <w:rPr>
                <w:b/>
                <w:color w:val="FFFFFF"/>
                <w:sz w:val="15"/>
              </w:rPr>
              <w:t>Criterion</w:t>
            </w:r>
          </w:p>
        </w:tc>
        <w:tc>
          <w:tcPr>
            <w:tcW w:w="5472" w:type="dxa"/>
            <w:shd w:val="clear" w:color="auto" w:fill="0B1F3A"/>
            <w:tcMar>
              <w:top w:w="80" w:type="dxa"/>
              <w:left w:w="80" w:type="dxa"/>
              <w:bottom w:w="80" w:type="dxa"/>
              <w:right w:w="80" w:type="dxa"/>
            </w:tcMar>
            <w:vAlign w:val="center"/>
          </w:tcPr>
          <w:p w14:paraId="4572C18D" w14:textId="77777777" w:rsidR="00E96623" w:rsidRDefault="00000000">
            <w:r>
              <w:rPr>
                <w:b/>
                <w:color w:val="FFFFFF"/>
                <w:sz w:val="15"/>
              </w:rPr>
              <w:t>Evidence</w:t>
            </w:r>
          </w:p>
        </w:tc>
        <w:tc>
          <w:tcPr>
            <w:tcW w:w="1800" w:type="dxa"/>
            <w:shd w:val="clear" w:color="auto" w:fill="0B1F3A"/>
            <w:tcMar>
              <w:top w:w="80" w:type="dxa"/>
              <w:left w:w="80" w:type="dxa"/>
              <w:bottom w:w="80" w:type="dxa"/>
              <w:right w:w="80" w:type="dxa"/>
            </w:tcMar>
            <w:vAlign w:val="center"/>
          </w:tcPr>
          <w:p w14:paraId="5E7825D9" w14:textId="77777777" w:rsidR="00E96623" w:rsidRDefault="00000000">
            <w:r>
              <w:rPr>
                <w:b/>
                <w:color w:val="FFFFFF"/>
                <w:sz w:val="15"/>
              </w:rPr>
              <w:t>Result</w:t>
            </w:r>
          </w:p>
        </w:tc>
      </w:tr>
      <w:tr w:rsidR="00E96623" w14:paraId="789612AD" w14:textId="77777777">
        <w:trPr>
          <w:jc w:val="center"/>
        </w:trPr>
        <w:tc>
          <w:tcPr>
            <w:tcW w:w="2952" w:type="dxa"/>
            <w:shd w:val="clear" w:color="auto" w:fill="FFFFFF"/>
            <w:tcMar>
              <w:top w:w="80" w:type="dxa"/>
              <w:left w:w="80" w:type="dxa"/>
              <w:bottom w:w="80" w:type="dxa"/>
              <w:right w:w="80" w:type="dxa"/>
            </w:tcMar>
            <w:vAlign w:val="center"/>
          </w:tcPr>
          <w:p w14:paraId="326F5D52" w14:textId="77777777" w:rsidR="00E96623" w:rsidRDefault="00000000">
            <w:r>
              <w:rPr>
                <w:b/>
                <w:sz w:val="15"/>
              </w:rPr>
              <w:t>Drawdown improvement</w:t>
            </w:r>
          </w:p>
        </w:tc>
        <w:tc>
          <w:tcPr>
            <w:tcW w:w="5472" w:type="dxa"/>
            <w:shd w:val="clear" w:color="auto" w:fill="FFFFFF"/>
            <w:tcMar>
              <w:top w:w="80" w:type="dxa"/>
              <w:left w:w="80" w:type="dxa"/>
              <w:bottom w:w="80" w:type="dxa"/>
              <w:right w:w="80" w:type="dxa"/>
            </w:tcMar>
            <w:vAlign w:val="center"/>
          </w:tcPr>
          <w:p w14:paraId="755BD938" w14:textId="77777777" w:rsidR="00E96623" w:rsidRDefault="00000000">
            <w:r>
              <w:rPr>
                <w:sz w:val="15"/>
              </w:rPr>
              <w:t>17.44% versus 20.56%; 3.12 percentage points and 15.2% relative improvement</w:t>
            </w:r>
          </w:p>
        </w:tc>
        <w:tc>
          <w:tcPr>
            <w:tcW w:w="1800" w:type="dxa"/>
            <w:shd w:val="clear" w:color="auto" w:fill="E8F3EA"/>
            <w:tcMar>
              <w:top w:w="80" w:type="dxa"/>
              <w:left w:w="80" w:type="dxa"/>
              <w:bottom w:w="80" w:type="dxa"/>
              <w:right w:w="80" w:type="dxa"/>
            </w:tcMar>
            <w:vAlign w:val="center"/>
          </w:tcPr>
          <w:p w14:paraId="5FA92FA7" w14:textId="77777777" w:rsidR="00E96623" w:rsidRDefault="00000000">
            <w:r>
              <w:rPr>
                <w:sz w:val="15"/>
              </w:rPr>
              <w:t>Pass</w:t>
            </w:r>
          </w:p>
        </w:tc>
      </w:tr>
      <w:tr w:rsidR="00E96623" w14:paraId="6AE4371D" w14:textId="77777777">
        <w:trPr>
          <w:jc w:val="center"/>
        </w:trPr>
        <w:tc>
          <w:tcPr>
            <w:tcW w:w="2952" w:type="dxa"/>
            <w:shd w:val="clear" w:color="auto" w:fill="F2F4F7"/>
            <w:tcMar>
              <w:top w:w="80" w:type="dxa"/>
              <w:left w:w="80" w:type="dxa"/>
              <w:bottom w:w="80" w:type="dxa"/>
              <w:right w:w="80" w:type="dxa"/>
            </w:tcMar>
            <w:vAlign w:val="center"/>
          </w:tcPr>
          <w:p w14:paraId="30575E1A" w14:textId="77777777" w:rsidR="00E96623" w:rsidRDefault="00000000">
            <w:r>
              <w:rPr>
                <w:b/>
                <w:sz w:val="15"/>
              </w:rPr>
              <w:t>Lower 95% CVaR</w:t>
            </w:r>
          </w:p>
        </w:tc>
        <w:tc>
          <w:tcPr>
            <w:tcW w:w="5472" w:type="dxa"/>
            <w:shd w:val="clear" w:color="auto" w:fill="F2F4F7"/>
            <w:tcMar>
              <w:top w:w="80" w:type="dxa"/>
              <w:left w:w="80" w:type="dxa"/>
              <w:bottom w:w="80" w:type="dxa"/>
              <w:right w:w="80" w:type="dxa"/>
            </w:tcMar>
            <w:vAlign w:val="center"/>
          </w:tcPr>
          <w:p w14:paraId="22C1CA9D" w14:textId="77777777" w:rsidR="00E96623" w:rsidRDefault="00000000">
            <w:r>
              <w:rPr>
                <w:sz w:val="15"/>
              </w:rPr>
              <w:t>4.68% versus 5.21%</w:t>
            </w:r>
          </w:p>
        </w:tc>
        <w:tc>
          <w:tcPr>
            <w:tcW w:w="1800" w:type="dxa"/>
            <w:shd w:val="clear" w:color="auto" w:fill="E8F3EA"/>
            <w:tcMar>
              <w:top w:w="80" w:type="dxa"/>
              <w:left w:w="80" w:type="dxa"/>
              <w:bottom w:w="80" w:type="dxa"/>
              <w:right w:w="80" w:type="dxa"/>
            </w:tcMar>
            <w:vAlign w:val="center"/>
          </w:tcPr>
          <w:p w14:paraId="7F86A13A" w14:textId="77777777" w:rsidR="00E96623" w:rsidRDefault="00000000">
            <w:r>
              <w:rPr>
                <w:sz w:val="15"/>
              </w:rPr>
              <w:t>Pass</w:t>
            </w:r>
          </w:p>
        </w:tc>
      </w:tr>
      <w:tr w:rsidR="00E96623" w14:paraId="2EB23F7C" w14:textId="77777777">
        <w:trPr>
          <w:jc w:val="center"/>
        </w:trPr>
        <w:tc>
          <w:tcPr>
            <w:tcW w:w="2952" w:type="dxa"/>
            <w:shd w:val="clear" w:color="auto" w:fill="FFFFFF"/>
            <w:tcMar>
              <w:top w:w="80" w:type="dxa"/>
              <w:left w:w="80" w:type="dxa"/>
              <w:bottom w:w="80" w:type="dxa"/>
              <w:right w:w="80" w:type="dxa"/>
            </w:tcMar>
            <w:vAlign w:val="center"/>
          </w:tcPr>
          <w:p w14:paraId="502335EA" w14:textId="77777777" w:rsidR="00E96623" w:rsidRDefault="00000000">
            <w:r>
              <w:rPr>
                <w:b/>
                <w:sz w:val="15"/>
              </w:rPr>
              <w:t>Real CAGR within 1 point and better Sharpe or Sortino</w:t>
            </w:r>
          </w:p>
        </w:tc>
        <w:tc>
          <w:tcPr>
            <w:tcW w:w="5472" w:type="dxa"/>
            <w:shd w:val="clear" w:color="auto" w:fill="FFFFFF"/>
            <w:tcMar>
              <w:top w:w="80" w:type="dxa"/>
              <w:left w:w="80" w:type="dxa"/>
              <w:bottom w:w="80" w:type="dxa"/>
              <w:right w:w="80" w:type="dxa"/>
            </w:tcMar>
            <w:vAlign w:val="center"/>
          </w:tcPr>
          <w:p w14:paraId="71D83EE0" w14:textId="77777777" w:rsidR="00E96623" w:rsidRDefault="00000000">
            <w:r>
              <w:rPr>
                <w:sz w:val="15"/>
              </w:rPr>
              <w:t>4.02% versus 6.70%; Sharpe 0.683 versus 0.885</w:t>
            </w:r>
          </w:p>
        </w:tc>
        <w:tc>
          <w:tcPr>
            <w:tcW w:w="1800" w:type="dxa"/>
            <w:shd w:val="clear" w:color="auto" w:fill="FBE9E7"/>
            <w:tcMar>
              <w:top w:w="80" w:type="dxa"/>
              <w:left w:w="80" w:type="dxa"/>
              <w:bottom w:w="80" w:type="dxa"/>
              <w:right w:w="80" w:type="dxa"/>
            </w:tcMar>
            <w:vAlign w:val="center"/>
          </w:tcPr>
          <w:p w14:paraId="0FF114A9" w14:textId="77777777" w:rsidR="00E96623" w:rsidRDefault="00000000">
            <w:r>
              <w:rPr>
                <w:sz w:val="15"/>
              </w:rPr>
              <w:t>Fail</w:t>
            </w:r>
          </w:p>
        </w:tc>
      </w:tr>
      <w:tr w:rsidR="00E96623" w14:paraId="3FE347AB" w14:textId="77777777">
        <w:trPr>
          <w:jc w:val="center"/>
        </w:trPr>
        <w:tc>
          <w:tcPr>
            <w:tcW w:w="2952" w:type="dxa"/>
            <w:shd w:val="clear" w:color="auto" w:fill="F2F4F7"/>
            <w:tcMar>
              <w:top w:w="80" w:type="dxa"/>
              <w:left w:w="80" w:type="dxa"/>
              <w:bottom w:w="80" w:type="dxa"/>
              <w:right w:w="80" w:type="dxa"/>
            </w:tcMar>
            <w:vAlign w:val="center"/>
          </w:tcPr>
          <w:p w14:paraId="073A3258" w14:textId="77777777" w:rsidR="00E96623" w:rsidRDefault="00000000">
            <w:r>
              <w:rPr>
                <w:b/>
                <w:sz w:val="15"/>
              </w:rPr>
              <w:t>Turnover below 100% and robust qualitative conclusion</w:t>
            </w:r>
          </w:p>
        </w:tc>
        <w:tc>
          <w:tcPr>
            <w:tcW w:w="5472" w:type="dxa"/>
            <w:shd w:val="clear" w:color="auto" w:fill="F2F4F7"/>
            <w:tcMar>
              <w:top w:w="80" w:type="dxa"/>
              <w:left w:w="80" w:type="dxa"/>
              <w:bottom w:w="80" w:type="dxa"/>
              <w:right w:w="80" w:type="dxa"/>
            </w:tcMar>
            <w:vAlign w:val="center"/>
          </w:tcPr>
          <w:p w14:paraId="5EAA1995" w14:textId="77777777" w:rsidR="00E96623" w:rsidRDefault="00000000">
            <w:r>
              <w:rPr>
                <w:sz w:val="15"/>
              </w:rPr>
              <w:t>43.02% turnover; cost sensitivity did not change ranking</w:t>
            </w:r>
          </w:p>
        </w:tc>
        <w:tc>
          <w:tcPr>
            <w:tcW w:w="1800" w:type="dxa"/>
            <w:shd w:val="clear" w:color="auto" w:fill="E8F3EA"/>
            <w:tcMar>
              <w:top w:w="80" w:type="dxa"/>
              <w:left w:w="80" w:type="dxa"/>
              <w:bottom w:w="80" w:type="dxa"/>
              <w:right w:w="80" w:type="dxa"/>
            </w:tcMar>
            <w:vAlign w:val="center"/>
          </w:tcPr>
          <w:p w14:paraId="3EA44B23" w14:textId="77777777" w:rsidR="00E96623" w:rsidRDefault="00000000">
            <w:r>
              <w:rPr>
                <w:sz w:val="15"/>
              </w:rPr>
              <w:t>Pass on turnover; limited rule robustness</w:t>
            </w:r>
          </w:p>
        </w:tc>
      </w:tr>
      <w:tr w:rsidR="00E96623" w14:paraId="4CB69166" w14:textId="77777777">
        <w:trPr>
          <w:jc w:val="center"/>
        </w:trPr>
        <w:tc>
          <w:tcPr>
            <w:tcW w:w="2952" w:type="dxa"/>
            <w:shd w:val="clear" w:color="auto" w:fill="FFFFFF"/>
            <w:tcMar>
              <w:top w:w="80" w:type="dxa"/>
              <w:left w:w="80" w:type="dxa"/>
              <w:bottom w:w="80" w:type="dxa"/>
              <w:right w:w="80" w:type="dxa"/>
            </w:tcMar>
            <w:vAlign w:val="center"/>
          </w:tcPr>
          <w:p w14:paraId="0D414FAE" w14:textId="77777777" w:rsidR="00E96623" w:rsidRDefault="00000000">
            <w:r>
              <w:rPr>
                <w:b/>
                <w:sz w:val="15"/>
              </w:rPr>
              <w:t>Overall standard</w:t>
            </w:r>
          </w:p>
        </w:tc>
        <w:tc>
          <w:tcPr>
            <w:tcW w:w="5472" w:type="dxa"/>
            <w:shd w:val="clear" w:color="auto" w:fill="FFFFFF"/>
            <w:tcMar>
              <w:top w:w="80" w:type="dxa"/>
              <w:left w:w="80" w:type="dxa"/>
              <w:bottom w:w="80" w:type="dxa"/>
              <w:right w:w="80" w:type="dxa"/>
            </w:tcMar>
            <w:vAlign w:val="center"/>
          </w:tcPr>
          <w:p w14:paraId="1D9A708C" w14:textId="77777777" w:rsidR="00E96623" w:rsidRDefault="00000000">
            <w:r>
              <w:rPr>
                <w:sz w:val="15"/>
              </w:rPr>
              <w:t>All conditions were required</w:t>
            </w:r>
          </w:p>
        </w:tc>
        <w:tc>
          <w:tcPr>
            <w:tcW w:w="1800" w:type="dxa"/>
            <w:shd w:val="clear" w:color="auto" w:fill="FBE9E7"/>
            <w:tcMar>
              <w:top w:w="80" w:type="dxa"/>
              <w:left w:w="80" w:type="dxa"/>
              <w:bottom w:w="80" w:type="dxa"/>
              <w:right w:w="80" w:type="dxa"/>
            </w:tcMar>
            <w:vAlign w:val="center"/>
          </w:tcPr>
          <w:p w14:paraId="48DC7663" w14:textId="77777777" w:rsidR="00E96623" w:rsidRDefault="00000000">
            <w:r>
              <w:rPr>
                <w:sz w:val="15"/>
              </w:rPr>
              <w:t>Fail</w:t>
            </w:r>
          </w:p>
        </w:tc>
      </w:tr>
    </w:tbl>
    <w:p w14:paraId="12F4E34E" w14:textId="77777777" w:rsidR="00E96623" w:rsidRDefault="00000000">
      <w:pPr>
        <w:pStyle w:val="BodyText"/>
      </w:pPr>
      <w:r>
        <w:t>Because the real-return and risk-adjusted-return condition failed, the additional tactical complexity was not justified for the hypothetical moderate-risk client. The strategy may still suit a client who explicitly accepts lower growth in exchange for partial drawdown reduction.</w:t>
      </w:r>
    </w:p>
    <w:p w14:paraId="57C0D45E" w14:textId="77777777" w:rsidR="00E96623" w:rsidRDefault="00000000">
      <w:pPr>
        <w:pStyle w:val="Heading1"/>
      </w:pPr>
      <w:r>
        <w:rPr>
          <w:b w:val="0"/>
        </w:rPr>
        <w:t>7. Discussion</w:t>
      </w:r>
    </w:p>
    <w:p w14:paraId="1B9FFA5C" w14:textId="77777777" w:rsidR="00E96623" w:rsidRDefault="00000000">
      <w:pPr>
        <w:pStyle w:val="Heading2"/>
      </w:pPr>
      <w:r>
        <w:t>7.1 Simplicity and the Strength of the Benchmark</w:t>
      </w:r>
    </w:p>
    <w:p w14:paraId="63545796" w14:textId="77777777" w:rsidR="00E96623" w:rsidRDefault="00000000">
      <w:pPr>
        <w:pStyle w:val="BodyText"/>
      </w:pPr>
      <w:r>
        <w:t>The 60/40 portfolio won on both nominal and real growth despite experiencing a larger drawdown than the optimized portfolios. Its advantage came from maintaining substantial equity participation while high-quality Treasuries continued to diversify many, though not all, shocks. The result cautions against assuming that a larger number of asset classes automatically creates a superior portfolio.</w:t>
      </w:r>
    </w:p>
    <w:p w14:paraId="35B1103A" w14:textId="77777777" w:rsidR="00E96623" w:rsidRDefault="00000000">
      <w:pPr>
        <w:pStyle w:val="Heading2"/>
      </w:pPr>
      <w:r>
        <w:t>7.2 Optimization as a Defensive Tool</w:t>
      </w:r>
    </w:p>
    <w:p w14:paraId="64C848C6" w14:textId="77777777" w:rsidR="00E96623" w:rsidRDefault="00000000">
      <w:pPr>
        <w:pStyle w:val="BodyText"/>
      </w:pPr>
      <w:r>
        <w:t>The mean-variance portfolio generated the strongest risk-adjusted performance and recovered from the 2022 drawdown more quickly than the benchmark. Yet its lower CAGR and repeated boundary weights show that optimization solved a different problem: it prioritized historical excess return per unit of volatility rather than maximum wealth accumulation. Minimum-CVaR was even more defensive and produced the lowest tail loss, but its real CAGR of 1.28 percent was too low for the stated CPI-plus-four objective.</w:t>
      </w:r>
    </w:p>
    <w:p w14:paraId="729CCD9C" w14:textId="77777777" w:rsidR="00E96623" w:rsidRDefault="00000000">
      <w:pPr>
        <w:pStyle w:val="Heading2"/>
      </w:pPr>
      <w:r>
        <w:t>7.3 Why the Regime Strategy Fell Short</w:t>
      </w:r>
    </w:p>
    <w:p w14:paraId="0488D947" w14:textId="77777777" w:rsidR="00E96623" w:rsidRDefault="00000000">
      <w:pPr>
        <w:pStyle w:val="BodyText"/>
      </w:pPr>
      <w:r>
        <w:t>The regime strategy reduced drawdown and CVaR but lagged in three of the four macro states. Its predetermined weights were deliberately simple, and the two-month signal lag protected against look-ahead bias; those same features made the strategy slow to respond to abrupt shocks. The result does not prove that all regime methods fail. It shows that this transparent specification did not earn enough return to compensate for its turnover and tactical complexity.</w:t>
      </w:r>
    </w:p>
    <w:p w14:paraId="11043929" w14:textId="77777777" w:rsidR="00E96623" w:rsidRDefault="00000000">
      <w:pPr>
        <w:pStyle w:val="Heading2"/>
      </w:pPr>
      <w:r>
        <w:t>7.4 Client Trade-Offs and Governance</w:t>
      </w:r>
    </w:p>
    <w:p w14:paraId="6A118E7E" w14:textId="77777777" w:rsidR="00E96623" w:rsidRDefault="00000000">
      <w:pPr>
        <w:pStyle w:val="BodyText"/>
      </w:pPr>
      <w:r>
        <w:t xml:space="preserve">A private-bank recommendation should begin with the client objective. A growth-oriented client able to tolerate a roughly 20 percent drawdown would have preferred the simple benchmark in this sample. A client more concerned with sequence risk or behavioral abandonment could rationally accept the mean-variance </w:t>
      </w:r>
      <w:r>
        <w:lastRenderedPageBreak/>
        <w:t>portfolio's lower return in exchange for materially lower volatility and drawdown. The choice is therefore an investment-policy decision, not a mechanical ranking exercise.</w:t>
      </w:r>
    </w:p>
    <w:p w14:paraId="3E94653E" w14:textId="77777777" w:rsidR="00E96623" w:rsidRDefault="00000000">
      <w:pPr>
        <w:pStyle w:val="Heading1"/>
      </w:pPr>
      <w:r>
        <w:rPr>
          <w:rFonts w:ascii="Cambria" w:hAnsi="Cambria"/>
        </w:rPr>
        <w:t>8. Private Wealth Management Implications</w:t>
      </w:r>
    </w:p>
    <w:p w14:paraId="5DFCE3D2" w14:textId="77777777" w:rsidR="00E96623" w:rsidRDefault="00000000">
      <w:pPr>
        <w:pStyle w:val="Heading2"/>
      </w:pPr>
      <w:r>
        <w:rPr>
          <w:rFonts w:ascii="Cambria" w:hAnsi="Cambria"/>
        </w:rPr>
        <w:t>8.1 Suitability and Client Discovery</w:t>
      </w:r>
    </w:p>
    <w:p w14:paraId="49BCE97F" w14:textId="77777777" w:rsidR="00E96623" w:rsidRDefault="00000000">
      <w:pPr>
        <w:pStyle w:val="BodyText"/>
        <w:ind w:firstLine="360"/>
      </w:pPr>
      <w:r>
        <w:t>The hypothetical allocation is not suitable for every wealthy investor. A real advisory process would examine the client’s operating business, concentrated stock, real estate, employment income, debt, tax basis, trusts, charitable plans, and family governance. An entrepreneur whose net worth is already tied to an illiquid business may need a more defensive liquid portfolio than the standalone investment account suggests. Conversely, a client with stable pension income and no near-term distributions may tolerate more equity risk.</w:t>
      </w:r>
    </w:p>
    <w:p w14:paraId="6F5690CA" w14:textId="77777777" w:rsidR="00E96623" w:rsidRDefault="00000000">
      <w:pPr>
        <w:pStyle w:val="Heading2"/>
      </w:pPr>
      <w:r>
        <w:rPr>
          <w:rFonts w:ascii="Cambria" w:hAnsi="Cambria"/>
        </w:rPr>
        <w:t>8.2 Liquidity Segmentation</w:t>
      </w:r>
    </w:p>
    <w:p w14:paraId="66FD858C" w14:textId="77777777" w:rsidR="00E96623" w:rsidRDefault="00000000">
      <w:pPr>
        <w:pStyle w:val="BodyText"/>
        <w:ind w:firstLine="360"/>
      </w:pPr>
      <w:r>
        <w:t>One implementation approach is to segment the portfolio into liquidity, stability, and growth pools. The liquidity pool funds several years of expected withdrawals using Treasury bills and short-duration instruments. The stability pool contains high-quality bonds and selected diversifiers. The growth pool contains global equities and listed real estate. Although the backtest evaluates a single combined portfolio, this segmentation can improve communication because each asset has a stated job rather than a generic return target.</w:t>
      </w:r>
    </w:p>
    <w:p w14:paraId="26F948EB" w14:textId="77777777" w:rsidR="00E96623" w:rsidRDefault="00000000">
      <w:pPr>
        <w:pStyle w:val="Heading2"/>
      </w:pPr>
      <w:r>
        <w:rPr>
          <w:rFonts w:ascii="Cambria" w:hAnsi="Cambria"/>
        </w:rPr>
        <w:t>8.3 Tax and Account Location</w:t>
      </w:r>
    </w:p>
    <w:p w14:paraId="446F18EB" w14:textId="77777777" w:rsidR="00E96623" w:rsidRDefault="00000000">
      <w:pPr>
        <w:pStyle w:val="BodyText"/>
        <w:ind w:firstLine="360"/>
      </w:pPr>
      <w:r>
        <w:t>The baseline study is pre-tax. In practice, bond interest, REIT distributions, capital gains, and rebalancing can have different tax consequences. Asset location across taxable accounts, retirement accounts, trusts, and charitable vehicles may materially affect the after-tax result. High-turnover tactical strategies face a higher burden of proof in taxable portfolios. Therefore, the final recommendation should report turnover and explicitly state that after-tax optimization is outside the paper’s empirical scope.</w:t>
      </w:r>
    </w:p>
    <w:p w14:paraId="751BB607" w14:textId="77777777" w:rsidR="00E96623" w:rsidRDefault="00000000">
      <w:pPr>
        <w:pStyle w:val="Heading2"/>
      </w:pPr>
      <w:r>
        <w:rPr>
          <w:rFonts w:ascii="Cambria" w:hAnsi="Cambria"/>
        </w:rPr>
        <w:t>8.4 Product Selection and Due Diligence</w:t>
      </w:r>
    </w:p>
    <w:p w14:paraId="43230F66" w14:textId="77777777" w:rsidR="00E96623" w:rsidRDefault="00000000">
      <w:pPr>
        <w:pStyle w:val="BodyText"/>
        <w:ind w:firstLine="360"/>
      </w:pPr>
      <w:r>
        <w:t>The ETF proxies are research instruments, not endorsements. A real implementation would evaluate tracking difference, bid-ask spreads, assets under management, securities lending, tax structure, duration, credit quality, and operational risk. The portfolio decision should be separated from product selection so that a conclusion about an asset class is not confused with the performance of a single fund.</w:t>
      </w:r>
    </w:p>
    <w:p w14:paraId="3312826A" w14:textId="77777777" w:rsidR="00E96623" w:rsidRDefault="00000000">
      <w:pPr>
        <w:pStyle w:val="Heading2"/>
      </w:pPr>
      <w:r>
        <w:rPr>
          <w:rFonts w:ascii="Cambria" w:hAnsi="Cambria"/>
        </w:rPr>
        <w:t>8.5 Communication Standard</w:t>
      </w:r>
    </w:p>
    <w:p w14:paraId="6821E57C" w14:textId="77777777" w:rsidR="00E96623" w:rsidRDefault="00000000">
      <w:pPr>
        <w:pStyle w:val="BodyText"/>
        <w:ind w:firstLine="360"/>
      </w:pPr>
      <w:r>
        <w:t>A private-bank recommendation should be explainable in a short client conversation. The proposed communication standard is: identify the client goal, show the role of each sleeve, explain the principal risks, provide a severe but plausible stress outcome, and state the rebalancing discipline. Complex model language should remain in the technical appendix. The client should understand what could cause the portfolio to disappoint before capital is allocated.</w:t>
      </w:r>
    </w:p>
    <w:p w14:paraId="776DC319" w14:textId="77777777" w:rsidR="00E96623" w:rsidRDefault="00000000">
      <w:pPr>
        <w:pStyle w:val="Heading1"/>
      </w:pPr>
      <w:r>
        <w:rPr>
          <w:rFonts w:ascii="Cambria" w:hAnsi="Cambria"/>
        </w:rPr>
        <w:t>9. Limitations</w:t>
      </w:r>
    </w:p>
    <w:p w14:paraId="48E29C5A" w14:textId="77777777" w:rsidR="00E96623" w:rsidRDefault="00000000">
      <w:pPr>
        <w:pStyle w:val="BodyText"/>
        <w:ind w:firstLine="360"/>
      </w:pPr>
      <w:r>
        <w:t>First, the main out-of-sample period contains only 156 months. It includes the COVID shock, the 2022 joint stock-bond decline, and multiple inflation and policy states, but it does not represent every possible market environment.</w:t>
      </w:r>
    </w:p>
    <w:p w14:paraId="389515B7" w14:textId="77777777" w:rsidR="00E96623" w:rsidRDefault="00000000">
      <w:pPr>
        <w:pStyle w:val="BodyText"/>
        <w:ind w:firstLine="360"/>
      </w:pPr>
      <w:r>
        <w:t>Second, historical means, covariances, and tail losses are unstable. The maximum-Sharpe optimizer frequently produced boundary allocations, and live performance may differ materially from the backtest.</w:t>
      </w:r>
    </w:p>
    <w:p w14:paraId="4A6EF255" w14:textId="77777777" w:rsidR="00E96623" w:rsidRDefault="00000000">
      <w:pPr>
        <w:pStyle w:val="BodyText"/>
        <w:ind w:firstLine="360"/>
      </w:pPr>
      <w:r>
        <w:t>Third, the regime rule uses only inflation direction and policy direction. It ignores valuation, credit spreads, growth surprises, and market-implied expectations. Alternative definitions could generate different allocations.</w:t>
      </w:r>
    </w:p>
    <w:p w14:paraId="1D539374" w14:textId="77777777" w:rsidR="00E96623" w:rsidRDefault="00000000">
      <w:pPr>
        <w:pStyle w:val="BodyText"/>
        <w:ind w:firstLine="360"/>
      </w:pPr>
      <w:r>
        <w:lastRenderedPageBreak/>
        <w:t>Fourth, the analysis is pre-tax and excludes advisory fees, bid-ask spreads beyond the modeled turnover cost, investor-specific tax lots, market impact, and security-lending differences.</w:t>
      </w:r>
    </w:p>
    <w:p w14:paraId="2A4C8430" w14:textId="77777777" w:rsidR="00E96623" w:rsidRDefault="00000000">
      <w:pPr>
        <w:pStyle w:val="BodyText"/>
        <w:ind w:firstLine="360"/>
      </w:pPr>
      <w:r>
        <w:t>Fifth, ETF prices came from a convenience data source rather than a licensed institutional feed. In addition, BLS did not publish a complete October 2025 CPI index because of the 2025 federal shutdown. Real CAGR therefore uses beginning and ending CPI levels, and the regime signal carries forward the latest published inflation observation without creating a synthetic index value.</w:t>
      </w:r>
    </w:p>
    <w:p w14:paraId="5477DE02" w14:textId="77777777" w:rsidR="00E96623" w:rsidRDefault="00000000">
      <w:pPr>
        <w:pStyle w:val="BodyText"/>
        <w:ind w:firstLine="360"/>
      </w:pPr>
      <w:r>
        <w:t>Finally, the NBER recession stress test contains only the two recession months in the 2013-2025 sample, and several portfolios and robustness variants are examined. The precommitted success rule and disclosure of weak outcomes reduce, but do not eliminate, data-mining risk.</w:t>
      </w:r>
    </w:p>
    <w:p w14:paraId="158CD1E3" w14:textId="77777777" w:rsidR="00E96623" w:rsidRDefault="00000000">
      <w:pPr>
        <w:pStyle w:val="Heading1"/>
      </w:pPr>
      <w:r>
        <w:rPr>
          <w:rFonts w:ascii="Cambria" w:hAnsi="Cambria"/>
        </w:rPr>
        <w:t>10. Conclusion</w:t>
      </w:r>
    </w:p>
    <w:p w14:paraId="565CBF2A" w14:textId="77777777" w:rsidR="00E96623" w:rsidRDefault="00000000">
      <w:pPr>
        <w:pStyle w:val="BodyText"/>
      </w:pPr>
      <w:r>
        <w:t>This paper compared six liquid, long-only portfolios under a common out-of-sample design from January 2013 through December 2025. The traditional 60/40 portfolio produced the highest nominal and real growth. The constrained mean-variance portfolio delivered the strongest Sharpe and Sortino ratios and materially smaller drawdowns, while minimum-CVaR achieved the lowest volatility and tail loss at the cost of weak growth.</w:t>
      </w:r>
    </w:p>
    <w:p w14:paraId="3F1E95F5" w14:textId="77777777" w:rsidR="00E96623" w:rsidRDefault="00000000">
      <w:pPr>
        <w:pStyle w:val="BodyText"/>
      </w:pPr>
      <w:r>
        <w:t>The precommitted regime-sensitive portfolio reduced maximum drawdown from 20.56 percent to 17.44 percent and lowered 95 percent CVaR from 5.21 percent to 4.68 percent. Those benefits were not sufficient. Its real CAGR lagged the benchmark by 2.69 percentage points, its Sharpe ratio was lower, and turnover was substantially higher. It therefore failed the paper's precommitted economic-superiority standard.</w:t>
      </w:r>
    </w:p>
    <w:p w14:paraId="136BC0D5" w14:textId="77777777" w:rsidR="00E96623" w:rsidRDefault="00000000">
      <w:pPr>
        <w:pStyle w:val="BodyText"/>
      </w:pPr>
      <w:r>
        <w:t>For the hypothetical moderate-risk high-net-worth client, the evidence supports retaining a simple strategic benchmark when long-run growth is the primary goal. Constrained optimization may be appropriate when the client places greater value on drawdown control, sequence-risk reduction, and behavioral staying power. The central lesson is not that one model is universally best, but that every additional layer of complexity must earn its place through a measurable improvement in the client objective.</w:t>
      </w:r>
    </w:p>
    <w:p w14:paraId="27D16347" w14:textId="77777777" w:rsidR="00E96623" w:rsidRDefault="00000000">
      <w:pPr>
        <w:pStyle w:val="BodyText"/>
      </w:pPr>
      <w:r>
        <w:t>The paper is an independent working paper rather than peer-reviewed research. Future work should test alternative public data sources, tax-aware implementation, additional macroeconomic definitions, and longer samples using index histories rather than ETF inception-limited data.</w:t>
      </w:r>
    </w:p>
    <w:p w14:paraId="26DA619A" w14:textId="77777777" w:rsidR="00E96623" w:rsidRDefault="00000000">
      <w:pPr>
        <w:pStyle w:val="Heading1"/>
      </w:pPr>
      <w:r>
        <w:rPr>
          <w:rFonts w:ascii="Cambria" w:hAnsi="Cambria"/>
        </w:rPr>
        <w:t>References</w:t>
      </w:r>
    </w:p>
    <w:p w14:paraId="22DF1D60" w14:textId="77777777" w:rsidR="00E96623" w:rsidRDefault="00000000">
      <w:pPr>
        <w:pStyle w:val="Bibliography1"/>
        <w:ind w:left="432" w:hanging="432"/>
      </w:pPr>
      <w:r>
        <w:t>Ang, A., &amp; Bekaert, G. (2002). International asset allocation with regime shifts. The Review of Financial Studies, 15(4), 1137–1187. https://doi.org/10.1093/rfs/15.4.1137</w:t>
      </w:r>
    </w:p>
    <w:p w14:paraId="6476A9D7" w14:textId="77777777" w:rsidR="00E96623" w:rsidRDefault="00000000">
      <w:pPr>
        <w:pStyle w:val="Bibliography1"/>
        <w:ind w:left="432" w:hanging="432"/>
      </w:pPr>
      <w:r>
        <w:t>Brière, M., &amp; Signori, O. (2011). Inflation hedging portfolios in different regimes. In Portfolio and Risk Management for Central Banks and Sovereign Wealth Funds (BIS Papers No. 58, pp. 139–163). Bank for International Settlements.</w:t>
      </w:r>
    </w:p>
    <w:p w14:paraId="375E7F43" w14:textId="77777777" w:rsidR="00E96623" w:rsidRDefault="00000000">
      <w:pPr>
        <w:pStyle w:val="Bibliography1"/>
        <w:ind w:left="432" w:hanging="432"/>
      </w:pPr>
      <w:r>
        <w:t>DeMiguel, V., Garlappi, L., &amp; Uppal, R. (2009). Optimal versus naive diversification: How inefficient is the 1/N portfolio strategy? The Review of Financial Studies, 22(5), 1915–1953. https://doi.org/10.1093/rfs/hhm075</w:t>
      </w:r>
    </w:p>
    <w:p w14:paraId="55E684BF" w14:textId="77777777" w:rsidR="00E96623" w:rsidRDefault="00000000">
      <w:pPr>
        <w:pStyle w:val="Bibliography1"/>
        <w:ind w:left="432" w:hanging="432"/>
      </w:pPr>
      <w:r>
        <w:t>Fang, X., Liu, Y., &amp; Roussanov, N. (2022). Getting to the core: Inflation risks within and across asset classes (NBER Working Paper No. 30169). National Bureau of Economic Research. https://doi.org/10.3386/w30169</w:t>
      </w:r>
    </w:p>
    <w:p w14:paraId="077F64D6" w14:textId="77777777" w:rsidR="00E96623" w:rsidRDefault="00000000">
      <w:pPr>
        <w:pStyle w:val="Bibliography1"/>
        <w:ind w:left="432" w:hanging="432"/>
      </w:pPr>
      <w:r>
        <w:t>Federal Reserve Bank of St. Louis. (2026). Consumer Price Index for All Urban Consumers: All Items in U.S. City Average [CPIAUCSL]. FRED. Retrieved July 14, 2026, from https://fred.stlouisfed.org/series/CPIAUCSL</w:t>
      </w:r>
    </w:p>
    <w:p w14:paraId="3D4C2A3A" w14:textId="77777777" w:rsidR="00E96623" w:rsidRDefault="00000000">
      <w:pPr>
        <w:pStyle w:val="Bibliography1"/>
        <w:ind w:left="432" w:hanging="432"/>
      </w:pPr>
      <w:r>
        <w:t>Federal Reserve Bank of St. Louis. (2026). Federal Funds Effective Rate [FEDFUNDS]. FRED. Retrieved July 14, 2026, from https://fred.stlouisfed.org/series/FEDFUNDS</w:t>
      </w:r>
    </w:p>
    <w:p w14:paraId="2DFCCDA9" w14:textId="77777777" w:rsidR="00E96623" w:rsidRDefault="00000000">
      <w:pPr>
        <w:pStyle w:val="Bibliography1"/>
        <w:ind w:left="432" w:hanging="432"/>
      </w:pPr>
      <w:r>
        <w:t>Maillard, S., Roncalli, T., &amp; Teïletche, J. (2010). The properties of equally weighted risk contribution portfolios. The Journal of Portfolio Management, 36(4), 60–70. https://doi.org/10.3905/jpm.2010.36.4.060</w:t>
      </w:r>
    </w:p>
    <w:p w14:paraId="566A9706" w14:textId="526F32CE" w:rsidR="00E96623" w:rsidRDefault="00000000">
      <w:pPr>
        <w:pStyle w:val="Bibliography1"/>
        <w:ind w:left="432" w:hanging="432"/>
      </w:pPr>
      <w:r>
        <w:t xml:space="preserve">Markowitz, H. (1952). Portfolio selection. The Journal of Finance, 7(1), 77–91. </w:t>
      </w:r>
      <w:hyperlink r:id="rId10" w:history="1">
        <w:r w:rsidR="00905B4D" w:rsidRPr="00B9780C">
          <w:rPr>
            <w:rStyle w:val="Hyperlink"/>
          </w:rPr>
          <w:t>https://doi.org/10.1111/j.1540-6261.1952.tb01525.x</w:t>
        </w:r>
      </w:hyperlink>
    </w:p>
    <w:p w14:paraId="6C63477A" w14:textId="77777777" w:rsidR="00905B4D" w:rsidRDefault="00905B4D">
      <w:pPr>
        <w:pStyle w:val="Bibliography1"/>
        <w:ind w:left="432" w:hanging="432"/>
      </w:pPr>
    </w:p>
    <w:p w14:paraId="7B58A82B" w14:textId="77777777" w:rsidR="00905B4D" w:rsidRDefault="00905B4D">
      <w:pPr>
        <w:pStyle w:val="Bibliography1"/>
        <w:ind w:left="432" w:hanging="432"/>
      </w:pPr>
    </w:p>
    <w:p w14:paraId="523097B9" w14:textId="77777777" w:rsidR="00E96623" w:rsidRDefault="00000000">
      <w:pPr>
        <w:pStyle w:val="Bibliography1"/>
        <w:ind w:left="432" w:hanging="432"/>
      </w:pPr>
      <w:r>
        <w:lastRenderedPageBreak/>
        <w:t>National Bureau of Economic Research. (2026). U.S. business cycle expansions and contractions. Retrieved July 14, 2026, from https://www.nber.org/research/data/us-business-cycle-expansions-and-contractions</w:t>
      </w:r>
    </w:p>
    <w:p w14:paraId="2D39662E" w14:textId="77777777" w:rsidR="00E96623" w:rsidRDefault="00000000">
      <w:pPr>
        <w:pStyle w:val="Bibliography1"/>
        <w:ind w:left="432" w:hanging="432"/>
      </w:pPr>
      <w:r>
        <w:t>Roache, S. K., &amp; Attié, A. P. (2009). Inflation hedging for long-term investors (IMF Working Paper No. 09/90). International Monetary Fund. https://doi.org/10.5089/9781451872378.001</w:t>
      </w:r>
    </w:p>
    <w:p w14:paraId="0E11C19D" w14:textId="77777777" w:rsidR="00E96623" w:rsidRDefault="00000000">
      <w:pPr>
        <w:pStyle w:val="Bibliography1"/>
        <w:ind w:left="432" w:hanging="432"/>
      </w:pPr>
      <w:r>
        <w:t>Rockafellar, R. T., &amp; Uryasev, S. (2000). Optimization of conditional value-at-risk. The Journal of Risk, 2(3), 21–41.</w:t>
      </w:r>
    </w:p>
    <w:p w14:paraId="5A3D61C6" w14:textId="77777777" w:rsidR="00E96623" w:rsidRDefault="00000000">
      <w:pPr>
        <w:pStyle w:val="Bibliography1"/>
        <w:ind w:left="432" w:hanging="432"/>
      </w:pPr>
      <w:r>
        <w:t>Sharpe, W. F. (1964). Capital asset prices: A theory of market equilibrium under conditions of risk. The Journal of Finance, 19(3), 425–442. https://doi.org/10.1111/j.1540-6261.1964.tb02865.x</w:t>
      </w:r>
    </w:p>
    <w:p w14:paraId="7FDCDC8A" w14:textId="77777777" w:rsidR="00E96623" w:rsidRDefault="00000000">
      <w:pPr>
        <w:pStyle w:val="Bibliography1"/>
        <w:ind w:left="432" w:hanging="432"/>
      </w:pPr>
      <w:r>
        <w:t>U.S. Department of the Treasury. (2026). Interest rate statistics. Retrieved July 14, 2026, from https://home.treasury.gov/policy-issues/financing-the-government/interest-rate-statistics</w:t>
      </w:r>
    </w:p>
    <w:p w14:paraId="5705A4C0" w14:textId="77777777" w:rsidR="00E96623" w:rsidRDefault="00000000">
      <w:pPr>
        <w:pStyle w:val="Bibliography1"/>
      </w:pPr>
      <w:r>
        <w:t>U.S. Bureau of Labor Statistics. (2026). 2025 federal government shutdown impact on the Consumer Price Index. Retrieved July 17, 2026, from https://www.bls.gov/cpi/additional-resources/2025-federal-government-shutdown-impact-cpi.htm</w:t>
      </w:r>
    </w:p>
    <w:p w14:paraId="0E8E3517" w14:textId="77777777" w:rsidR="00E96623" w:rsidRDefault="00000000">
      <w:pPr>
        <w:pStyle w:val="Bibliography1"/>
      </w:pPr>
      <w:r>
        <w:t>U.S. Bureau of Labor Statistics. (2025). Revised news release dates following the 2025 lapse in appropriations. Retrieved July 17, 2026, from https://www.bls.gov/bls/2025-lapse-revised-release-dates.htm</w:t>
      </w:r>
    </w:p>
    <w:p w14:paraId="009776F2" w14:textId="77777777" w:rsidR="00E96623" w:rsidRDefault="00000000">
      <w:pPr>
        <w:pStyle w:val="Heading1"/>
      </w:pPr>
      <w:r>
        <w:rPr>
          <w:rFonts w:ascii="Cambria" w:hAnsi="Cambria"/>
        </w:rPr>
        <w:t>Appendix A. Formula and Metric Definitions</w:t>
      </w:r>
    </w:p>
    <w:p w14:paraId="4DBACF3F" w14:textId="77777777" w:rsidR="00E96623" w:rsidRDefault="00000000">
      <w:pPr>
        <w:keepNext/>
      </w:pPr>
      <w:r>
        <w:rPr>
          <w:b/>
          <w:color w:val="0B1F3A"/>
          <w:sz w:val="19"/>
        </w:rPr>
        <w:t>Table A1. Metric definitions</w:t>
      </w:r>
    </w:p>
    <w:tbl>
      <w:tblPr>
        <w:tblW w:w="0" w:type="auto"/>
        <w:jc w:val="center"/>
        <w:tblLayout w:type="fixed"/>
        <w:tblLook w:val="04A0" w:firstRow="1" w:lastRow="0" w:firstColumn="1" w:lastColumn="0" w:noHBand="0" w:noVBand="1"/>
      </w:tblPr>
      <w:tblGrid>
        <w:gridCol w:w="3331"/>
        <w:gridCol w:w="4608"/>
        <w:gridCol w:w="3331"/>
      </w:tblGrid>
      <w:tr w:rsidR="00E96623" w14:paraId="48C80E5A" w14:textId="77777777">
        <w:trPr>
          <w:tblHeader/>
          <w:jc w:val="center"/>
        </w:trPr>
        <w:tc>
          <w:tcPr>
            <w:tcW w:w="3331" w:type="dxa"/>
            <w:tcBorders>
              <w:top w:val="single" w:sz="6" w:space="0" w:color="0B1F3A"/>
              <w:left w:val="single" w:sz="4" w:space="0" w:color="FFFFFF"/>
              <w:bottom w:val="single" w:sz="6" w:space="0" w:color="0B1F3A"/>
              <w:right w:val="single" w:sz="4" w:space="0" w:color="FFFFFF"/>
            </w:tcBorders>
            <w:shd w:val="clear" w:color="auto" w:fill="0B1F3A"/>
            <w:tcMar>
              <w:top w:w="90" w:type="dxa"/>
              <w:left w:w="90" w:type="dxa"/>
              <w:bottom w:w="90" w:type="dxa"/>
              <w:right w:w="90" w:type="dxa"/>
            </w:tcMar>
            <w:vAlign w:val="center"/>
          </w:tcPr>
          <w:p w14:paraId="12AD799C" w14:textId="77777777" w:rsidR="00E96623" w:rsidRDefault="00000000">
            <w:r>
              <w:rPr>
                <w:b/>
                <w:color w:val="FFFFFF"/>
                <w:sz w:val="17"/>
              </w:rPr>
              <w:t>Measure</w:t>
            </w:r>
          </w:p>
        </w:tc>
        <w:tc>
          <w:tcPr>
            <w:tcW w:w="3331" w:type="dxa"/>
            <w:tcBorders>
              <w:top w:val="single" w:sz="6" w:space="0" w:color="0B1F3A"/>
              <w:left w:val="single" w:sz="4" w:space="0" w:color="FFFFFF"/>
              <w:bottom w:val="single" w:sz="6" w:space="0" w:color="0B1F3A"/>
              <w:right w:val="single" w:sz="4" w:space="0" w:color="FFFFFF"/>
            </w:tcBorders>
            <w:shd w:val="clear" w:color="auto" w:fill="0B1F3A"/>
            <w:tcMar>
              <w:top w:w="90" w:type="dxa"/>
              <w:left w:w="90" w:type="dxa"/>
              <w:bottom w:w="90" w:type="dxa"/>
              <w:right w:w="90" w:type="dxa"/>
            </w:tcMar>
            <w:vAlign w:val="center"/>
          </w:tcPr>
          <w:p w14:paraId="241F0CD2" w14:textId="77777777" w:rsidR="00E96623" w:rsidRDefault="00000000">
            <w:r>
              <w:rPr>
                <w:b/>
                <w:color w:val="FFFFFF"/>
                <w:sz w:val="17"/>
              </w:rPr>
              <w:t>Formula / definition</w:t>
            </w:r>
          </w:p>
        </w:tc>
        <w:tc>
          <w:tcPr>
            <w:tcW w:w="3331" w:type="dxa"/>
            <w:tcBorders>
              <w:top w:val="single" w:sz="6" w:space="0" w:color="0B1F3A"/>
              <w:left w:val="single" w:sz="4" w:space="0" w:color="FFFFFF"/>
              <w:bottom w:val="single" w:sz="6" w:space="0" w:color="0B1F3A"/>
              <w:right w:val="single" w:sz="4" w:space="0" w:color="FFFFFF"/>
            </w:tcBorders>
            <w:shd w:val="clear" w:color="auto" w:fill="0B1F3A"/>
            <w:tcMar>
              <w:top w:w="90" w:type="dxa"/>
              <w:left w:w="90" w:type="dxa"/>
              <w:bottom w:w="90" w:type="dxa"/>
              <w:right w:w="90" w:type="dxa"/>
            </w:tcMar>
            <w:vAlign w:val="center"/>
          </w:tcPr>
          <w:p w14:paraId="563BA223" w14:textId="77777777" w:rsidR="00E96623" w:rsidRDefault="00000000">
            <w:r>
              <w:rPr>
                <w:b/>
                <w:color w:val="FFFFFF"/>
                <w:sz w:val="17"/>
              </w:rPr>
              <w:t>Implementation note</w:t>
            </w:r>
          </w:p>
        </w:tc>
      </w:tr>
      <w:tr w:rsidR="00E96623" w14:paraId="02009487" w14:textId="77777777">
        <w:trPr>
          <w:jc w:val="center"/>
        </w:trPr>
        <w:tc>
          <w:tcPr>
            <w:tcW w:w="2016"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3DDB7347" w14:textId="77777777" w:rsidR="00E96623" w:rsidRDefault="00000000">
            <w:r>
              <w:rPr>
                <w:sz w:val="16"/>
              </w:rPr>
              <w:t>CAGR</w:t>
            </w:r>
          </w:p>
        </w:tc>
        <w:tc>
          <w:tcPr>
            <w:tcW w:w="460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26E249CE" w14:textId="77777777" w:rsidR="00E96623" w:rsidRDefault="00000000">
            <w:r>
              <w:rPr>
                <w:sz w:val="16"/>
              </w:rPr>
              <w:t>(Final wealth / Initial wealth)^(12 / number of months) − 1</w:t>
            </w:r>
          </w:p>
        </w:tc>
        <w:tc>
          <w:tcPr>
            <w:tcW w:w="3024"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52362399" w14:textId="77777777" w:rsidR="00E96623" w:rsidRDefault="00000000">
            <w:r>
              <w:rPr>
                <w:sz w:val="16"/>
              </w:rPr>
              <w:t>Use geometric compounding, not arithmetic average.</w:t>
            </w:r>
          </w:p>
        </w:tc>
      </w:tr>
      <w:tr w:rsidR="00E96623" w14:paraId="3FE67EE4" w14:textId="77777777">
        <w:trPr>
          <w:jc w:val="center"/>
        </w:trPr>
        <w:tc>
          <w:tcPr>
            <w:tcW w:w="2016"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6B4EC0C1" w14:textId="77777777" w:rsidR="00E96623" w:rsidRDefault="00000000">
            <w:r>
              <w:rPr>
                <w:sz w:val="16"/>
              </w:rPr>
              <w:t>Annualized volatility</w:t>
            </w:r>
          </w:p>
        </w:tc>
        <w:tc>
          <w:tcPr>
            <w:tcW w:w="460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4745916B" w14:textId="77777777" w:rsidR="00E96623" w:rsidRDefault="00000000">
            <w:r>
              <w:rPr>
                <w:sz w:val="16"/>
              </w:rPr>
              <w:t>Standard deviation of monthly returns × √12</w:t>
            </w:r>
          </w:p>
        </w:tc>
        <w:tc>
          <w:tcPr>
            <w:tcW w:w="3024"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52E8969A" w14:textId="77777777" w:rsidR="00E96623" w:rsidRDefault="00000000">
            <w:r>
              <w:rPr>
                <w:sz w:val="16"/>
              </w:rPr>
              <w:t>Report both nominal and downside measures.</w:t>
            </w:r>
          </w:p>
        </w:tc>
      </w:tr>
      <w:tr w:rsidR="00E96623" w14:paraId="50A6B3E4" w14:textId="77777777">
        <w:trPr>
          <w:jc w:val="center"/>
        </w:trPr>
        <w:tc>
          <w:tcPr>
            <w:tcW w:w="2016"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089ECEB8" w14:textId="77777777" w:rsidR="00E96623" w:rsidRDefault="00000000">
            <w:r>
              <w:rPr>
                <w:sz w:val="16"/>
              </w:rPr>
              <w:t>Sharpe ratio</w:t>
            </w:r>
          </w:p>
        </w:tc>
        <w:tc>
          <w:tcPr>
            <w:tcW w:w="460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4F6D0CCF" w14:textId="77777777" w:rsidR="00E96623" w:rsidRDefault="00000000">
            <w:r>
              <w:rPr>
                <w:sz w:val="16"/>
              </w:rPr>
              <w:t>Annualized mean excess return / annualized volatility</w:t>
            </w:r>
          </w:p>
        </w:tc>
        <w:tc>
          <w:tcPr>
            <w:tcW w:w="3024"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2591423C" w14:textId="77777777" w:rsidR="00E96623" w:rsidRDefault="00000000">
            <w:r>
              <w:rPr>
                <w:sz w:val="16"/>
              </w:rPr>
              <w:t>Use a monthly risk-free series aligned to returns.</w:t>
            </w:r>
          </w:p>
        </w:tc>
      </w:tr>
      <w:tr w:rsidR="00E96623" w14:paraId="1D500C48" w14:textId="77777777">
        <w:trPr>
          <w:jc w:val="center"/>
        </w:trPr>
        <w:tc>
          <w:tcPr>
            <w:tcW w:w="2016"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264FFF3B" w14:textId="77777777" w:rsidR="00E96623" w:rsidRDefault="00000000">
            <w:r>
              <w:rPr>
                <w:sz w:val="16"/>
              </w:rPr>
              <w:t>Downside deviation</w:t>
            </w:r>
          </w:p>
        </w:tc>
        <w:tc>
          <w:tcPr>
            <w:tcW w:w="460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65FF4642" w14:textId="77777777" w:rsidR="00E96623" w:rsidRDefault="00000000">
            <w:r>
              <w:rPr>
                <w:sz w:val="16"/>
              </w:rPr>
              <w:t>√[12 × mean(min(rₜ − MAR, 0)²)]</w:t>
            </w:r>
          </w:p>
        </w:tc>
        <w:tc>
          <w:tcPr>
            <w:tcW w:w="3024"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0D374B4A" w14:textId="77777777" w:rsidR="00E96623" w:rsidRDefault="00000000">
            <w:r>
              <w:rPr>
                <w:sz w:val="16"/>
              </w:rPr>
              <w:t>Minimum acceptable return (MAR) set to monthly risk-free rate in base case.</w:t>
            </w:r>
          </w:p>
        </w:tc>
      </w:tr>
      <w:tr w:rsidR="00E96623" w14:paraId="3E70C633" w14:textId="77777777">
        <w:trPr>
          <w:jc w:val="center"/>
        </w:trPr>
        <w:tc>
          <w:tcPr>
            <w:tcW w:w="2016"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22F3FB0D" w14:textId="77777777" w:rsidR="00E96623" w:rsidRDefault="00000000">
            <w:r>
              <w:rPr>
                <w:sz w:val="16"/>
              </w:rPr>
              <w:t>Sortino ratio</w:t>
            </w:r>
          </w:p>
        </w:tc>
        <w:tc>
          <w:tcPr>
            <w:tcW w:w="460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04F2F3D9" w14:textId="77777777" w:rsidR="00E96623" w:rsidRDefault="00000000">
            <w:r>
              <w:rPr>
                <w:sz w:val="16"/>
              </w:rPr>
              <w:t>Annualized excess return / annualized downside deviation</w:t>
            </w:r>
          </w:p>
        </w:tc>
        <w:tc>
          <w:tcPr>
            <w:tcW w:w="3024"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7781824D" w14:textId="77777777" w:rsidR="00E96623" w:rsidRDefault="00000000">
            <w:r>
              <w:rPr>
                <w:sz w:val="16"/>
              </w:rPr>
              <w:t>Interpret with observation count and distribution limits.</w:t>
            </w:r>
          </w:p>
        </w:tc>
      </w:tr>
      <w:tr w:rsidR="00E96623" w14:paraId="0701E9E2" w14:textId="77777777">
        <w:trPr>
          <w:jc w:val="center"/>
        </w:trPr>
        <w:tc>
          <w:tcPr>
            <w:tcW w:w="2016"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077060AE" w14:textId="77777777" w:rsidR="00E96623" w:rsidRDefault="00000000">
            <w:r>
              <w:rPr>
                <w:sz w:val="16"/>
              </w:rPr>
              <w:t>Maximum drawdown</w:t>
            </w:r>
          </w:p>
        </w:tc>
        <w:tc>
          <w:tcPr>
            <w:tcW w:w="460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7D39B7FE" w14:textId="77777777" w:rsidR="00E96623" w:rsidRDefault="00000000">
            <w:r>
              <w:rPr>
                <w:sz w:val="16"/>
              </w:rPr>
              <w:t>Minimum of cumulative wealth / prior running maximum − 1</w:t>
            </w:r>
          </w:p>
        </w:tc>
        <w:tc>
          <w:tcPr>
            <w:tcW w:w="3024"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2A5481BD" w14:textId="77777777" w:rsidR="00E96623" w:rsidRDefault="00000000">
            <w:r>
              <w:rPr>
                <w:sz w:val="16"/>
              </w:rPr>
              <w:t>Report depth and duration.</w:t>
            </w:r>
          </w:p>
        </w:tc>
      </w:tr>
      <w:tr w:rsidR="00E96623" w14:paraId="2DB06A5B" w14:textId="77777777">
        <w:trPr>
          <w:jc w:val="center"/>
        </w:trPr>
        <w:tc>
          <w:tcPr>
            <w:tcW w:w="2016"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6F763BBF" w14:textId="77777777" w:rsidR="00E96623" w:rsidRDefault="00000000">
            <w:r>
              <w:rPr>
                <w:sz w:val="16"/>
              </w:rPr>
              <w:t>Historical VaR 95%</w:t>
            </w:r>
          </w:p>
        </w:tc>
        <w:tc>
          <w:tcPr>
            <w:tcW w:w="460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25DEF484" w14:textId="77777777" w:rsidR="00E96623" w:rsidRDefault="00000000">
            <w:r>
              <w:rPr>
                <w:sz w:val="16"/>
              </w:rPr>
              <w:t>Negative fifth percentile of monthly return</w:t>
            </w:r>
          </w:p>
        </w:tc>
        <w:tc>
          <w:tcPr>
            <w:tcW w:w="3024"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7557359B" w14:textId="77777777" w:rsidR="00E96623" w:rsidRDefault="00000000">
            <w:r>
              <w:rPr>
                <w:sz w:val="16"/>
              </w:rPr>
              <w:t>A threshold, not average tail severity.</w:t>
            </w:r>
          </w:p>
        </w:tc>
      </w:tr>
      <w:tr w:rsidR="00E96623" w14:paraId="01B2D28F" w14:textId="77777777">
        <w:trPr>
          <w:jc w:val="center"/>
        </w:trPr>
        <w:tc>
          <w:tcPr>
            <w:tcW w:w="2016"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63ECE006" w14:textId="77777777" w:rsidR="00E96623" w:rsidRDefault="00000000">
            <w:r>
              <w:rPr>
                <w:sz w:val="16"/>
              </w:rPr>
              <w:t>Historical CVaR 95%</w:t>
            </w:r>
          </w:p>
        </w:tc>
        <w:tc>
          <w:tcPr>
            <w:tcW w:w="460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115B4483" w14:textId="77777777" w:rsidR="00E96623" w:rsidRDefault="00000000">
            <w:r>
              <w:rPr>
                <w:sz w:val="16"/>
              </w:rPr>
              <w:t>Negative average return at or below fifth percentile</w:t>
            </w:r>
          </w:p>
        </w:tc>
        <w:tc>
          <w:tcPr>
            <w:tcW w:w="3024"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75601281" w14:textId="77777777" w:rsidR="00E96623" w:rsidRDefault="00000000">
            <w:r>
              <w:rPr>
                <w:sz w:val="16"/>
              </w:rPr>
              <w:t>Use consistent sign convention throughout.</w:t>
            </w:r>
          </w:p>
        </w:tc>
      </w:tr>
      <w:tr w:rsidR="00E96623" w14:paraId="2E423C41" w14:textId="77777777">
        <w:trPr>
          <w:jc w:val="center"/>
        </w:trPr>
        <w:tc>
          <w:tcPr>
            <w:tcW w:w="2016"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44445672" w14:textId="77777777" w:rsidR="00E96623" w:rsidRDefault="00000000">
            <w:r>
              <w:t>Real CAGR</w:t>
            </w:r>
          </w:p>
        </w:tc>
        <w:tc>
          <w:tcPr>
            <w:tcW w:w="4608"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0CB52A7D" w14:textId="77777777" w:rsidR="00E96623" w:rsidRDefault="00000000">
            <w:r>
              <w:t>(Nominal growth / cumulative CPI growth)^(12 / number of months) − 1</w:t>
            </w:r>
          </w:p>
        </w:tc>
        <w:tc>
          <w:tcPr>
            <w:tcW w:w="3024" w:type="dxa"/>
            <w:tcBorders>
              <w:top w:val="single" w:sz="3" w:space="0" w:color="CBD2D9"/>
              <w:left w:val="single" w:sz="3" w:space="0" w:color="CBD2D9"/>
              <w:bottom w:val="single" w:sz="3" w:space="0" w:color="CBD2D9"/>
              <w:right w:val="single" w:sz="3" w:space="0" w:color="CBD2D9"/>
            </w:tcBorders>
            <w:shd w:val="clear" w:color="auto" w:fill="FFFFFF"/>
            <w:tcMar>
              <w:top w:w="75" w:type="dxa"/>
              <w:left w:w="85" w:type="dxa"/>
              <w:bottom w:w="75" w:type="dxa"/>
              <w:right w:w="85" w:type="dxa"/>
            </w:tcMar>
          </w:tcPr>
          <w:p w14:paraId="1D2BA413" w14:textId="77777777" w:rsidR="00E96623" w:rsidRDefault="00000000">
            <w:r>
              <w:t>Endpoint CPI method used because October 2025 CPI is unavailable.</w:t>
            </w:r>
          </w:p>
        </w:tc>
      </w:tr>
      <w:tr w:rsidR="00E96623" w14:paraId="75B0BA27" w14:textId="77777777">
        <w:trPr>
          <w:jc w:val="center"/>
        </w:trPr>
        <w:tc>
          <w:tcPr>
            <w:tcW w:w="2016"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3E0E4ACD" w14:textId="77777777" w:rsidR="00E96623" w:rsidRDefault="00000000">
            <w:r>
              <w:rPr>
                <w:sz w:val="16"/>
              </w:rPr>
              <w:t>Turnover</w:t>
            </w:r>
          </w:p>
        </w:tc>
        <w:tc>
          <w:tcPr>
            <w:tcW w:w="4608"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4558755C" w14:textId="77777777" w:rsidR="00E96623" w:rsidRDefault="00000000">
            <w:r>
              <w:rPr>
                <w:sz w:val="16"/>
              </w:rPr>
              <w:t>0.5 × sum of absolute target-minus-pretrade weight changes</w:t>
            </w:r>
          </w:p>
        </w:tc>
        <w:tc>
          <w:tcPr>
            <w:tcW w:w="3024" w:type="dxa"/>
            <w:tcBorders>
              <w:top w:val="single" w:sz="3" w:space="0" w:color="CBD2D9"/>
              <w:left w:val="single" w:sz="3" w:space="0" w:color="CBD2D9"/>
              <w:bottom w:val="single" w:sz="3" w:space="0" w:color="CBD2D9"/>
              <w:right w:val="single" w:sz="3" w:space="0" w:color="CBD2D9"/>
            </w:tcBorders>
            <w:shd w:val="clear" w:color="auto" w:fill="F2F4F7"/>
            <w:tcMar>
              <w:top w:w="75" w:type="dxa"/>
              <w:left w:w="85" w:type="dxa"/>
              <w:bottom w:w="75" w:type="dxa"/>
              <w:right w:w="85" w:type="dxa"/>
            </w:tcMar>
          </w:tcPr>
          <w:p w14:paraId="6D9B30EC" w14:textId="77777777" w:rsidR="00E96623" w:rsidRDefault="00000000">
            <w:r>
              <w:rPr>
                <w:sz w:val="16"/>
              </w:rPr>
              <w:t>Report annualized average and maximum quarter.</w:t>
            </w:r>
          </w:p>
        </w:tc>
      </w:tr>
    </w:tbl>
    <w:p w14:paraId="17E26414" w14:textId="77777777" w:rsidR="00E96623" w:rsidRDefault="00E96623">
      <w:pPr>
        <w:spacing w:after="0"/>
      </w:pPr>
    </w:p>
    <w:p w14:paraId="42FB8861" w14:textId="77777777" w:rsidR="00381699" w:rsidRDefault="00381699">
      <w:pPr>
        <w:pStyle w:val="Heading1"/>
        <w:rPr>
          <w:rFonts w:ascii="Cambria" w:hAnsi="Cambria"/>
        </w:rPr>
      </w:pPr>
    </w:p>
    <w:p w14:paraId="45502A52" w14:textId="77777777" w:rsidR="00381699" w:rsidRDefault="00381699" w:rsidP="00381699"/>
    <w:p w14:paraId="1EDBE9A1" w14:textId="77777777" w:rsidR="00381699" w:rsidRPr="00381699" w:rsidRDefault="00381699" w:rsidP="00381699"/>
    <w:p w14:paraId="63261B1F" w14:textId="5CD3C363" w:rsidR="00E96623" w:rsidRDefault="00000000">
      <w:pPr>
        <w:pStyle w:val="Heading1"/>
      </w:pPr>
      <w:r>
        <w:rPr>
          <w:rFonts w:ascii="Cambria" w:hAnsi="Cambria"/>
        </w:rPr>
        <w:lastRenderedPageBreak/>
        <w:t>Appendix B. Data Dictionary</w:t>
      </w:r>
    </w:p>
    <w:p w14:paraId="47EB5585" w14:textId="77777777" w:rsidR="00E96623" w:rsidRDefault="00000000">
      <w:pPr>
        <w:keepNext/>
      </w:pPr>
      <w:r>
        <w:t>Table B1. Processed dataset fields</w:t>
      </w:r>
    </w:p>
    <w:tbl>
      <w:tblPr>
        <w:tblW w:w="0" w:type="auto"/>
        <w:jc w:val="center"/>
        <w:tblLook w:val="04A0" w:firstRow="1" w:lastRow="0" w:firstColumn="1" w:lastColumn="0" w:noHBand="0" w:noVBand="1"/>
      </w:tblPr>
      <w:tblGrid>
        <w:gridCol w:w="2289"/>
        <w:gridCol w:w="1558"/>
        <w:gridCol w:w="6307"/>
      </w:tblGrid>
      <w:tr w:rsidR="00E96623" w14:paraId="544ED187" w14:textId="77777777">
        <w:trPr>
          <w:tblHeader/>
          <w:jc w:val="center"/>
        </w:trPr>
        <w:tc>
          <w:tcPr>
            <w:tcW w:w="2304" w:type="dxa"/>
            <w:shd w:val="clear" w:color="auto" w:fill="0B1F3A"/>
            <w:tcMar>
              <w:top w:w="80" w:type="dxa"/>
              <w:left w:w="80" w:type="dxa"/>
              <w:bottom w:w="80" w:type="dxa"/>
              <w:right w:w="80" w:type="dxa"/>
            </w:tcMar>
            <w:vAlign w:val="center"/>
          </w:tcPr>
          <w:p w14:paraId="2A3CA051" w14:textId="77777777" w:rsidR="00E96623" w:rsidRDefault="00000000">
            <w:r>
              <w:rPr>
                <w:b/>
                <w:color w:val="FFFFFF"/>
                <w:sz w:val="16"/>
              </w:rPr>
              <w:t>Field</w:t>
            </w:r>
          </w:p>
        </w:tc>
        <w:tc>
          <w:tcPr>
            <w:tcW w:w="1584" w:type="dxa"/>
            <w:shd w:val="clear" w:color="auto" w:fill="0B1F3A"/>
            <w:tcMar>
              <w:top w:w="80" w:type="dxa"/>
              <w:left w:w="80" w:type="dxa"/>
              <w:bottom w:w="80" w:type="dxa"/>
              <w:right w:w="80" w:type="dxa"/>
            </w:tcMar>
            <w:vAlign w:val="center"/>
          </w:tcPr>
          <w:p w14:paraId="72DF0476" w14:textId="77777777" w:rsidR="00E96623" w:rsidRDefault="00000000">
            <w:r>
              <w:rPr>
                <w:b/>
                <w:color w:val="FFFFFF"/>
                <w:sz w:val="16"/>
              </w:rPr>
              <w:t>Type</w:t>
            </w:r>
          </w:p>
        </w:tc>
        <w:tc>
          <w:tcPr>
            <w:tcW w:w="6480" w:type="dxa"/>
            <w:shd w:val="clear" w:color="auto" w:fill="0B1F3A"/>
            <w:tcMar>
              <w:top w:w="80" w:type="dxa"/>
              <w:left w:w="80" w:type="dxa"/>
              <w:bottom w:w="80" w:type="dxa"/>
              <w:right w:w="80" w:type="dxa"/>
            </w:tcMar>
            <w:vAlign w:val="center"/>
          </w:tcPr>
          <w:p w14:paraId="70BB162E" w14:textId="77777777" w:rsidR="00E96623" w:rsidRDefault="00000000">
            <w:r>
              <w:rPr>
                <w:b/>
                <w:color w:val="FFFFFF"/>
                <w:sz w:val="16"/>
              </w:rPr>
              <w:t>Description</w:t>
            </w:r>
          </w:p>
        </w:tc>
      </w:tr>
      <w:tr w:rsidR="00E96623" w14:paraId="75D69812" w14:textId="77777777">
        <w:trPr>
          <w:jc w:val="center"/>
        </w:trPr>
        <w:tc>
          <w:tcPr>
            <w:tcW w:w="2304" w:type="dxa"/>
            <w:shd w:val="clear" w:color="auto" w:fill="FFFFFF"/>
            <w:tcMar>
              <w:top w:w="80" w:type="dxa"/>
              <w:left w:w="80" w:type="dxa"/>
              <w:bottom w:w="80" w:type="dxa"/>
              <w:right w:w="80" w:type="dxa"/>
            </w:tcMar>
            <w:vAlign w:val="center"/>
          </w:tcPr>
          <w:p w14:paraId="6EC91AC1" w14:textId="77777777" w:rsidR="00E96623" w:rsidRDefault="00000000">
            <w:r>
              <w:rPr>
                <w:b/>
                <w:sz w:val="16"/>
              </w:rPr>
              <w:t>date</w:t>
            </w:r>
          </w:p>
        </w:tc>
        <w:tc>
          <w:tcPr>
            <w:tcW w:w="1584" w:type="dxa"/>
            <w:shd w:val="clear" w:color="auto" w:fill="FFFFFF"/>
            <w:tcMar>
              <w:top w:w="80" w:type="dxa"/>
              <w:left w:w="80" w:type="dxa"/>
              <w:bottom w:w="80" w:type="dxa"/>
              <w:right w:w="80" w:type="dxa"/>
            </w:tcMar>
            <w:vAlign w:val="center"/>
          </w:tcPr>
          <w:p w14:paraId="341461D7" w14:textId="77777777" w:rsidR="00E96623" w:rsidRDefault="00000000">
            <w:r>
              <w:rPr>
                <w:sz w:val="16"/>
              </w:rPr>
              <w:t>month-end date</w:t>
            </w:r>
          </w:p>
        </w:tc>
        <w:tc>
          <w:tcPr>
            <w:tcW w:w="6480" w:type="dxa"/>
            <w:shd w:val="clear" w:color="auto" w:fill="FFFFFF"/>
            <w:tcMar>
              <w:top w:w="80" w:type="dxa"/>
              <w:left w:w="80" w:type="dxa"/>
              <w:bottom w:w="80" w:type="dxa"/>
              <w:right w:w="80" w:type="dxa"/>
            </w:tcMar>
            <w:vAlign w:val="center"/>
          </w:tcPr>
          <w:p w14:paraId="0CFA352C" w14:textId="77777777" w:rsidR="00E96623" w:rsidRDefault="00000000">
            <w:r>
              <w:rPr>
                <w:sz w:val="16"/>
              </w:rPr>
              <w:t>Common observation date after alignment</w:t>
            </w:r>
          </w:p>
        </w:tc>
      </w:tr>
      <w:tr w:rsidR="00E96623" w14:paraId="7269451E" w14:textId="77777777">
        <w:trPr>
          <w:jc w:val="center"/>
        </w:trPr>
        <w:tc>
          <w:tcPr>
            <w:tcW w:w="2304" w:type="dxa"/>
            <w:shd w:val="clear" w:color="auto" w:fill="F2F4F7"/>
            <w:tcMar>
              <w:top w:w="80" w:type="dxa"/>
              <w:left w:w="80" w:type="dxa"/>
              <w:bottom w:w="80" w:type="dxa"/>
              <w:right w:w="80" w:type="dxa"/>
            </w:tcMar>
            <w:vAlign w:val="center"/>
          </w:tcPr>
          <w:p w14:paraId="4494E87E" w14:textId="77777777" w:rsidR="00E96623" w:rsidRDefault="00000000">
            <w:r>
              <w:rPr>
                <w:b/>
                <w:sz w:val="16"/>
              </w:rPr>
              <w:t>adj_price_&lt;ticker&gt;</w:t>
            </w:r>
          </w:p>
        </w:tc>
        <w:tc>
          <w:tcPr>
            <w:tcW w:w="1584" w:type="dxa"/>
            <w:shd w:val="clear" w:color="auto" w:fill="F2F4F7"/>
            <w:tcMar>
              <w:top w:w="80" w:type="dxa"/>
              <w:left w:w="80" w:type="dxa"/>
              <w:bottom w:w="80" w:type="dxa"/>
              <w:right w:w="80" w:type="dxa"/>
            </w:tcMar>
            <w:vAlign w:val="center"/>
          </w:tcPr>
          <w:p w14:paraId="1FA810A7" w14:textId="77777777" w:rsidR="00E96623" w:rsidRDefault="00000000">
            <w:r>
              <w:rPr>
                <w:sz w:val="16"/>
              </w:rPr>
              <w:t>float</w:t>
            </w:r>
          </w:p>
        </w:tc>
        <w:tc>
          <w:tcPr>
            <w:tcW w:w="6480" w:type="dxa"/>
            <w:shd w:val="clear" w:color="auto" w:fill="F2F4F7"/>
            <w:tcMar>
              <w:top w:w="80" w:type="dxa"/>
              <w:left w:w="80" w:type="dxa"/>
              <w:bottom w:w="80" w:type="dxa"/>
              <w:right w:w="80" w:type="dxa"/>
            </w:tcMar>
            <w:vAlign w:val="center"/>
          </w:tcPr>
          <w:p w14:paraId="0D939935" w14:textId="77777777" w:rsidR="00E96623" w:rsidRDefault="00000000">
            <w:r>
              <w:rPr>
                <w:sz w:val="16"/>
              </w:rPr>
              <w:t>Month-end adjusted closing price for each ETF proxy</w:t>
            </w:r>
          </w:p>
        </w:tc>
      </w:tr>
      <w:tr w:rsidR="00E96623" w14:paraId="4763613C" w14:textId="77777777">
        <w:trPr>
          <w:jc w:val="center"/>
        </w:trPr>
        <w:tc>
          <w:tcPr>
            <w:tcW w:w="2304" w:type="dxa"/>
            <w:shd w:val="clear" w:color="auto" w:fill="FFFFFF"/>
            <w:tcMar>
              <w:top w:w="80" w:type="dxa"/>
              <w:left w:w="80" w:type="dxa"/>
              <w:bottom w:w="80" w:type="dxa"/>
              <w:right w:w="80" w:type="dxa"/>
            </w:tcMar>
            <w:vAlign w:val="center"/>
          </w:tcPr>
          <w:p w14:paraId="4B8D78F3" w14:textId="77777777" w:rsidR="00E96623" w:rsidRDefault="00000000">
            <w:r>
              <w:rPr>
                <w:b/>
                <w:sz w:val="16"/>
              </w:rPr>
              <w:t>return_&lt;ticker&gt;</w:t>
            </w:r>
          </w:p>
        </w:tc>
        <w:tc>
          <w:tcPr>
            <w:tcW w:w="1584" w:type="dxa"/>
            <w:shd w:val="clear" w:color="auto" w:fill="FFFFFF"/>
            <w:tcMar>
              <w:top w:w="80" w:type="dxa"/>
              <w:left w:w="80" w:type="dxa"/>
              <w:bottom w:w="80" w:type="dxa"/>
              <w:right w:w="80" w:type="dxa"/>
            </w:tcMar>
            <w:vAlign w:val="center"/>
          </w:tcPr>
          <w:p w14:paraId="0D65CF3B" w14:textId="77777777" w:rsidR="00E96623" w:rsidRDefault="00000000">
            <w:r>
              <w:rPr>
                <w:sz w:val="16"/>
              </w:rPr>
              <w:t>float</w:t>
            </w:r>
          </w:p>
        </w:tc>
        <w:tc>
          <w:tcPr>
            <w:tcW w:w="6480" w:type="dxa"/>
            <w:shd w:val="clear" w:color="auto" w:fill="FFFFFF"/>
            <w:tcMar>
              <w:top w:w="80" w:type="dxa"/>
              <w:left w:w="80" w:type="dxa"/>
              <w:bottom w:w="80" w:type="dxa"/>
              <w:right w:w="80" w:type="dxa"/>
            </w:tcMar>
            <w:vAlign w:val="center"/>
          </w:tcPr>
          <w:p w14:paraId="15CBD2D1" w14:textId="77777777" w:rsidR="00E96623" w:rsidRDefault="00000000">
            <w:r>
              <w:rPr>
                <w:sz w:val="16"/>
              </w:rPr>
              <w:t>Simple monthly total return from adjusted prices</w:t>
            </w:r>
          </w:p>
        </w:tc>
      </w:tr>
      <w:tr w:rsidR="00E96623" w14:paraId="4F42CCC2" w14:textId="77777777">
        <w:trPr>
          <w:jc w:val="center"/>
        </w:trPr>
        <w:tc>
          <w:tcPr>
            <w:tcW w:w="2304" w:type="dxa"/>
            <w:shd w:val="clear" w:color="auto" w:fill="F2F4F7"/>
            <w:tcMar>
              <w:top w:w="80" w:type="dxa"/>
              <w:left w:w="80" w:type="dxa"/>
              <w:bottom w:w="80" w:type="dxa"/>
              <w:right w:w="80" w:type="dxa"/>
            </w:tcMar>
            <w:vAlign w:val="center"/>
          </w:tcPr>
          <w:p w14:paraId="4A96154F" w14:textId="77777777" w:rsidR="00E96623" w:rsidRDefault="00000000">
            <w:r>
              <w:rPr>
                <w:b/>
                <w:sz w:val="16"/>
              </w:rPr>
              <w:t>cpi_index</w:t>
            </w:r>
          </w:p>
        </w:tc>
        <w:tc>
          <w:tcPr>
            <w:tcW w:w="1584" w:type="dxa"/>
            <w:shd w:val="clear" w:color="auto" w:fill="F2F4F7"/>
            <w:tcMar>
              <w:top w:w="80" w:type="dxa"/>
              <w:left w:w="80" w:type="dxa"/>
              <w:bottom w:w="80" w:type="dxa"/>
              <w:right w:w="80" w:type="dxa"/>
            </w:tcMar>
            <w:vAlign w:val="center"/>
          </w:tcPr>
          <w:p w14:paraId="7ABC61B8" w14:textId="77777777" w:rsidR="00E96623" w:rsidRDefault="00000000">
            <w:r>
              <w:rPr>
                <w:sz w:val="16"/>
              </w:rPr>
              <w:t>float</w:t>
            </w:r>
          </w:p>
        </w:tc>
        <w:tc>
          <w:tcPr>
            <w:tcW w:w="6480" w:type="dxa"/>
            <w:shd w:val="clear" w:color="auto" w:fill="F2F4F7"/>
            <w:tcMar>
              <w:top w:w="80" w:type="dxa"/>
              <w:left w:w="80" w:type="dxa"/>
              <w:bottom w:w="80" w:type="dxa"/>
              <w:right w:w="80" w:type="dxa"/>
            </w:tcMar>
            <w:vAlign w:val="center"/>
          </w:tcPr>
          <w:p w14:paraId="27FDD0DF" w14:textId="77777777" w:rsidR="00E96623" w:rsidRDefault="00000000">
            <w:r>
              <w:rPr>
                <w:sz w:val="16"/>
              </w:rPr>
              <w:t>CPIAUCSL index level; October 2025 is unavailable</w:t>
            </w:r>
          </w:p>
        </w:tc>
      </w:tr>
      <w:tr w:rsidR="00E96623" w14:paraId="65ECEED2" w14:textId="77777777">
        <w:trPr>
          <w:jc w:val="center"/>
        </w:trPr>
        <w:tc>
          <w:tcPr>
            <w:tcW w:w="2304" w:type="dxa"/>
            <w:shd w:val="clear" w:color="auto" w:fill="FFFFFF"/>
            <w:tcMar>
              <w:top w:w="80" w:type="dxa"/>
              <w:left w:w="80" w:type="dxa"/>
              <w:bottom w:w="80" w:type="dxa"/>
              <w:right w:w="80" w:type="dxa"/>
            </w:tcMar>
            <w:vAlign w:val="center"/>
          </w:tcPr>
          <w:p w14:paraId="50B60ED5" w14:textId="77777777" w:rsidR="00E96623" w:rsidRDefault="00000000">
            <w:r>
              <w:rPr>
                <w:b/>
                <w:sz w:val="16"/>
              </w:rPr>
              <w:t>infl_yoy</w:t>
            </w:r>
          </w:p>
        </w:tc>
        <w:tc>
          <w:tcPr>
            <w:tcW w:w="1584" w:type="dxa"/>
            <w:shd w:val="clear" w:color="auto" w:fill="FFFFFF"/>
            <w:tcMar>
              <w:top w:w="80" w:type="dxa"/>
              <w:left w:w="80" w:type="dxa"/>
              <w:bottom w:w="80" w:type="dxa"/>
              <w:right w:w="80" w:type="dxa"/>
            </w:tcMar>
            <w:vAlign w:val="center"/>
          </w:tcPr>
          <w:p w14:paraId="7363F1D8" w14:textId="77777777" w:rsidR="00E96623" w:rsidRDefault="00000000">
            <w:r>
              <w:rPr>
                <w:sz w:val="16"/>
              </w:rPr>
              <w:t>float</w:t>
            </w:r>
          </w:p>
        </w:tc>
        <w:tc>
          <w:tcPr>
            <w:tcW w:w="6480" w:type="dxa"/>
            <w:shd w:val="clear" w:color="auto" w:fill="FFFFFF"/>
            <w:tcMar>
              <w:top w:w="80" w:type="dxa"/>
              <w:left w:w="80" w:type="dxa"/>
              <w:bottom w:w="80" w:type="dxa"/>
              <w:right w:w="80" w:type="dxa"/>
            </w:tcMar>
            <w:vAlign w:val="center"/>
          </w:tcPr>
          <w:p w14:paraId="5C41DDF5" w14:textId="77777777" w:rsidR="00E96623" w:rsidRDefault="00000000">
            <w:r>
              <w:rPr>
                <w:sz w:val="16"/>
              </w:rPr>
              <w:t>Twelve-month percentage change in CPI when calculable</w:t>
            </w:r>
          </w:p>
        </w:tc>
      </w:tr>
      <w:tr w:rsidR="00E96623" w14:paraId="49439F5C" w14:textId="77777777">
        <w:trPr>
          <w:jc w:val="center"/>
        </w:trPr>
        <w:tc>
          <w:tcPr>
            <w:tcW w:w="2304" w:type="dxa"/>
            <w:shd w:val="clear" w:color="auto" w:fill="F2F4F7"/>
            <w:tcMar>
              <w:top w:w="80" w:type="dxa"/>
              <w:left w:w="80" w:type="dxa"/>
              <w:bottom w:w="80" w:type="dxa"/>
              <w:right w:w="80" w:type="dxa"/>
            </w:tcMar>
            <w:vAlign w:val="center"/>
          </w:tcPr>
          <w:p w14:paraId="4D92E0EE" w14:textId="77777777" w:rsidR="00E96623" w:rsidRDefault="00000000">
            <w:r>
              <w:rPr>
                <w:b/>
                <w:sz w:val="16"/>
              </w:rPr>
              <w:t>inflation_signal</w:t>
            </w:r>
          </w:p>
        </w:tc>
        <w:tc>
          <w:tcPr>
            <w:tcW w:w="1584" w:type="dxa"/>
            <w:shd w:val="clear" w:color="auto" w:fill="F2F4F7"/>
            <w:tcMar>
              <w:top w:w="80" w:type="dxa"/>
              <w:left w:w="80" w:type="dxa"/>
              <w:bottom w:w="80" w:type="dxa"/>
              <w:right w:w="80" w:type="dxa"/>
            </w:tcMar>
            <w:vAlign w:val="center"/>
          </w:tcPr>
          <w:p w14:paraId="16CBE0DB" w14:textId="77777777" w:rsidR="00E96623" w:rsidRDefault="00000000">
            <w:r>
              <w:rPr>
                <w:sz w:val="16"/>
              </w:rPr>
              <w:t>float</w:t>
            </w:r>
          </w:p>
        </w:tc>
        <w:tc>
          <w:tcPr>
            <w:tcW w:w="6480" w:type="dxa"/>
            <w:shd w:val="clear" w:color="auto" w:fill="F2F4F7"/>
            <w:tcMar>
              <w:top w:w="80" w:type="dxa"/>
              <w:left w:w="80" w:type="dxa"/>
              <w:bottom w:w="80" w:type="dxa"/>
              <w:right w:w="80" w:type="dxa"/>
            </w:tcMar>
            <w:vAlign w:val="center"/>
          </w:tcPr>
          <w:p w14:paraId="267DF598" w14:textId="77777777" w:rsidR="00E96623" w:rsidRDefault="00000000">
            <w:r>
              <w:rPr>
                <w:sz w:val="16"/>
              </w:rPr>
              <w:t>Two-month-lagged year-over-year CPI, carrying the last published observation when unavailable</w:t>
            </w:r>
          </w:p>
        </w:tc>
      </w:tr>
      <w:tr w:rsidR="00E96623" w14:paraId="69815CA8" w14:textId="77777777">
        <w:trPr>
          <w:jc w:val="center"/>
        </w:trPr>
        <w:tc>
          <w:tcPr>
            <w:tcW w:w="2304" w:type="dxa"/>
            <w:shd w:val="clear" w:color="auto" w:fill="FFFFFF"/>
            <w:tcMar>
              <w:top w:w="80" w:type="dxa"/>
              <w:left w:w="80" w:type="dxa"/>
              <w:bottom w:w="80" w:type="dxa"/>
              <w:right w:w="80" w:type="dxa"/>
            </w:tcMar>
            <w:vAlign w:val="center"/>
          </w:tcPr>
          <w:p w14:paraId="42456FC7" w14:textId="77777777" w:rsidR="00E96623" w:rsidRDefault="00000000">
            <w:r>
              <w:rPr>
                <w:b/>
                <w:sz w:val="16"/>
              </w:rPr>
              <w:t>inflation_trend</w:t>
            </w:r>
          </w:p>
        </w:tc>
        <w:tc>
          <w:tcPr>
            <w:tcW w:w="1584" w:type="dxa"/>
            <w:shd w:val="clear" w:color="auto" w:fill="FFFFFF"/>
            <w:tcMar>
              <w:top w:w="80" w:type="dxa"/>
              <w:left w:w="80" w:type="dxa"/>
              <w:bottom w:w="80" w:type="dxa"/>
              <w:right w:w="80" w:type="dxa"/>
            </w:tcMar>
            <w:vAlign w:val="center"/>
          </w:tcPr>
          <w:p w14:paraId="7CDDF995" w14:textId="77777777" w:rsidR="00E96623" w:rsidRDefault="00000000">
            <w:r>
              <w:rPr>
                <w:sz w:val="16"/>
              </w:rPr>
              <w:t>category</w:t>
            </w:r>
          </w:p>
        </w:tc>
        <w:tc>
          <w:tcPr>
            <w:tcW w:w="6480" w:type="dxa"/>
            <w:shd w:val="clear" w:color="auto" w:fill="FFFFFF"/>
            <w:tcMar>
              <w:top w:w="80" w:type="dxa"/>
              <w:left w:w="80" w:type="dxa"/>
              <w:bottom w:w="80" w:type="dxa"/>
              <w:right w:w="80" w:type="dxa"/>
            </w:tcMar>
            <w:vAlign w:val="center"/>
          </w:tcPr>
          <w:p w14:paraId="6ABCD697" w14:textId="77777777" w:rsidR="00E96623" w:rsidRDefault="00000000">
            <w:r>
              <w:rPr>
                <w:sz w:val="16"/>
              </w:rPr>
              <w:t>Rising or falling based on the six-month signal change</w:t>
            </w:r>
          </w:p>
        </w:tc>
      </w:tr>
      <w:tr w:rsidR="00E96623" w14:paraId="4D770723" w14:textId="77777777">
        <w:trPr>
          <w:jc w:val="center"/>
        </w:trPr>
        <w:tc>
          <w:tcPr>
            <w:tcW w:w="2304" w:type="dxa"/>
            <w:shd w:val="clear" w:color="auto" w:fill="F2F4F7"/>
            <w:tcMar>
              <w:top w:w="80" w:type="dxa"/>
              <w:left w:w="80" w:type="dxa"/>
              <w:bottom w:w="80" w:type="dxa"/>
              <w:right w:w="80" w:type="dxa"/>
            </w:tcMar>
            <w:vAlign w:val="center"/>
          </w:tcPr>
          <w:p w14:paraId="22CC9843" w14:textId="77777777" w:rsidR="00E96623" w:rsidRDefault="00000000">
            <w:r>
              <w:rPr>
                <w:b/>
                <w:sz w:val="16"/>
              </w:rPr>
              <w:t>fedfunds</w:t>
            </w:r>
          </w:p>
        </w:tc>
        <w:tc>
          <w:tcPr>
            <w:tcW w:w="1584" w:type="dxa"/>
            <w:shd w:val="clear" w:color="auto" w:fill="F2F4F7"/>
            <w:tcMar>
              <w:top w:w="80" w:type="dxa"/>
              <w:left w:w="80" w:type="dxa"/>
              <w:bottom w:w="80" w:type="dxa"/>
              <w:right w:w="80" w:type="dxa"/>
            </w:tcMar>
            <w:vAlign w:val="center"/>
          </w:tcPr>
          <w:p w14:paraId="1DFA0627" w14:textId="77777777" w:rsidR="00E96623" w:rsidRDefault="00000000">
            <w:r>
              <w:rPr>
                <w:sz w:val="16"/>
              </w:rPr>
              <w:t>float</w:t>
            </w:r>
          </w:p>
        </w:tc>
        <w:tc>
          <w:tcPr>
            <w:tcW w:w="6480" w:type="dxa"/>
            <w:shd w:val="clear" w:color="auto" w:fill="F2F4F7"/>
            <w:tcMar>
              <w:top w:w="80" w:type="dxa"/>
              <w:left w:w="80" w:type="dxa"/>
              <w:bottom w:w="80" w:type="dxa"/>
              <w:right w:w="80" w:type="dxa"/>
            </w:tcMar>
            <w:vAlign w:val="center"/>
          </w:tcPr>
          <w:p w14:paraId="1BCAC868" w14:textId="77777777" w:rsidR="00E96623" w:rsidRDefault="00000000">
            <w:r>
              <w:rPr>
                <w:sz w:val="16"/>
              </w:rPr>
              <w:t>Effective federal funds rate in percent</w:t>
            </w:r>
          </w:p>
        </w:tc>
      </w:tr>
      <w:tr w:rsidR="00E96623" w14:paraId="42367B54" w14:textId="77777777">
        <w:trPr>
          <w:jc w:val="center"/>
        </w:trPr>
        <w:tc>
          <w:tcPr>
            <w:tcW w:w="2304" w:type="dxa"/>
            <w:shd w:val="clear" w:color="auto" w:fill="FFFFFF"/>
            <w:tcMar>
              <w:top w:w="80" w:type="dxa"/>
              <w:left w:w="80" w:type="dxa"/>
              <w:bottom w:w="80" w:type="dxa"/>
              <w:right w:w="80" w:type="dxa"/>
            </w:tcMar>
            <w:vAlign w:val="center"/>
          </w:tcPr>
          <w:p w14:paraId="6A599CE2" w14:textId="77777777" w:rsidR="00E96623" w:rsidRDefault="00000000">
            <w:r>
              <w:rPr>
                <w:b/>
                <w:sz w:val="16"/>
              </w:rPr>
              <w:t>policy_6m_change</w:t>
            </w:r>
          </w:p>
        </w:tc>
        <w:tc>
          <w:tcPr>
            <w:tcW w:w="1584" w:type="dxa"/>
            <w:shd w:val="clear" w:color="auto" w:fill="FFFFFF"/>
            <w:tcMar>
              <w:top w:w="80" w:type="dxa"/>
              <w:left w:w="80" w:type="dxa"/>
              <w:bottom w:w="80" w:type="dxa"/>
              <w:right w:w="80" w:type="dxa"/>
            </w:tcMar>
            <w:vAlign w:val="center"/>
          </w:tcPr>
          <w:p w14:paraId="0AE47BC5" w14:textId="77777777" w:rsidR="00E96623" w:rsidRDefault="00000000">
            <w:r>
              <w:rPr>
                <w:sz w:val="16"/>
              </w:rPr>
              <w:t>float</w:t>
            </w:r>
          </w:p>
        </w:tc>
        <w:tc>
          <w:tcPr>
            <w:tcW w:w="6480" w:type="dxa"/>
            <w:shd w:val="clear" w:color="auto" w:fill="FFFFFF"/>
            <w:tcMar>
              <w:top w:w="80" w:type="dxa"/>
              <w:left w:w="80" w:type="dxa"/>
              <w:bottom w:w="80" w:type="dxa"/>
              <w:right w:w="80" w:type="dxa"/>
            </w:tcMar>
            <w:vAlign w:val="center"/>
          </w:tcPr>
          <w:p w14:paraId="7A6CFD18" w14:textId="77777777" w:rsidR="00E96623" w:rsidRDefault="00000000">
            <w:r>
              <w:rPr>
                <w:sz w:val="16"/>
              </w:rPr>
              <w:t>Six-month change in the lagged policy-rate signal</w:t>
            </w:r>
          </w:p>
        </w:tc>
      </w:tr>
      <w:tr w:rsidR="00E96623" w14:paraId="2C9C9C1A" w14:textId="77777777">
        <w:trPr>
          <w:jc w:val="center"/>
        </w:trPr>
        <w:tc>
          <w:tcPr>
            <w:tcW w:w="2304" w:type="dxa"/>
            <w:shd w:val="clear" w:color="auto" w:fill="F2F4F7"/>
            <w:tcMar>
              <w:top w:w="80" w:type="dxa"/>
              <w:left w:w="80" w:type="dxa"/>
              <w:bottom w:w="80" w:type="dxa"/>
              <w:right w:w="80" w:type="dxa"/>
            </w:tcMar>
            <w:vAlign w:val="center"/>
          </w:tcPr>
          <w:p w14:paraId="3F2617DD" w14:textId="77777777" w:rsidR="00E96623" w:rsidRDefault="00000000">
            <w:r>
              <w:rPr>
                <w:b/>
                <w:sz w:val="16"/>
              </w:rPr>
              <w:t>policy_state</w:t>
            </w:r>
          </w:p>
        </w:tc>
        <w:tc>
          <w:tcPr>
            <w:tcW w:w="1584" w:type="dxa"/>
            <w:shd w:val="clear" w:color="auto" w:fill="F2F4F7"/>
            <w:tcMar>
              <w:top w:w="80" w:type="dxa"/>
              <w:left w:w="80" w:type="dxa"/>
              <w:bottom w:w="80" w:type="dxa"/>
              <w:right w:w="80" w:type="dxa"/>
            </w:tcMar>
            <w:vAlign w:val="center"/>
          </w:tcPr>
          <w:p w14:paraId="336E44AA" w14:textId="77777777" w:rsidR="00E96623" w:rsidRDefault="00000000">
            <w:r>
              <w:rPr>
                <w:sz w:val="16"/>
              </w:rPr>
              <w:t>category</w:t>
            </w:r>
          </w:p>
        </w:tc>
        <w:tc>
          <w:tcPr>
            <w:tcW w:w="6480" w:type="dxa"/>
            <w:shd w:val="clear" w:color="auto" w:fill="F2F4F7"/>
            <w:tcMar>
              <w:top w:w="80" w:type="dxa"/>
              <w:left w:w="80" w:type="dxa"/>
              <w:bottom w:w="80" w:type="dxa"/>
              <w:right w:w="80" w:type="dxa"/>
            </w:tcMar>
            <w:vAlign w:val="center"/>
          </w:tcPr>
          <w:p w14:paraId="284CFD42" w14:textId="77777777" w:rsidR="00E96623" w:rsidRDefault="00000000">
            <w:r>
              <w:rPr>
                <w:sz w:val="16"/>
              </w:rPr>
              <w:t>Tightening or easing</w:t>
            </w:r>
          </w:p>
        </w:tc>
      </w:tr>
      <w:tr w:rsidR="00E96623" w14:paraId="3A1E48A3" w14:textId="77777777">
        <w:trPr>
          <w:jc w:val="center"/>
        </w:trPr>
        <w:tc>
          <w:tcPr>
            <w:tcW w:w="2304" w:type="dxa"/>
            <w:shd w:val="clear" w:color="auto" w:fill="FFFFFF"/>
            <w:tcMar>
              <w:top w:w="80" w:type="dxa"/>
              <w:left w:w="80" w:type="dxa"/>
              <w:bottom w:w="80" w:type="dxa"/>
              <w:right w:w="80" w:type="dxa"/>
            </w:tcMar>
            <w:vAlign w:val="center"/>
          </w:tcPr>
          <w:p w14:paraId="0F1D6418" w14:textId="77777777" w:rsidR="00E96623" w:rsidRDefault="00000000">
            <w:r>
              <w:rPr>
                <w:b/>
                <w:sz w:val="16"/>
              </w:rPr>
              <w:t>regime</w:t>
            </w:r>
          </w:p>
        </w:tc>
        <w:tc>
          <w:tcPr>
            <w:tcW w:w="1584" w:type="dxa"/>
            <w:shd w:val="clear" w:color="auto" w:fill="FFFFFF"/>
            <w:tcMar>
              <w:top w:w="80" w:type="dxa"/>
              <w:left w:w="80" w:type="dxa"/>
              <w:bottom w:w="80" w:type="dxa"/>
              <w:right w:w="80" w:type="dxa"/>
            </w:tcMar>
            <w:vAlign w:val="center"/>
          </w:tcPr>
          <w:p w14:paraId="7595AD9B" w14:textId="77777777" w:rsidR="00E96623" w:rsidRDefault="00000000">
            <w:r>
              <w:rPr>
                <w:sz w:val="16"/>
              </w:rPr>
              <w:t>category</w:t>
            </w:r>
          </w:p>
        </w:tc>
        <w:tc>
          <w:tcPr>
            <w:tcW w:w="6480" w:type="dxa"/>
            <w:shd w:val="clear" w:color="auto" w:fill="FFFFFF"/>
            <w:tcMar>
              <w:top w:w="80" w:type="dxa"/>
              <w:left w:w="80" w:type="dxa"/>
              <w:bottom w:w="80" w:type="dxa"/>
              <w:right w:w="80" w:type="dxa"/>
            </w:tcMar>
            <w:vAlign w:val="center"/>
          </w:tcPr>
          <w:p w14:paraId="0A31F8B1" w14:textId="77777777" w:rsidR="00E96623" w:rsidRDefault="00000000">
            <w:r>
              <w:rPr>
                <w:sz w:val="16"/>
              </w:rPr>
              <w:t>Combination of inflation and policy states</w:t>
            </w:r>
          </w:p>
        </w:tc>
      </w:tr>
      <w:tr w:rsidR="00E96623" w14:paraId="61B58025" w14:textId="77777777">
        <w:trPr>
          <w:jc w:val="center"/>
        </w:trPr>
        <w:tc>
          <w:tcPr>
            <w:tcW w:w="2304" w:type="dxa"/>
            <w:shd w:val="clear" w:color="auto" w:fill="F2F4F7"/>
            <w:tcMar>
              <w:top w:w="80" w:type="dxa"/>
              <w:left w:w="80" w:type="dxa"/>
              <w:bottom w:w="80" w:type="dxa"/>
              <w:right w:w="80" w:type="dxa"/>
            </w:tcMar>
            <w:vAlign w:val="center"/>
          </w:tcPr>
          <w:p w14:paraId="36D560BE" w14:textId="77777777" w:rsidR="00E96623" w:rsidRDefault="00000000">
            <w:r>
              <w:rPr>
                <w:b/>
                <w:sz w:val="16"/>
              </w:rPr>
              <w:t>nber_recession</w:t>
            </w:r>
          </w:p>
        </w:tc>
        <w:tc>
          <w:tcPr>
            <w:tcW w:w="1584" w:type="dxa"/>
            <w:shd w:val="clear" w:color="auto" w:fill="F2F4F7"/>
            <w:tcMar>
              <w:top w:w="80" w:type="dxa"/>
              <w:left w:w="80" w:type="dxa"/>
              <w:bottom w:w="80" w:type="dxa"/>
              <w:right w:w="80" w:type="dxa"/>
            </w:tcMar>
            <w:vAlign w:val="center"/>
          </w:tcPr>
          <w:p w14:paraId="32ED3676" w14:textId="77777777" w:rsidR="00E96623" w:rsidRDefault="00000000">
            <w:r>
              <w:rPr>
                <w:sz w:val="16"/>
              </w:rPr>
              <w:t>binary</w:t>
            </w:r>
          </w:p>
        </w:tc>
        <w:tc>
          <w:tcPr>
            <w:tcW w:w="6480" w:type="dxa"/>
            <w:shd w:val="clear" w:color="auto" w:fill="F2F4F7"/>
            <w:tcMar>
              <w:top w:w="80" w:type="dxa"/>
              <w:left w:w="80" w:type="dxa"/>
              <w:bottom w:w="80" w:type="dxa"/>
              <w:right w:w="80" w:type="dxa"/>
            </w:tcMar>
            <w:vAlign w:val="center"/>
          </w:tcPr>
          <w:p w14:paraId="514F13C0" w14:textId="77777777" w:rsidR="00E96623" w:rsidRDefault="00000000">
            <w:r>
              <w:rPr>
                <w:sz w:val="16"/>
              </w:rPr>
              <w:t>1 in NBER contraction months; otherwise 0</w:t>
            </w:r>
          </w:p>
        </w:tc>
      </w:tr>
      <w:tr w:rsidR="00E96623" w14:paraId="7B05973D" w14:textId="77777777">
        <w:trPr>
          <w:jc w:val="center"/>
        </w:trPr>
        <w:tc>
          <w:tcPr>
            <w:tcW w:w="2304" w:type="dxa"/>
            <w:shd w:val="clear" w:color="auto" w:fill="FFFFFF"/>
            <w:tcMar>
              <w:top w:w="80" w:type="dxa"/>
              <w:left w:w="80" w:type="dxa"/>
              <w:bottom w:w="80" w:type="dxa"/>
              <w:right w:w="80" w:type="dxa"/>
            </w:tcMar>
            <w:vAlign w:val="center"/>
          </w:tcPr>
          <w:p w14:paraId="0B01EBA7" w14:textId="77777777" w:rsidR="00E96623" w:rsidRDefault="00000000">
            <w:r>
              <w:rPr>
                <w:b/>
                <w:sz w:val="16"/>
              </w:rPr>
              <w:t>net_return_&lt;portfolio&gt;</w:t>
            </w:r>
          </w:p>
        </w:tc>
        <w:tc>
          <w:tcPr>
            <w:tcW w:w="1584" w:type="dxa"/>
            <w:shd w:val="clear" w:color="auto" w:fill="FFFFFF"/>
            <w:tcMar>
              <w:top w:w="80" w:type="dxa"/>
              <w:left w:w="80" w:type="dxa"/>
              <w:bottom w:w="80" w:type="dxa"/>
              <w:right w:w="80" w:type="dxa"/>
            </w:tcMar>
            <w:vAlign w:val="center"/>
          </w:tcPr>
          <w:p w14:paraId="63BA21D5" w14:textId="77777777" w:rsidR="00E96623" w:rsidRDefault="00000000">
            <w:r>
              <w:rPr>
                <w:sz w:val="16"/>
              </w:rPr>
              <w:t>float</w:t>
            </w:r>
          </w:p>
        </w:tc>
        <w:tc>
          <w:tcPr>
            <w:tcW w:w="6480" w:type="dxa"/>
            <w:shd w:val="clear" w:color="auto" w:fill="FFFFFF"/>
            <w:tcMar>
              <w:top w:w="80" w:type="dxa"/>
              <w:left w:w="80" w:type="dxa"/>
              <w:bottom w:w="80" w:type="dxa"/>
              <w:right w:w="80" w:type="dxa"/>
            </w:tcMar>
            <w:vAlign w:val="center"/>
          </w:tcPr>
          <w:p w14:paraId="76B0E31C" w14:textId="77777777" w:rsidR="00E96623" w:rsidRDefault="00000000">
            <w:r>
              <w:rPr>
                <w:sz w:val="16"/>
              </w:rPr>
              <w:t>Monthly portfolio return after modeled turnover cost</w:t>
            </w:r>
          </w:p>
        </w:tc>
      </w:tr>
      <w:tr w:rsidR="00E96623" w14:paraId="60A058DE" w14:textId="77777777">
        <w:trPr>
          <w:jc w:val="center"/>
        </w:trPr>
        <w:tc>
          <w:tcPr>
            <w:tcW w:w="2304" w:type="dxa"/>
            <w:shd w:val="clear" w:color="auto" w:fill="F2F4F7"/>
            <w:tcMar>
              <w:top w:w="80" w:type="dxa"/>
              <w:left w:w="80" w:type="dxa"/>
              <w:bottom w:w="80" w:type="dxa"/>
              <w:right w:w="80" w:type="dxa"/>
            </w:tcMar>
            <w:vAlign w:val="center"/>
          </w:tcPr>
          <w:p w14:paraId="2087F8EC" w14:textId="77777777" w:rsidR="00E96623" w:rsidRDefault="00000000">
            <w:r>
              <w:rPr>
                <w:b/>
                <w:sz w:val="16"/>
              </w:rPr>
              <w:t>turnover_&lt;portfolio&gt;</w:t>
            </w:r>
          </w:p>
        </w:tc>
        <w:tc>
          <w:tcPr>
            <w:tcW w:w="1584" w:type="dxa"/>
            <w:shd w:val="clear" w:color="auto" w:fill="F2F4F7"/>
            <w:tcMar>
              <w:top w:w="80" w:type="dxa"/>
              <w:left w:w="80" w:type="dxa"/>
              <w:bottom w:w="80" w:type="dxa"/>
              <w:right w:w="80" w:type="dxa"/>
            </w:tcMar>
            <w:vAlign w:val="center"/>
          </w:tcPr>
          <w:p w14:paraId="1B652FA8" w14:textId="77777777" w:rsidR="00E96623" w:rsidRDefault="00000000">
            <w:r>
              <w:rPr>
                <w:sz w:val="16"/>
              </w:rPr>
              <w:t>float</w:t>
            </w:r>
          </w:p>
        </w:tc>
        <w:tc>
          <w:tcPr>
            <w:tcW w:w="6480" w:type="dxa"/>
            <w:shd w:val="clear" w:color="auto" w:fill="F2F4F7"/>
            <w:tcMar>
              <w:top w:w="80" w:type="dxa"/>
              <w:left w:w="80" w:type="dxa"/>
              <w:bottom w:w="80" w:type="dxa"/>
              <w:right w:w="80" w:type="dxa"/>
            </w:tcMar>
            <w:vAlign w:val="center"/>
          </w:tcPr>
          <w:p w14:paraId="13E2032C" w14:textId="77777777" w:rsidR="00E96623" w:rsidRDefault="00000000">
            <w:r>
              <w:rPr>
                <w:sz w:val="16"/>
              </w:rPr>
              <w:t>One-way turnover at scheduled rebalance dates</w:t>
            </w:r>
          </w:p>
        </w:tc>
      </w:tr>
    </w:tbl>
    <w:p w14:paraId="027E2B19" w14:textId="77777777" w:rsidR="00E96623" w:rsidRDefault="00E96623">
      <w:pPr>
        <w:spacing w:after="0"/>
      </w:pPr>
    </w:p>
    <w:p w14:paraId="0202C8BE" w14:textId="77777777" w:rsidR="00905B4D" w:rsidRPr="00905B4D" w:rsidRDefault="00905B4D" w:rsidP="00905B4D"/>
    <w:p w14:paraId="18D47946" w14:textId="2FA3FC16" w:rsidR="00E96623" w:rsidRDefault="00000000">
      <w:pPr>
        <w:pStyle w:val="Heading1"/>
      </w:pPr>
      <w:r>
        <w:rPr>
          <w:rFonts w:ascii="Cambria" w:hAnsi="Cambria"/>
        </w:rPr>
        <w:t xml:space="preserve">Appendix </w:t>
      </w:r>
      <w:r w:rsidR="009843CF">
        <w:rPr>
          <w:rFonts w:ascii="Cambria" w:hAnsi="Cambria"/>
        </w:rPr>
        <w:t>C</w:t>
      </w:r>
      <w:r>
        <w:rPr>
          <w:rFonts w:ascii="Cambria" w:hAnsi="Cambria"/>
        </w:rPr>
        <w:t>. Research and Investment Disclaimer</w:t>
      </w:r>
    </w:p>
    <w:p w14:paraId="2A3D441A" w14:textId="1617B73D" w:rsidR="00E96623" w:rsidRDefault="00000000" w:rsidP="00381699">
      <w:pPr>
        <w:pStyle w:val="BodyText"/>
      </w:pPr>
      <w:r>
        <w:t>This document is an independent educational working paper. It is not peer reviewed, investment advice,</w:t>
      </w:r>
      <w:r w:rsidR="00381699">
        <w:t xml:space="preserve">                  </w:t>
      </w:r>
      <w:r>
        <w:t xml:space="preserve"> a solicitation, an offer to buy or sell securities, or a recommendation for any person. The hypothetical client is fictional. Historical and backtested results do not guarantee future performance.</w:t>
      </w:r>
    </w:p>
    <w:sectPr w:rsidR="00E96623" w:rsidSect="00034616">
      <w:headerReference w:type="default" r:id="rId11"/>
      <w:footerReference w:type="default" r:id="rId12"/>
      <w:pgSz w:w="12240" w:h="15840"/>
      <w:pgMar w:top="1037" w:right="1123" w:bottom="1008"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23D5E" w14:textId="77777777" w:rsidR="00FC1F02" w:rsidRDefault="00FC1F02">
      <w:pPr>
        <w:spacing w:after="0" w:line="240" w:lineRule="auto"/>
      </w:pPr>
      <w:r>
        <w:separator/>
      </w:r>
    </w:p>
  </w:endnote>
  <w:endnote w:type="continuationSeparator" w:id="0">
    <w:p w14:paraId="74DCE791" w14:textId="77777777" w:rsidR="00FC1F02" w:rsidRDefault="00FC1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5AF3A" w14:textId="77777777" w:rsidR="00E96623" w:rsidRDefault="00000000">
    <w:pPr>
      <w:pStyle w:val="Footer"/>
      <w:tabs>
        <w:tab w:val="right" w:pos="9432"/>
      </w:tabs>
      <w:jc w:val="right"/>
    </w:pPr>
    <w:r>
      <w:rPr>
        <w:rFonts w:ascii="Arial" w:hAnsi="Arial"/>
        <w:color w:val="5F6C82"/>
        <w:sz w:val="16"/>
      </w:rPr>
      <w:t>Ishaan Parmar  |  July 2026  |  Completed empirical analysis</w:t>
    </w:r>
    <w:r>
      <w:tab/>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16029" w14:textId="77777777" w:rsidR="00FC1F02" w:rsidRDefault="00FC1F02">
      <w:pPr>
        <w:spacing w:after="0" w:line="240" w:lineRule="auto"/>
      </w:pPr>
      <w:r>
        <w:separator/>
      </w:r>
    </w:p>
  </w:footnote>
  <w:footnote w:type="continuationSeparator" w:id="0">
    <w:p w14:paraId="2CC78904" w14:textId="77777777" w:rsidR="00FC1F02" w:rsidRDefault="00FC1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3922" w14:textId="77777777" w:rsidR="00E96623" w:rsidRDefault="00000000">
    <w:pPr>
      <w:pStyle w:val="Header"/>
      <w:pBdr>
        <w:bottom w:val="single" w:sz="8" w:space="2" w:color="B08D2F"/>
      </w:pBdr>
    </w:pPr>
    <w:r>
      <w:rPr>
        <w:rFonts w:ascii="Arial" w:hAnsi="Arial"/>
        <w:b/>
        <w:color w:val="0B1F3A"/>
        <w:sz w:val="18"/>
      </w:rPr>
      <w:t>BEYOND THE 60/40 PORTFOLIO</w:t>
    </w:r>
    <w:r>
      <w:rPr>
        <w:rFonts w:ascii="Arial" w:hAnsi="Arial"/>
        <w:color w:val="5F6C82"/>
        <w:sz w:val="18"/>
      </w:rPr>
      <w:t xml:space="preserve">  |  Working Paper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68076">
    <w:abstractNumId w:val="8"/>
  </w:num>
  <w:num w:numId="2" w16cid:durableId="347412057">
    <w:abstractNumId w:val="6"/>
  </w:num>
  <w:num w:numId="3" w16cid:durableId="1255284039">
    <w:abstractNumId w:val="5"/>
  </w:num>
  <w:num w:numId="4" w16cid:durableId="1788043481">
    <w:abstractNumId w:val="4"/>
  </w:num>
  <w:num w:numId="5" w16cid:durableId="141122231">
    <w:abstractNumId w:val="7"/>
  </w:num>
  <w:num w:numId="6" w16cid:durableId="1183127468">
    <w:abstractNumId w:val="3"/>
  </w:num>
  <w:num w:numId="7" w16cid:durableId="644043700">
    <w:abstractNumId w:val="2"/>
  </w:num>
  <w:num w:numId="8" w16cid:durableId="775295670">
    <w:abstractNumId w:val="1"/>
  </w:num>
  <w:num w:numId="9" w16cid:durableId="130477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F8E"/>
    <w:rsid w:val="0029639D"/>
    <w:rsid w:val="00326F90"/>
    <w:rsid w:val="00375D84"/>
    <w:rsid w:val="00381699"/>
    <w:rsid w:val="003E63AB"/>
    <w:rsid w:val="00425C70"/>
    <w:rsid w:val="004A0F09"/>
    <w:rsid w:val="004E383B"/>
    <w:rsid w:val="005F65A1"/>
    <w:rsid w:val="0060333A"/>
    <w:rsid w:val="00633533"/>
    <w:rsid w:val="008340B6"/>
    <w:rsid w:val="008E742E"/>
    <w:rsid w:val="00905B4D"/>
    <w:rsid w:val="00940680"/>
    <w:rsid w:val="009843CF"/>
    <w:rsid w:val="00AA1D8D"/>
    <w:rsid w:val="00B47730"/>
    <w:rsid w:val="00B531B6"/>
    <w:rsid w:val="00B55BD3"/>
    <w:rsid w:val="00B8284F"/>
    <w:rsid w:val="00CB0664"/>
    <w:rsid w:val="00D82E9B"/>
    <w:rsid w:val="00E96623"/>
    <w:rsid w:val="00F07DAC"/>
    <w:rsid w:val="00F1065A"/>
    <w:rsid w:val="00F16E5D"/>
    <w:rsid w:val="00FC1F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6FE6D"/>
  <w14:defaultImageDpi w14:val="300"/>
  <w15:docId w15:val="{4EEF660E-442F-48C8-8E66-9978D6A66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mbria" w:hAnsi="Cambria"/>
      <w:color w:val="172033"/>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0B1F3A"/>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0B1F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sz w:val="20"/>
    </w:rPr>
  </w:style>
  <w:style w:type="paragraph" w:styleId="ListBullet2">
    <w:name w:val="List Bullet 2"/>
    <w:basedOn w:val="Normal"/>
    <w:uiPriority w:val="99"/>
    <w:unhideWhenUsed/>
    <w:rsid w:val="00326F90"/>
    <w:pPr>
      <w:numPr>
        <w:numId w:val="2"/>
      </w:numPr>
      <w:spacing w:after="60" w:line="259"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sz w:val="20"/>
    </w:rPr>
  </w:style>
  <w:style w:type="paragraph" w:styleId="ListNumber2">
    <w:name w:val="List Number 2"/>
    <w:basedOn w:val="Normal"/>
    <w:uiPriority w:val="99"/>
    <w:unhideWhenUsed/>
    <w:rsid w:val="0029639D"/>
    <w:pPr>
      <w:numPr>
        <w:numId w:val="6"/>
      </w:numPr>
      <w:spacing w:after="60" w:line="259" w:lineRule="auto"/>
      <w:contextualSpacing/>
    </w:pPr>
    <w:rP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1">
    <w:name w:val="Bibliography1"/>
    <w:pPr>
      <w:spacing w:after="100" w:line="240" w:lineRule="auto"/>
    </w:pPr>
    <w:rPr>
      <w:rFonts w:ascii="Cambria" w:hAnsi="Cambria"/>
      <w:sz w:val="18"/>
    </w:rPr>
  </w:style>
  <w:style w:type="character" w:styleId="Hyperlink">
    <w:name w:val="Hyperlink"/>
    <w:basedOn w:val="DefaultParagraphFont"/>
    <w:uiPriority w:val="99"/>
    <w:unhideWhenUsed/>
    <w:rsid w:val="00905B4D"/>
    <w:rPr>
      <w:color w:val="0000FF" w:themeColor="hyperlink"/>
      <w:u w:val="single"/>
    </w:rPr>
  </w:style>
  <w:style w:type="character" w:styleId="UnresolvedMention">
    <w:name w:val="Unresolved Mention"/>
    <w:basedOn w:val="DefaultParagraphFont"/>
    <w:uiPriority w:val="99"/>
    <w:semiHidden/>
    <w:unhideWhenUsed/>
    <w:rsid w:val="00905B4D"/>
    <w:rPr>
      <w:color w:val="605E5C"/>
      <w:shd w:val="clear" w:color="auto" w:fill="E1DFDD"/>
    </w:rPr>
  </w:style>
  <w:style w:type="character" w:styleId="PlaceholderText">
    <w:name w:val="Placeholder Text"/>
    <w:basedOn w:val="DefaultParagraphFont"/>
    <w:uiPriority w:val="99"/>
    <w:semiHidden/>
    <w:rsid w:val="00B8284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1111/j.1540-6261.1952.tb01525.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20</Pages>
  <Words>7597</Words>
  <Characters>43309</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Beyond the 60/40 Portfolio: Regime-Sensitive Multi-Asset Allocation for High-Net-Worth Investors</vt:lpstr>
    </vt:vector>
  </TitlesOfParts>
  <Manager/>
  <Company/>
  <LinksUpToDate>false</LinksUpToDate>
  <CharactersWithSpaces>50805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60/40 Portfolio: Regime-Sensitive Multi-Asset Allocation for High-Net-Worth Investors</dc:title>
  <dc:subject>Independent investment research working paper with completed empirical results</dc:subject>
  <dc:creator>Ishaan Parmar</dc:creator>
  <cp:keywords>asset allocation, 60/40, mean-variance, CVaR, regime-sensitive, wealth management</cp:keywords>
  <dc:description>Working Paper 1.0; empirical analysis complete; July 2026</dc:description>
  <cp:lastModifiedBy>Ishaan Parmar</cp:lastModifiedBy>
  <cp:revision>10</cp:revision>
  <cp:lastPrinted>2026-07-20T05:37:00Z</cp:lastPrinted>
  <dcterms:created xsi:type="dcterms:W3CDTF">2013-12-23T23:15:00Z</dcterms:created>
  <dcterms:modified xsi:type="dcterms:W3CDTF">2026-07-20T05:37:00Z</dcterms:modified>
  <cp:category/>
</cp:coreProperties>
</file>